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120"/>
        <w:jc w:val="center"/>
      </w:pPr>
      <w:r>
        <w:rPr>
          <w:b/>
          <w:bCs/>
          <w:color w:val="595959"/>
          <w:sz w:val="20"/>
          <w:szCs w:val="20"/>
        </w:rPr>
        <w:t xml:space="preserve">GAIL (India) Ltd.</w:t>
      </w:r>
    </w:p>
    <w:p>
      <w:pPr>
        <w:spacing w:after="30"/>
        <w:jc w:val="center"/>
      </w:pPr>
      <w:r>
        <w:rPr>
          <w:b/>
          <w:bCs/>
          <w:color w:val="1F3864"/>
          <w:sz w:val="32"/>
          <w:szCs w:val="32"/>
        </w:rPr>
        <w:t xml:space="preserve">CIS 2026-27 — Extension of Discount Approval to a 6-Level CPC Workflow</w:t>
      </w:r>
    </w:p>
    <w:p>
      <w:pPr>
        <w:spacing w:after="40"/>
        <w:jc w:val="center"/>
      </w:pPr>
      <w:r>
        <w:rPr>
          <w:b/>
          <w:bCs/>
          <w:color w:val="2E5496"/>
          <w:sz w:val="22"/>
          <w:szCs w:val="22"/>
        </w:rPr>
        <w:t xml:space="preserve">Functional &amp; Program Reference for the Central Processing Cell (CPC)</w:t>
      </w:r>
    </w:p>
    <w:p>
      <w:pPr>
        <w:spacing w:after="150"/>
        <w:jc w:val="center"/>
      </w:pPr>
      <w:r>
        <w:rPr>
          <w:i/>
          <w:iCs/>
          <w:color w:val="595959"/>
          <w:sz w:val="18"/>
          <w:szCs w:val="18"/>
        </w:rPr>
        <w:t xml:space="preserve">Prepared for GAIL Marketing &amp; CPC Finance  •  SAP Implementation Team</w:t>
      </w:r>
    </w:p>
    <w:p>
      <w:pPr>
        <w:pBdr>
          <w:bottom w:val="single" w:color="2E5496" w:sz="8" w:space="1"/>
        </w:pBdr>
        <w:spacing w:after="140" w:before="60"/>
      </w:pPr>
    </w:p>
    <w:p>
      <w:pPr>
        <w:pStyle w:val="Heading1"/>
        <w:spacing w:after="110" w:before="240"/>
      </w:pPr>
      <w:r>
        <w:rPr>
          <w:b/>
          <w:bCs/>
          <w:color w:val="1F3864"/>
        </w:rPr>
        <w:t xml:space="preserve">1.  Purpose of this change</w:t>
      </w:r>
    </w:p>
    <w:p>
      <w:pPr>
        <w:spacing w:after="120" w:before="0"/>
      </w:pPr>
      <w:r>
        <w:rPr>
          <w:color w:val="262626"/>
          <w:sz w:val="22"/>
          <w:szCs w:val="22"/>
        </w:rPr>
        <w:t xml:space="preserve">The CIS 2026-27 Post-Sale Discount (PSD) approval process has been extended from the existing three approval levels to six levels, to route the discount through the Central Processing Cell (CPC) for financial vetting, final approval and disbursement. This document explains what has changed, the new level-wise flow, the programs delivered, and the master data / configuration that CPC needs to maintain before go-live.</w:t>
      </w:r>
    </w:p>
    <w:p>
      <w:pPr>
        <w:pStyle w:val="Heading1"/>
        <w:spacing w:after="110" w:before="240"/>
      </w:pPr>
      <w:r>
        <w:rPr>
          <w:b/>
          <w:bCs/>
          <w:color w:val="1F3864"/>
        </w:rPr>
        <w:t xml:space="preserve">2.  Approval flow — before and after</w:t>
      </w:r>
    </w:p>
    <w:p>
      <w:pPr>
        <w:spacing w:after="120" w:before="0"/>
      </w:pPr>
      <w:r>
        <w:rPr>
          <w:b/>
          <w:bCs/>
          <w:color w:val="262626"/>
          <w:sz w:val="22"/>
          <w:szCs w:val="22"/>
        </w:rPr>
        <w:t xml:space="preserve">Earlier (3 levels): </w:t>
      </w:r>
      <w:r>
        <w:rPr>
          <w:color w:val="262626"/>
          <w:sz w:val="22"/>
          <w:szCs w:val="22"/>
        </w:rPr>
        <w:t xml:space="preserve">L1 Executive (Run &amp; Verify)  →  L2 PC Head (Verify)  →  L3 CPC Marketing (Execute – create rebate order).</w:t>
      </w:r>
    </w:p>
    <w:p>
      <w:pPr>
        <w:spacing w:after="120" w:before="0"/>
      </w:pPr>
      <w:r>
        <w:rPr>
          <w:b/>
          <w:bCs/>
          <w:color w:val="262626"/>
          <w:sz w:val="22"/>
          <w:szCs w:val="22"/>
        </w:rPr>
        <w:t xml:space="preserve">Now (6 levels): </w:t>
      </w:r>
      <w:r>
        <w:rPr>
          <w:color w:val="262626"/>
          <w:sz w:val="22"/>
          <w:szCs w:val="22"/>
        </w:rPr>
        <w:t xml:space="preserve">L1  →  L2  →  L3 (Execute)  →  L4 CPC Finance (Financial Vetting)  →  L5 CPC Head (Final Approval)  →  L6 CPC Finance (Disbursement – workflow completed).</w:t>
      </w:r>
    </w:p>
    <w:p>
      <w:pPr>
        <w:spacing w:after="120" w:before="0"/>
      </w:pPr>
      <w:r>
        <w:rPr>
          <w:b/>
          <w:bCs/>
          <w:color w:val="262626"/>
          <w:sz w:val="22"/>
          <w:szCs w:val="22"/>
        </w:rPr>
        <w:t xml:space="preserve">Rejection at any level: </w:t>
      </w:r>
      <w:r>
        <w:rPr>
          <w:color w:val="262626"/>
          <w:sz w:val="22"/>
          <w:szCs w:val="22"/>
        </w:rPr>
        <w:t xml:space="preserve">the request is sent back to L1 for re-initiation, and an e-mail alert is sent to the originating sales office. Only after L6 is the CIS discount marked </w:t>
      </w:r>
      <w:r>
        <w:rPr>
          <w:b/>
          <w:bCs/>
          <w:color w:val="262626"/>
          <w:sz w:val="22"/>
          <w:szCs w:val="22"/>
        </w:rPr>
        <w:t xml:space="preserve">Completed / Disbursed</w:t>
      </w:r>
      <w:r>
        <w:rPr>
          <w:color w:val="262626"/>
          <w:sz w:val="22"/>
          <w:szCs w:val="22"/>
        </w:rPr>
        <w:t xml:space="preserve">.</w:t>
      </w:r>
    </w:p>
    <w:p>
      <w:pPr>
        <w:pStyle w:val="Heading1"/>
        <w:spacing w:after="110" w:before="240"/>
      </w:pPr>
      <w:r>
        <w:rPr>
          <w:b/>
          <w:bCs/>
          <w:color w:val="1F3864"/>
        </w:rPr>
        <w:t xml:space="preserve">3.  Level-wise responsibility, program &amp; status</w:t>
      </w:r>
    </w:p>
    <w:p>
      <w:pPr>
        <w:spacing w:after="120" w:before="0"/>
      </w:pPr>
      <w:r>
        <w:rPr>
          <w:i/>
          <w:iCs/>
          <w:color w:val="595959"/>
          <w:sz w:val="20"/>
          <w:szCs w:val="20"/>
        </w:rPr>
        <w:t xml:space="preserve">The status column below is the internal workflow status stored against each record. The T-Code column is left blank for the client to assign and fill in.</w:t>
      </w:r>
    </w:p>
    <w:tbl>
      <w:tblPr>
        <w:tblW w:type="dxa" w:w="9360"/>
        <w:tblBorders>
          <w:top w:val="single" w:color="BFC7D6" w:sz="4"/>
          <w:left w:val="single" w:color="BFC7D6" w:sz="4"/>
          <w:bottom w:val="single" w:color="BFC7D6" w:sz="4"/>
          <w:right w:val="single" w:color="BFC7D6" w:sz="4"/>
          <w:insideH w:val="single" w:color="BFC7D6" w:sz="4"/>
          <w:insideV w:val="single" w:color="BFC7D6" w:sz="4"/>
        </w:tblBorders>
      </w:tblPr>
      <w:tblGrid>
        <w:gridCol w:w="780"/>
        <w:gridCol w:w="1560"/>
        <w:gridCol w:w="2200"/>
        <w:gridCol w:w="2260"/>
        <w:gridCol w:w="1160"/>
        <w:gridCol w:w="1400"/>
      </w:tblGrid>
      <w:tr>
        <w:trPr>
          <w:tblHeader/>
        </w:trPr>
        <w:tc>
          <w:tcPr>
            <w:tcW w:type="dxa" w:w="780"/>
            <w:shd w:fill="1F3864" w:color="auto" w:val="clear"/>
            <w:tcMar>
              <w:top w:type="dxa" w:w="60"/>
              <w:left w:type="dxa" w:w="110"/>
              <w:bottom w:type="dxa" w:w="60"/>
              <w:right w:type="dxa" w:w="110"/>
            </w:tcMar>
          </w:tcPr>
          <w:p>
            <w:pPr>
              <w:jc w:val="left"/>
            </w:pPr>
            <w:r>
              <w:rPr>
                <w:b/>
                <w:bCs/>
                <w:color w:val="FFFFFF"/>
                <w:sz w:val="22"/>
                <w:szCs w:val="22"/>
              </w:rPr>
              <w:t xml:space="preserve">Level</w:t>
            </w:r>
          </w:p>
        </w:tc>
        <w:tc>
          <w:tcPr>
            <w:tcW w:type="dxa" w:w="1560"/>
            <w:shd w:fill="1F3864" w:color="auto" w:val="clear"/>
            <w:tcMar>
              <w:top w:type="dxa" w:w="60"/>
              <w:left w:type="dxa" w:w="110"/>
              <w:bottom w:type="dxa" w:w="60"/>
              <w:right w:type="dxa" w:w="110"/>
            </w:tcMar>
          </w:tcPr>
          <w:p>
            <w:pPr>
              <w:jc w:val="left"/>
            </w:pPr>
            <w:r>
              <w:rPr>
                <w:b/>
                <w:bCs/>
                <w:color w:val="FFFFFF"/>
                <w:sz w:val="22"/>
                <w:szCs w:val="22"/>
              </w:rPr>
              <w:t xml:space="preserve">Owner</w:t>
            </w:r>
          </w:p>
        </w:tc>
        <w:tc>
          <w:tcPr>
            <w:tcW w:type="dxa" w:w="2200"/>
            <w:shd w:fill="1F3864" w:color="auto" w:val="clear"/>
            <w:tcMar>
              <w:top w:type="dxa" w:w="60"/>
              <w:left w:type="dxa" w:w="110"/>
              <w:bottom w:type="dxa" w:w="60"/>
              <w:right w:type="dxa" w:w="110"/>
            </w:tcMar>
          </w:tcPr>
          <w:p>
            <w:pPr>
              <w:jc w:val="left"/>
            </w:pPr>
            <w:r>
              <w:rPr>
                <w:b/>
                <w:bCs/>
                <w:color w:val="FFFFFF"/>
                <w:sz w:val="22"/>
                <w:szCs w:val="22"/>
              </w:rPr>
              <w:t xml:space="preserve">Action</w:t>
            </w:r>
          </w:p>
        </w:tc>
        <w:tc>
          <w:tcPr>
            <w:tcW w:type="dxa" w:w="2260"/>
            <w:shd w:fill="1F3864" w:color="auto" w:val="clear"/>
            <w:tcMar>
              <w:top w:type="dxa" w:w="60"/>
              <w:left w:type="dxa" w:w="110"/>
              <w:bottom w:type="dxa" w:w="60"/>
              <w:right w:type="dxa" w:w="110"/>
            </w:tcMar>
          </w:tcPr>
          <w:p>
            <w:pPr>
              <w:jc w:val="left"/>
            </w:pPr>
            <w:r>
              <w:rPr>
                <w:b/>
                <w:bCs/>
                <w:color w:val="FFFFFF"/>
                <w:sz w:val="22"/>
                <w:szCs w:val="22"/>
              </w:rPr>
              <w:t xml:space="preserve">Program (Report name)</w:t>
            </w:r>
          </w:p>
        </w:tc>
        <w:tc>
          <w:tcPr>
            <w:tcW w:type="dxa" w:w="1160"/>
            <w:shd w:fill="1F3864" w:color="auto" w:val="clear"/>
            <w:tcMar>
              <w:top w:type="dxa" w:w="60"/>
              <w:left w:type="dxa" w:w="110"/>
              <w:bottom w:type="dxa" w:w="60"/>
              <w:right w:type="dxa" w:w="110"/>
            </w:tcMar>
          </w:tcPr>
          <w:p>
            <w:pPr>
              <w:jc w:val="left"/>
            </w:pPr>
            <w:r>
              <w:rPr>
                <w:b/>
                <w:bCs/>
                <w:color w:val="FFFFFF"/>
                <w:sz w:val="22"/>
                <w:szCs w:val="22"/>
              </w:rPr>
              <w:t xml:space="preserve">Status after action</w:t>
            </w:r>
          </w:p>
        </w:tc>
        <w:tc>
          <w:tcPr>
            <w:tcW w:type="dxa" w:w="1400"/>
            <w:shd w:fill="1F3864" w:color="auto" w:val="clear"/>
            <w:tcMar>
              <w:top w:type="dxa" w:w="60"/>
              <w:left w:type="dxa" w:w="110"/>
              <w:bottom w:type="dxa" w:w="60"/>
              <w:right w:type="dxa" w:w="110"/>
            </w:tcMar>
          </w:tcPr>
          <w:p>
            <w:pPr>
              <w:jc w:val="left"/>
            </w:pPr>
            <w:r>
              <w:rPr>
                <w:b/>
                <w:bCs/>
                <w:color w:val="FFFFFF"/>
                <w:sz w:val="22"/>
                <w:szCs w:val="22"/>
              </w:rPr>
              <w:t xml:space="preserve">T-Code (to be filled by client)</w:t>
            </w:r>
          </w:p>
        </w:tc>
      </w:tr>
      <w:tr>
        <w:tc>
          <w:tcPr>
            <w:tcW w:type="dxa" w:w="780"/>
            <w:tcMar>
              <w:top w:type="dxa" w:w="60"/>
              <w:left w:type="dxa" w:w="110"/>
              <w:bottom w:type="dxa" w:w="60"/>
              <w:right w:type="dxa" w:w="110"/>
            </w:tcMar>
          </w:tcPr>
          <w:p>
            <w:r>
              <w:rPr>
                <w:b/>
                <w:bCs/>
                <w:color w:val="262626"/>
                <w:sz w:val="22"/>
                <w:szCs w:val="22"/>
              </w:rPr>
              <w:t xml:space="preserve">L1</w:t>
            </w:r>
          </w:p>
        </w:tc>
        <w:tc>
          <w:tcPr>
            <w:tcW w:type="dxa" w:w="1560"/>
            <w:tcMar>
              <w:top w:type="dxa" w:w="60"/>
              <w:left w:type="dxa" w:w="110"/>
              <w:bottom w:type="dxa" w:w="60"/>
              <w:right w:type="dxa" w:w="110"/>
            </w:tcMar>
          </w:tcPr>
          <w:p>
            <w:r>
              <w:rPr>
                <w:b w:val="false"/>
                <w:bCs w:val="false"/>
                <w:color w:val="262626"/>
                <w:sz w:val="22"/>
                <w:szCs w:val="22"/>
              </w:rPr>
              <w:t xml:space="preserve">Sales Executive</w:t>
            </w:r>
          </w:p>
        </w:tc>
        <w:tc>
          <w:tcPr>
            <w:tcW w:type="dxa" w:w="2200"/>
            <w:tcMar>
              <w:top w:type="dxa" w:w="60"/>
              <w:left w:type="dxa" w:w="110"/>
              <w:bottom w:type="dxa" w:w="60"/>
              <w:right w:type="dxa" w:w="110"/>
            </w:tcMar>
          </w:tcPr>
          <w:p>
            <w:r>
              <w:rPr>
                <w:b w:val="false"/>
                <w:bCs w:val="false"/>
                <w:color w:val="262626"/>
                <w:sz w:val="22"/>
                <w:szCs w:val="22"/>
              </w:rPr>
              <w:t xml:space="preserve">Run scheme &amp; verify; forward to L2</w:t>
            </w:r>
          </w:p>
        </w:tc>
        <w:tc>
          <w:tcPr>
            <w:tcW w:type="dxa" w:w="2260"/>
            <w:tcMar>
              <w:top w:type="dxa" w:w="60"/>
              <w:left w:type="dxa" w:w="110"/>
              <w:bottom w:type="dxa" w:w="60"/>
              <w:right w:type="dxa" w:w="110"/>
            </w:tcMar>
          </w:tcPr>
          <w:p>
            <w:r>
              <w:rPr>
                <w:b w:val="false"/>
                <w:bCs w:val="false"/>
                <w:color w:val="262626"/>
                <w:sz w:val="22"/>
                <w:szCs w:val="22"/>
              </w:rPr>
              <w:t xml:space="preserve">YRVG004_QAIS_EXECUTE_N1</w:t>
            </w:r>
          </w:p>
        </w:tc>
        <w:tc>
          <w:tcPr>
            <w:tcW w:type="dxa" w:w="1160"/>
            <w:tcMar>
              <w:top w:type="dxa" w:w="60"/>
              <w:left w:type="dxa" w:w="110"/>
              <w:bottom w:type="dxa" w:w="60"/>
              <w:right w:type="dxa" w:w="110"/>
            </w:tcMar>
          </w:tcPr>
          <w:p>
            <w:r>
              <w:rPr>
                <w:b w:val="false"/>
                <w:bCs w:val="false"/>
                <w:color w:val="262626"/>
                <w:sz w:val="22"/>
                <w:szCs w:val="22"/>
              </w:rPr>
              <w:t xml:space="preserve">Pending L2</w:t>
            </w:r>
          </w:p>
        </w:tc>
        <w:tc>
          <w:tcPr>
            <w:tcW w:type="dxa" w:w="1400"/>
            <w:tcMar>
              <w:top w:type="dxa" w:w="60"/>
              <w:left w:type="dxa" w:w="110"/>
              <w:bottom w:type="dxa" w:w="60"/>
              <w:right w:type="dxa" w:w="110"/>
            </w:tcMar>
          </w:tcPr>
          <w:p>
            <w:r>
              <w:rPr>
                <w:b w:val="false"/>
                <w:bCs w:val="false"/>
                <w:color w:val="262626"/>
                <w:sz w:val="22"/>
                <w:szCs w:val="22"/>
              </w:rPr>
              <w:t xml:space="preserve"/>
            </w:r>
          </w:p>
        </w:tc>
      </w:tr>
      <w:tr>
        <w:tc>
          <w:tcPr>
            <w:tcW w:type="dxa" w:w="780"/>
            <w:shd w:fill="F2F5FA" w:color="auto" w:val="clear"/>
            <w:tcMar>
              <w:top w:type="dxa" w:w="60"/>
              <w:left w:type="dxa" w:w="110"/>
              <w:bottom w:type="dxa" w:w="60"/>
              <w:right w:type="dxa" w:w="110"/>
            </w:tcMar>
          </w:tcPr>
          <w:p>
            <w:r>
              <w:rPr>
                <w:b/>
                <w:bCs/>
                <w:color w:val="262626"/>
                <w:sz w:val="22"/>
                <w:szCs w:val="22"/>
              </w:rPr>
              <w:t xml:space="preserve">L2</w:t>
            </w:r>
          </w:p>
        </w:tc>
        <w:tc>
          <w:tcPr>
            <w:tcW w:type="dxa" w:w="1560"/>
            <w:shd w:fill="F2F5FA" w:color="auto" w:val="clear"/>
            <w:tcMar>
              <w:top w:type="dxa" w:w="60"/>
              <w:left w:type="dxa" w:w="110"/>
              <w:bottom w:type="dxa" w:w="60"/>
              <w:right w:type="dxa" w:w="110"/>
            </w:tcMar>
          </w:tcPr>
          <w:p>
            <w:r>
              <w:rPr>
                <w:b w:val="false"/>
                <w:bCs w:val="false"/>
                <w:color w:val="262626"/>
                <w:sz w:val="22"/>
                <w:szCs w:val="22"/>
              </w:rPr>
              <w:t xml:space="preserve">PC Head</w:t>
            </w:r>
          </w:p>
        </w:tc>
        <w:tc>
          <w:tcPr>
            <w:tcW w:type="dxa" w:w="2200"/>
            <w:shd w:fill="F2F5FA" w:color="auto" w:val="clear"/>
            <w:tcMar>
              <w:top w:type="dxa" w:w="60"/>
              <w:left w:type="dxa" w:w="110"/>
              <w:bottom w:type="dxa" w:w="60"/>
              <w:right w:type="dxa" w:w="110"/>
            </w:tcMar>
          </w:tcPr>
          <w:p>
            <w:r>
              <w:rPr>
                <w:b w:val="false"/>
                <w:bCs w:val="false"/>
                <w:color w:val="262626"/>
                <w:sz w:val="22"/>
                <w:szCs w:val="22"/>
              </w:rPr>
              <w:t xml:space="preserve">Verify; forward to L3</w:t>
            </w:r>
          </w:p>
        </w:tc>
        <w:tc>
          <w:tcPr>
            <w:tcW w:type="dxa" w:w="2260"/>
            <w:shd w:fill="F2F5FA" w:color="auto" w:val="clear"/>
            <w:tcMar>
              <w:top w:type="dxa" w:w="60"/>
              <w:left w:type="dxa" w:w="110"/>
              <w:bottom w:type="dxa" w:w="60"/>
              <w:right w:type="dxa" w:w="110"/>
            </w:tcMar>
          </w:tcPr>
          <w:p>
            <w:r>
              <w:rPr>
                <w:b w:val="false"/>
                <w:bCs w:val="false"/>
                <w:color w:val="262626"/>
                <w:sz w:val="22"/>
                <w:szCs w:val="22"/>
              </w:rPr>
              <w:t xml:space="preserve">YCIS_APPROVE</w:t>
            </w:r>
          </w:p>
        </w:tc>
        <w:tc>
          <w:tcPr>
            <w:tcW w:type="dxa" w:w="1160"/>
            <w:shd w:fill="F2F5FA" w:color="auto" w:val="clear"/>
            <w:tcMar>
              <w:top w:type="dxa" w:w="60"/>
              <w:left w:type="dxa" w:w="110"/>
              <w:bottom w:type="dxa" w:w="60"/>
              <w:right w:type="dxa" w:w="110"/>
            </w:tcMar>
          </w:tcPr>
          <w:p>
            <w:r>
              <w:rPr>
                <w:b w:val="false"/>
                <w:bCs w:val="false"/>
                <w:color w:val="262626"/>
                <w:sz w:val="22"/>
                <w:szCs w:val="22"/>
              </w:rPr>
              <w:t xml:space="preserve">Pending L3</w:t>
            </w:r>
          </w:p>
        </w:tc>
        <w:tc>
          <w:tcPr>
            <w:tcW w:type="dxa" w:w="1400"/>
            <w:shd w:fill="F2F5FA" w:color="auto" w:val="clear"/>
            <w:tcMar>
              <w:top w:type="dxa" w:w="60"/>
              <w:left w:type="dxa" w:w="110"/>
              <w:bottom w:type="dxa" w:w="60"/>
              <w:right w:type="dxa" w:w="110"/>
            </w:tcMar>
          </w:tcPr>
          <w:p>
            <w:r>
              <w:rPr>
                <w:b w:val="false"/>
                <w:bCs w:val="false"/>
                <w:color w:val="262626"/>
                <w:sz w:val="22"/>
                <w:szCs w:val="22"/>
              </w:rPr>
              <w:t xml:space="preserve"/>
            </w:r>
          </w:p>
        </w:tc>
      </w:tr>
      <w:tr>
        <w:tc>
          <w:tcPr>
            <w:tcW w:type="dxa" w:w="780"/>
            <w:tcMar>
              <w:top w:type="dxa" w:w="60"/>
              <w:left w:type="dxa" w:w="110"/>
              <w:bottom w:type="dxa" w:w="60"/>
              <w:right w:type="dxa" w:w="110"/>
            </w:tcMar>
          </w:tcPr>
          <w:p>
            <w:r>
              <w:rPr>
                <w:b/>
                <w:bCs/>
                <w:color w:val="262626"/>
                <w:sz w:val="22"/>
                <w:szCs w:val="22"/>
              </w:rPr>
              <w:t xml:space="preserve">L3</w:t>
            </w:r>
          </w:p>
        </w:tc>
        <w:tc>
          <w:tcPr>
            <w:tcW w:type="dxa" w:w="1560"/>
            <w:tcMar>
              <w:top w:type="dxa" w:w="60"/>
              <w:left w:type="dxa" w:w="110"/>
              <w:bottom w:type="dxa" w:w="60"/>
              <w:right w:type="dxa" w:w="110"/>
            </w:tcMar>
          </w:tcPr>
          <w:p>
            <w:r>
              <w:rPr>
                <w:b w:val="false"/>
                <w:bCs w:val="false"/>
                <w:color w:val="262626"/>
                <w:sz w:val="22"/>
                <w:szCs w:val="22"/>
              </w:rPr>
              <w:t xml:space="preserve">CPC Marketing</w:t>
            </w:r>
          </w:p>
        </w:tc>
        <w:tc>
          <w:tcPr>
            <w:tcW w:type="dxa" w:w="2200"/>
            <w:tcMar>
              <w:top w:type="dxa" w:w="60"/>
              <w:left w:type="dxa" w:w="110"/>
              <w:bottom w:type="dxa" w:w="60"/>
              <w:right w:type="dxa" w:w="110"/>
            </w:tcMar>
          </w:tcPr>
          <w:p>
            <w:r>
              <w:rPr>
                <w:b w:val="false"/>
                <w:bCs w:val="false"/>
                <w:color w:val="262626"/>
                <w:sz w:val="22"/>
                <w:szCs w:val="22"/>
              </w:rPr>
              <w:t xml:space="preserve">Execute – create rebate order; forward to L4</w:t>
            </w:r>
          </w:p>
        </w:tc>
        <w:tc>
          <w:tcPr>
            <w:tcW w:type="dxa" w:w="2260"/>
            <w:tcMar>
              <w:top w:type="dxa" w:w="60"/>
              <w:left w:type="dxa" w:w="110"/>
              <w:bottom w:type="dxa" w:w="60"/>
              <w:right w:type="dxa" w:w="110"/>
            </w:tcMar>
          </w:tcPr>
          <w:p>
            <w:r>
              <w:rPr>
                <w:b w:val="false"/>
                <w:bCs w:val="false"/>
                <w:color w:val="262626"/>
                <w:sz w:val="22"/>
                <w:szCs w:val="22"/>
              </w:rPr>
              <w:t xml:space="preserve">YCIS_EXECUTE</w:t>
            </w:r>
          </w:p>
        </w:tc>
        <w:tc>
          <w:tcPr>
            <w:tcW w:type="dxa" w:w="1160"/>
            <w:tcMar>
              <w:top w:type="dxa" w:w="60"/>
              <w:left w:type="dxa" w:w="110"/>
              <w:bottom w:type="dxa" w:w="60"/>
              <w:right w:type="dxa" w:w="110"/>
            </w:tcMar>
          </w:tcPr>
          <w:p>
            <w:r>
              <w:rPr>
                <w:b w:val="false"/>
                <w:bCs w:val="false"/>
                <w:color w:val="262626"/>
                <w:sz w:val="22"/>
                <w:szCs w:val="22"/>
              </w:rPr>
              <w:t xml:space="preserve">Pending L4</w:t>
            </w:r>
          </w:p>
        </w:tc>
        <w:tc>
          <w:tcPr>
            <w:tcW w:type="dxa" w:w="1400"/>
            <w:tcMar>
              <w:top w:type="dxa" w:w="60"/>
              <w:left w:type="dxa" w:w="110"/>
              <w:bottom w:type="dxa" w:w="60"/>
              <w:right w:type="dxa" w:w="110"/>
            </w:tcMar>
          </w:tcPr>
          <w:p>
            <w:r>
              <w:rPr>
                <w:b w:val="false"/>
                <w:bCs w:val="false"/>
                <w:color w:val="262626"/>
                <w:sz w:val="22"/>
                <w:szCs w:val="22"/>
              </w:rPr>
              <w:t xml:space="preserve"/>
            </w:r>
          </w:p>
        </w:tc>
      </w:tr>
      <w:tr>
        <w:tc>
          <w:tcPr>
            <w:tcW w:type="dxa" w:w="780"/>
            <w:shd w:fill="E2EFDA" w:color="auto" w:val="clear"/>
            <w:tcMar>
              <w:top w:type="dxa" w:w="60"/>
              <w:left w:type="dxa" w:w="110"/>
              <w:bottom w:type="dxa" w:w="60"/>
              <w:right w:type="dxa" w:w="110"/>
            </w:tcMar>
          </w:tcPr>
          <w:p>
            <w:r>
              <w:rPr>
                <w:b/>
                <w:bCs/>
                <w:color w:val="262626"/>
                <w:sz w:val="22"/>
                <w:szCs w:val="22"/>
              </w:rPr>
              <w:t xml:space="preserve">L4</w:t>
            </w:r>
          </w:p>
        </w:tc>
        <w:tc>
          <w:tcPr>
            <w:tcW w:type="dxa" w:w="1560"/>
            <w:shd w:fill="E2EFDA" w:color="auto" w:val="clear"/>
            <w:tcMar>
              <w:top w:type="dxa" w:w="60"/>
              <w:left w:type="dxa" w:w="110"/>
              <w:bottom w:type="dxa" w:w="60"/>
              <w:right w:type="dxa" w:w="110"/>
            </w:tcMar>
          </w:tcPr>
          <w:p>
            <w:r>
              <w:rPr>
                <w:b w:val="false"/>
                <w:bCs w:val="false"/>
                <w:color w:val="262626"/>
                <w:sz w:val="22"/>
                <w:szCs w:val="22"/>
              </w:rPr>
              <w:t xml:space="preserve">CPC Finance</w:t>
            </w:r>
          </w:p>
        </w:tc>
        <w:tc>
          <w:tcPr>
            <w:tcW w:type="dxa" w:w="2200"/>
            <w:shd w:fill="E2EFDA" w:color="auto" w:val="clear"/>
            <w:tcMar>
              <w:top w:type="dxa" w:w="60"/>
              <w:left w:type="dxa" w:w="110"/>
              <w:bottom w:type="dxa" w:w="60"/>
              <w:right w:type="dxa" w:w="110"/>
            </w:tcMar>
          </w:tcPr>
          <w:p>
            <w:r>
              <w:rPr>
                <w:b w:val="false"/>
                <w:bCs w:val="false"/>
                <w:color w:val="262626"/>
                <w:sz w:val="22"/>
                <w:szCs w:val="22"/>
              </w:rPr>
              <w:t xml:space="preserve">Financial vetting; forward to L5</w:t>
            </w:r>
          </w:p>
        </w:tc>
        <w:tc>
          <w:tcPr>
            <w:tcW w:type="dxa" w:w="2260"/>
            <w:shd w:fill="E2EFDA" w:color="auto" w:val="clear"/>
            <w:tcMar>
              <w:top w:type="dxa" w:w="60"/>
              <w:left w:type="dxa" w:w="110"/>
              <w:bottom w:type="dxa" w:w="60"/>
              <w:right w:type="dxa" w:w="110"/>
            </w:tcMar>
          </w:tcPr>
          <w:p>
            <w:r>
              <w:rPr>
                <w:b w:val="false"/>
                <w:bCs w:val="false"/>
                <w:color w:val="262626"/>
                <w:sz w:val="22"/>
                <w:szCs w:val="22"/>
              </w:rPr>
              <w:t xml:space="preserve">YCIS_VET</w:t>
            </w:r>
          </w:p>
        </w:tc>
        <w:tc>
          <w:tcPr>
            <w:tcW w:type="dxa" w:w="1160"/>
            <w:shd w:fill="E2EFDA" w:color="auto" w:val="clear"/>
            <w:tcMar>
              <w:top w:type="dxa" w:w="60"/>
              <w:left w:type="dxa" w:w="110"/>
              <w:bottom w:type="dxa" w:w="60"/>
              <w:right w:type="dxa" w:w="110"/>
            </w:tcMar>
          </w:tcPr>
          <w:p>
            <w:r>
              <w:rPr>
                <w:b w:val="false"/>
                <w:bCs w:val="false"/>
                <w:color w:val="262626"/>
                <w:sz w:val="22"/>
                <w:szCs w:val="22"/>
              </w:rPr>
              <w:t xml:space="preserve">Pending L5</w:t>
            </w:r>
          </w:p>
        </w:tc>
        <w:tc>
          <w:tcPr>
            <w:tcW w:type="dxa" w:w="1400"/>
            <w:shd w:fill="E2EFDA" w:color="auto" w:val="clear"/>
            <w:tcMar>
              <w:top w:type="dxa" w:w="60"/>
              <w:left w:type="dxa" w:w="110"/>
              <w:bottom w:type="dxa" w:w="60"/>
              <w:right w:type="dxa" w:w="110"/>
            </w:tcMar>
          </w:tcPr>
          <w:p>
            <w:r>
              <w:rPr>
                <w:b w:val="false"/>
                <w:bCs w:val="false"/>
                <w:color w:val="262626"/>
                <w:sz w:val="22"/>
                <w:szCs w:val="22"/>
              </w:rPr>
              <w:t xml:space="preserve"/>
            </w:r>
          </w:p>
        </w:tc>
      </w:tr>
      <w:tr>
        <w:tc>
          <w:tcPr>
            <w:tcW w:type="dxa" w:w="780"/>
            <w:shd w:fill="E2EFDA" w:color="auto" w:val="clear"/>
            <w:tcMar>
              <w:top w:type="dxa" w:w="60"/>
              <w:left w:type="dxa" w:w="110"/>
              <w:bottom w:type="dxa" w:w="60"/>
              <w:right w:type="dxa" w:w="110"/>
            </w:tcMar>
          </w:tcPr>
          <w:p>
            <w:r>
              <w:rPr>
                <w:b/>
                <w:bCs/>
                <w:color w:val="262626"/>
                <w:sz w:val="22"/>
                <w:szCs w:val="22"/>
              </w:rPr>
              <w:t xml:space="preserve">L5</w:t>
            </w:r>
          </w:p>
        </w:tc>
        <w:tc>
          <w:tcPr>
            <w:tcW w:type="dxa" w:w="1560"/>
            <w:shd w:fill="E2EFDA" w:color="auto" w:val="clear"/>
            <w:tcMar>
              <w:top w:type="dxa" w:w="60"/>
              <w:left w:type="dxa" w:w="110"/>
              <w:bottom w:type="dxa" w:w="60"/>
              <w:right w:type="dxa" w:w="110"/>
            </w:tcMar>
          </w:tcPr>
          <w:p>
            <w:r>
              <w:rPr>
                <w:b w:val="false"/>
                <w:bCs w:val="false"/>
                <w:color w:val="262626"/>
                <w:sz w:val="22"/>
                <w:szCs w:val="22"/>
              </w:rPr>
              <w:t xml:space="preserve">CPC Head</w:t>
            </w:r>
          </w:p>
        </w:tc>
        <w:tc>
          <w:tcPr>
            <w:tcW w:type="dxa" w:w="2200"/>
            <w:shd w:fill="E2EFDA" w:color="auto" w:val="clear"/>
            <w:tcMar>
              <w:top w:type="dxa" w:w="60"/>
              <w:left w:type="dxa" w:w="110"/>
              <w:bottom w:type="dxa" w:w="60"/>
              <w:right w:type="dxa" w:w="110"/>
            </w:tcMar>
          </w:tcPr>
          <w:p>
            <w:r>
              <w:rPr>
                <w:b w:val="false"/>
                <w:bCs w:val="false"/>
                <w:color w:val="262626"/>
                <w:sz w:val="22"/>
                <w:szCs w:val="22"/>
              </w:rPr>
              <w:t xml:space="preserve">Final approval; forward to L6</w:t>
            </w:r>
          </w:p>
        </w:tc>
        <w:tc>
          <w:tcPr>
            <w:tcW w:type="dxa" w:w="2260"/>
            <w:shd w:fill="E2EFDA" w:color="auto" w:val="clear"/>
            <w:tcMar>
              <w:top w:type="dxa" w:w="60"/>
              <w:left w:type="dxa" w:w="110"/>
              <w:bottom w:type="dxa" w:w="60"/>
              <w:right w:type="dxa" w:w="110"/>
            </w:tcMar>
          </w:tcPr>
          <w:p>
            <w:r>
              <w:rPr>
                <w:b w:val="false"/>
                <w:bCs w:val="false"/>
                <w:color w:val="262626"/>
                <w:sz w:val="22"/>
                <w:szCs w:val="22"/>
              </w:rPr>
              <w:t xml:space="preserve">YCIS_APPRV5</w:t>
            </w:r>
          </w:p>
        </w:tc>
        <w:tc>
          <w:tcPr>
            <w:tcW w:type="dxa" w:w="1160"/>
            <w:shd w:fill="E2EFDA" w:color="auto" w:val="clear"/>
            <w:tcMar>
              <w:top w:type="dxa" w:w="60"/>
              <w:left w:type="dxa" w:w="110"/>
              <w:bottom w:type="dxa" w:w="60"/>
              <w:right w:type="dxa" w:w="110"/>
            </w:tcMar>
          </w:tcPr>
          <w:p>
            <w:r>
              <w:rPr>
                <w:b w:val="false"/>
                <w:bCs w:val="false"/>
                <w:color w:val="262626"/>
                <w:sz w:val="22"/>
                <w:szCs w:val="22"/>
              </w:rPr>
              <w:t xml:space="preserve">Pending L6</w:t>
            </w:r>
          </w:p>
        </w:tc>
        <w:tc>
          <w:tcPr>
            <w:tcW w:type="dxa" w:w="1400"/>
            <w:shd w:fill="E2EFDA" w:color="auto" w:val="clear"/>
            <w:tcMar>
              <w:top w:type="dxa" w:w="60"/>
              <w:left w:type="dxa" w:w="110"/>
              <w:bottom w:type="dxa" w:w="60"/>
              <w:right w:type="dxa" w:w="110"/>
            </w:tcMar>
          </w:tcPr>
          <w:p>
            <w:r>
              <w:rPr>
                <w:b w:val="false"/>
                <w:bCs w:val="false"/>
                <w:color w:val="262626"/>
                <w:sz w:val="22"/>
                <w:szCs w:val="22"/>
              </w:rPr>
              <w:t xml:space="preserve"/>
            </w:r>
          </w:p>
        </w:tc>
      </w:tr>
      <w:tr>
        <w:tc>
          <w:tcPr>
            <w:tcW w:type="dxa" w:w="780"/>
            <w:shd w:fill="E2EFDA" w:color="auto" w:val="clear"/>
            <w:tcMar>
              <w:top w:type="dxa" w:w="60"/>
              <w:left w:type="dxa" w:w="110"/>
              <w:bottom w:type="dxa" w:w="60"/>
              <w:right w:type="dxa" w:w="110"/>
            </w:tcMar>
          </w:tcPr>
          <w:p>
            <w:r>
              <w:rPr>
                <w:b/>
                <w:bCs/>
                <w:color w:val="262626"/>
                <w:sz w:val="22"/>
                <w:szCs w:val="22"/>
              </w:rPr>
              <w:t xml:space="preserve">L6</w:t>
            </w:r>
          </w:p>
        </w:tc>
        <w:tc>
          <w:tcPr>
            <w:tcW w:type="dxa" w:w="1560"/>
            <w:shd w:fill="E2EFDA" w:color="auto" w:val="clear"/>
            <w:tcMar>
              <w:top w:type="dxa" w:w="60"/>
              <w:left w:type="dxa" w:w="110"/>
              <w:bottom w:type="dxa" w:w="60"/>
              <w:right w:type="dxa" w:w="110"/>
            </w:tcMar>
          </w:tcPr>
          <w:p>
            <w:r>
              <w:rPr>
                <w:b w:val="false"/>
                <w:bCs w:val="false"/>
                <w:color w:val="262626"/>
                <w:sz w:val="22"/>
                <w:szCs w:val="22"/>
              </w:rPr>
              <w:t xml:space="preserve">CPC Finance</w:t>
            </w:r>
          </w:p>
        </w:tc>
        <w:tc>
          <w:tcPr>
            <w:tcW w:type="dxa" w:w="2200"/>
            <w:shd w:fill="E2EFDA" w:color="auto" w:val="clear"/>
            <w:tcMar>
              <w:top w:type="dxa" w:w="60"/>
              <w:left w:type="dxa" w:w="110"/>
              <w:bottom w:type="dxa" w:w="60"/>
              <w:right w:type="dxa" w:w="110"/>
            </w:tcMar>
          </w:tcPr>
          <w:p>
            <w:r>
              <w:rPr>
                <w:b w:val="false"/>
                <w:bCs w:val="false"/>
                <w:color w:val="262626"/>
                <w:sz w:val="22"/>
                <w:szCs w:val="22"/>
              </w:rPr>
              <w:t xml:space="preserve">Disbursement – complete the workflow</w:t>
            </w:r>
          </w:p>
        </w:tc>
        <w:tc>
          <w:tcPr>
            <w:tcW w:type="dxa" w:w="2260"/>
            <w:shd w:fill="E2EFDA" w:color="auto" w:val="clear"/>
            <w:tcMar>
              <w:top w:type="dxa" w:w="60"/>
              <w:left w:type="dxa" w:w="110"/>
              <w:bottom w:type="dxa" w:w="60"/>
              <w:right w:type="dxa" w:w="110"/>
            </w:tcMar>
          </w:tcPr>
          <w:p>
            <w:r>
              <w:rPr>
                <w:b w:val="false"/>
                <w:bCs w:val="false"/>
                <w:color w:val="262626"/>
                <w:sz w:val="22"/>
                <w:szCs w:val="22"/>
              </w:rPr>
              <w:t xml:space="preserve">YCIS_DISBURSE</w:t>
            </w:r>
          </w:p>
        </w:tc>
        <w:tc>
          <w:tcPr>
            <w:tcW w:type="dxa" w:w="1160"/>
            <w:shd w:fill="E2EFDA" w:color="auto" w:val="clear"/>
            <w:tcMar>
              <w:top w:type="dxa" w:w="60"/>
              <w:left w:type="dxa" w:w="110"/>
              <w:bottom w:type="dxa" w:w="60"/>
              <w:right w:type="dxa" w:w="110"/>
            </w:tcMar>
          </w:tcPr>
          <w:p>
            <w:r>
              <w:rPr>
                <w:b w:val="false"/>
                <w:bCs w:val="false"/>
                <w:color w:val="262626"/>
                <w:sz w:val="22"/>
                <w:szCs w:val="22"/>
              </w:rPr>
              <w:t xml:space="preserve">Completed / Disbursed</w:t>
            </w:r>
          </w:p>
        </w:tc>
        <w:tc>
          <w:tcPr>
            <w:tcW w:type="dxa" w:w="1400"/>
            <w:shd w:fill="E2EFDA" w:color="auto" w:val="clear"/>
            <w:tcMar>
              <w:top w:type="dxa" w:w="60"/>
              <w:left w:type="dxa" w:w="110"/>
              <w:bottom w:type="dxa" w:w="60"/>
              <w:right w:type="dxa" w:w="110"/>
            </w:tcMar>
          </w:tcPr>
          <w:p>
            <w:r>
              <w:rPr>
                <w:b w:val="false"/>
                <w:bCs w:val="false"/>
                <w:color w:val="262626"/>
                <w:sz w:val="22"/>
                <w:szCs w:val="22"/>
              </w:rPr>
              <w:t xml:space="preserve"/>
            </w:r>
          </w:p>
        </w:tc>
      </w:tr>
    </w:tbl>
    <w:p>
      <w:pPr>
        <w:spacing w:after="120" w:before="80"/>
      </w:pPr>
      <w:r>
        <w:rPr>
          <w:b/>
          <w:bCs/>
          <w:color w:val="262626"/>
          <w:sz w:val="20"/>
          <w:szCs w:val="20"/>
        </w:rPr>
        <w:t xml:space="preserve">Note: </w:t>
      </w:r>
      <w:r>
        <w:rPr>
          <w:color w:val="262626"/>
          <w:sz w:val="20"/>
          <w:szCs w:val="20"/>
        </w:rPr>
        <w:t xml:space="preserve">the three shaded rows (L4, L5, L6) and their programs are </w:t>
      </w:r>
      <w:r>
        <w:rPr>
          <w:b/>
          <w:bCs/>
          <w:color w:val="262626"/>
          <w:sz w:val="20"/>
          <w:szCs w:val="20"/>
        </w:rPr>
        <w:t xml:space="preserve">new</w:t>
      </w:r>
      <w:r>
        <w:rPr>
          <w:color w:val="262626"/>
          <w:sz w:val="20"/>
          <w:szCs w:val="20"/>
        </w:rPr>
        <w:t xml:space="preserve">. L3 (YCIS_EXECUTE) and L1 (YRVG004_QAIS_EXECUTE_N1) were modified to hand over to the new levels.</w:t>
      </w:r>
    </w:p>
    <w:p>
      <w:r>
        <w:br w:type="page"/>
      </w:r>
    </w:p>
    <w:p>
      <w:pPr>
        <w:pStyle w:val="Heading1"/>
        <w:spacing w:after="110" w:before="240"/>
      </w:pPr>
      <w:r>
        <w:rPr>
          <w:b/>
          <w:bCs/>
          <w:color w:val="1F3864"/>
        </w:rPr>
        <w:t xml:space="preserve">4.  What each new program does</w:t>
      </w:r>
    </w:p>
    <w:p>
      <w:pPr>
        <w:spacing w:after="40" w:before="150"/>
      </w:pPr>
      <w:r>
        <w:rPr>
          <w:b/>
          <w:bCs/>
          <w:color w:val="2E5496"/>
          <w:sz w:val="23"/>
          <w:szCs w:val="23"/>
        </w:rPr>
        <w:t xml:space="preserve">L4 — YCIS_VET  (CPC Finance : Financial Vetting)</w:t>
      </w:r>
    </w:p>
    <w:p>
      <w:pPr>
        <w:spacing w:after="60"/>
        <w:ind w:left="0"/>
      </w:pPr>
      <w:r>
        <w:rPr>
          <w:i/>
          <w:iCs/>
          <w:color w:val="595959"/>
          <w:sz w:val="20"/>
          <w:szCs w:val="20"/>
        </w:rPr>
        <w:t xml:space="preserve">Receives rebate orders created at L3.</w:t>
      </w:r>
    </w:p>
    <w:p>
      <w:pPr>
        <w:pStyle w:val="ListParagraph"/>
        <w:numPr>
          <w:ilvl w:val="0"/>
          <w:numId w:val="1"/>
        </w:numPr>
        <w:spacing w:after="70"/>
      </w:pPr>
      <w:r>
        <w:rPr>
          <w:color w:val="262626"/>
          <w:sz w:val="22"/>
          <w:szCs w:val="22"/>
        </w:rPr>
        <w:t xml:space="preserve">Lists all records that are Pending L4 (across every sales office — CPC is central).</w:t>
      </w:r>
    </w:p>
    <w:p>
      <w:pPr>
        <w:pStyle w:val="ListParagraph"/>
        <w:numPr>
          <w:ilvl w:val="0"/>
          <w:numId w:val="1"/>
        </w:numPr>
        <w:spacing w:after="70"/>
      </w:pPr>
      <w:r>
        <w:rPr>
          <w:color w:val="262626"/>
          <w:sz w:val="22"/>
          <w:szCs w:val="22"/>
        </w:rPr>
        <w:t xml:space="preserve">The finance user reviews the rebate order and eligible PSD amount and clicks Approve to vet, or Reject.</w:t>
      </w:r>
    </w:p>
    <w:p>
      <w:pPr>
        <w:pStyle w:val="ListParagraph"/>
        <w:numPr>
          <w:ilvl w:val="0"/>
          <w:numId w:val="1"/>
        </w:numPr>
        <w:spacing w:after="70"/>
      </w:pPr>
      <w:r>
        <w:rPr>
          <w:color w:val="262626"/>
          <w:sz w:val="22"/>
          <w:szCs w:val="22"/>
        </w:rPr>
        <w:t xml:space="preserve">On vetting → status becomes Pending L5 and an e-mail alert goes to L5 (CPC Head).</w:t>
      </w:r>
    </w:p>
    <w:p>
      <w:pPr>
        <w:pStyle w:val="ListParagraph"/>
        <w:numPr>
          <w:ilvl w:val="0"/>
          <w:numId w:val="1"/>
        </w:numPr>
        <w:spacing w:after="70"/>
      </w:pPr>
      <w:r>
        <w:rPr>
          <w:color w:val="262626"/>
          <w:sz w:val="22"/>
          <w:szCs w:val="22"/>
        </w:rPr>
        <w:t xml:space="preserve">On reject → the record goes back to L1 for re-initiation and the sales office is alerted by e-mail.</w:t>
      </w:r>
    </w:p>
    <w:p>
      <w:pPr>
        <w:spacing w:after="40" w:before="150"/>
      </w:pPr>
      <w:r>
        <w:rPr>
          <w:b/>
          <w:bCs/>
          <w:color w:val="2E5496"/>
          <w:sz w:val="23"/>
          <w:szCs w:val="23"/>
        </w:rPr>
        <w:t xml:space="preserve">L5 — YCIS_APPRV5  (CPC Head : Final Approval)</w:t>
      </w:r>
    </w:p>
    <w:p>
      <w:pPr>
        <w:spacing w:after="60"/>
        <w:ind w:left="0"/>
      </w:pPr>
      <w:r>
        <w:rPr>
          <w:i/>
          <w:iCs/>
          <w:color w:val="595959"/>
          <w:sz w:val="20"/>
          <w:szCs w:val="20"/>
        </w:rPr>
        <w:t xml:space="preserve">Receives records vetted by L4.</w:t>
      </w:r>
    </w:p>
    <w:p>
      <w:pPr>
        <w:pStyle w:val="ListParagraph"/>
        <w:numPr>
          <w:ilvl w:val="0"/>
          <w:numId w:val="1"/>
        </w:numPr>
        <w:spacing w:after="70"/>
      </w:pPr>
      <w:r>
        <w:rPr>
          <w:color w:val="262626"/>
          <w:sz w:val="22"/>
          <w:szCs w:val="22"/>
        </w:rPr>
        <w:t xml:space="preserve">Lists all records that are Pending L5.</w:t>
      </w:r>
    </w:p>
    <w:p>
      <w:pPr>
        <w:pStyle w:val="ListParagraph"/>
        <w:numPr>
          <w:ilvl w:val="0"/>
          <w:numId w:val="1"/>
        </w:numPr>
        <w:spacing w:after="70"/>
      </w:pPr>
      <w:r>
        <w:rPr>
          <w:color w:val="262626"/>
          <w:sz w:val="22"/>
          <w:szCs w:val="22"/>
        </w:rPr>
        <w:t xml:space="preserve">The CPC Head grants Final Approval, or Rejects.</w:t>
      </w:r>
    </w:p>
    <w:p>
      <w:pPr>
        <w:pStyle w:val="ListParagraph"/>
        <w:numPr>
          <w:ilvl w:val="0"/>
          <w:numId w:val="1"/>
        </w:numPr>
        <w:spacing w:after="70"/>
      </w:pPr>
      <w:r>
        <w:rPr>
          <w:color w:val="262626"/>
          <w:sz w:val="22"/>
          <w:szCs w:val="22"/>
        </w:rPr>
        <w:t xml:space="preserve">On approval → status becomes Pending L6 and an e-mail alert goes to L6 (CPC Finance – Disbursement).</w:t>
      </w:r>
    </w:p>
    <w:p>
      <w:pPr>
        <w:pStyle w:val="ListParagraph"/>
        <w:numPr>
          <w:ilvl w:val="0"/>
          <w:numId w:val="1"/>
        </w:numPr>
        <w:spacing w:after="70"/>
      </w:pPr>
      <w:r>
        <w:rPr>
          <w:color w:val="262626"/>
          <w:sz w:val="22"/>
          <w:szCs w:val="22"/>
        </w:rPr>
        <w:t xml:space="preserve">On reject → back to L1 with e-mail alert to the sales office.</w:t>
      </w:r>
    </w:p>
    <w:p>
      <w:pPr>
        <w:spacing w:after="40" w:before="150"/>
      </w:pPr>
      <w:r>
        <w:rPr>
          <w:b/>
          <w:bCs/>
          <w:color w:val="2E5496"/>
          <w:sz w:val="23"/>
          <w:szCs w:val="23"/>
        </w:rPr>
        <w:t xml:space="preserve">L6 — YCIS_DISBURSE  (CPC Finance : Disbursement)</w:t>
      </w:r>
    </w:p>
    <w:p>
      <w:pPr>
        <w:spacing w:after="60"/>
        <w:ind w:left="0"/>
      </w:pPr>
      <w:r>
        <w:rPr>
          <w:i/>
          <w:iCs/>
          <w:color w:val="595959"/>
          <w:sz w:val="20"/>
          <w:szCs w:val="20"/>
        </w:rPr>
        <w:t xml:space="preserve">Final level — completes the workflow.</w:t>
      </w:r>
    </w:p>
    <w:p>
      <w:pPr>
        <w:pStyle w:val="ListParagraph"/>
        <w:numPr>
          <w:ilvl w:val="0"/>
          <w:numId w:val="1"/>
        </w:numPr>
        <w:spacing w:after="70"/>
      </w:pPr>
      <w:r>
        <w:rPr>
          <w:color w:val="262626"/>
          <w:sz w:val="22"/>
          <w:szCs w:val="22"/>
        </w:rPr>
        <w:t xml:space="preserve">Lists all records that are Pending L6.</w:t>
      </w:r>
    </w:p>
    <w:p>
      <w:pPr>
        <w:pStyle w:val="ListParagraph"/>
        <w:numPr>
          <w:ilvl w:val="0"/>
          <w:numId w:val="1"/>
        </w:numPr>
        <w:spacing w:after="70"/>
      </w:pPr>
      <w:r>
        <w:rPr>
          <w:color w:val="262626"/>
          <w:sz w:val="22"/>
          <w:szCs w:val="22"/>
        </w:rPr>
        <w:t xml:space="preserve">The finance user confirms Disbursement (the Approve button here reads 'Disburse'), or Rejects.</w:t>
      </w:r>
    </w:p>
    <w:p>
      <w:pPr>
        <w:pStyle w:val="ListParagraph"/>
        <w:numPr>
          <w:ilvl w:val="0"/>
          <w:numId w:val="1"/>
        </w:numPr>
        <w:spacing w:after="70"/>
      </w:pPr>
      <w:r>
        <w:rPr>
          <w:color w:val="262626"/>
          <w:sz w:val="22"/>
          <w:szCs w:val="22"/>
        </w:rPr>
        <w:t xml:space="preserve">On disbursement → status becomes Completed / Disbursed; a completion e-mail is sent to the originating sales office. No further action is required.</w:t>
      </w:r>
    </w:p>
    <w:p>
      <w:pPr>
        <w:pStyle w:val="ListParagraph"/>
        <w:numPr>
          <w:ilvl w:val="0"/>
          <w:numId w:val="1"/>
        </w:numPr>
        <w:spacing w:after="70"/>
      </w:pPr>
      <w:r>
        <w:rPr>
          <w:color w:val="262626"/>
          <w:sz w:val="22"/>
          <w:szCs w:val="22"/>
        </w:rPr>
        <w:t xml:space="preserve">On reject → back to L1 with e-mail alert.</w:t>
      </w:r>
    </w:p>
    <w:p>
      <w:pPr>
        <w:pStyle w:val="ListParagraph"/>
        <w:numPr>
          <w:ilvl w:val="0"/>
          <w:numId w:val="1"/>
        </w:numPr>
        <w:spacing w:after="70"/>
      </w:pPr>
      <w:r>
        <w:rPr>
          <w:color w:val="262626"/>
          <w:sz w:val="22"/>
          <w:szCs w:val="22"/>
        </w:rPr>
        <w:t xml:space="preserve">The actual credit-note / accounting posting is kept as a configurable hook and will be enabled once CPC Finance confirms the posting design; until then the level records completion of the approval workflow.</w:t>
      </w:r>
    </w:p>
    <w:p>
      <w:pPr>
        <w:pStyle w:val="Heading1"/>
        <w:spacing w:after="110" w:before="240"/>
      </w:pPr>
      <w:r>
        <w:rPr>
          <w:b/>
          <w:bCs/>
          <w:color w:val="1F3864"/>
        </w:rPr>
        <w:t xml:space="preserve">5.  Programs that were modified</w:t>
      </w:r>
    </w:p>
    <w:p>
      <w:pPr>
        <w:pStyle w:val="ListParagraph"/>
        <w:numPr>
          <w:ilvl w:val="0"/>
          <w:numId w:val="1"/>
        </w:numPr>
        <w:spacing w:after="70"/>
      </w:pPr>
      <w:r>
        <w:rPr>
          <w:b/>
          <w:bCs/>
          <w:color w:val="262626"/>
          <w:sz w:val="22"/>
          <w:szCs w:val="22"/>
        </w:rPr>
        <w:t xml:space="preserve">YCIS_EXECUTE (L3): </w:t>
      </w:r>
      <w:r>
        <w:rPr>
          <w:color w:val="262626"/>
          <w:sz w:val="22"/>
          <w:szCs w:val="22"/>
        </w:rPr>
        <w:t xml:space="preserve">on Execute, the rebate order is now forwarded to L4 (instead of being marked complete), and L4 is alerted by e-mail. Zero-lifting 'Group OK' records are also forwarded to L4.</w:t>
      </w:r>
    </w:p>
    <w:p>
      <w:pPr>
        <w:pStyle w:val="ListParagraph"/>
        <w:numPr>
          <w:ilvl w:val="0"/>
          <w:numId w:val="1"/>
        </w:numPr>
        <w:spacing w:after="70"/>
      </w:pPr>
      <w:r>
        <w:rPr>
          <w:b/>
          <w:bCs/>
          <w:color w:val="262626"/>
          <w:sz w:val="22"/>
          <w:szCs w:val="22"/>
        </w:rPr>
        <w:t xml:space="preserve">YRVG004_QAIS_EXECUTE_N1 (L1): </w:t>
      </w:r>
      <w:r>
        <w:rPr>
          <w:color w:val="262626"/>
          <w:sz w:val="22"/>
          <w:szCs w:val="22"/>
        </w:rPr>
        <w:t xml:space="preserve">records already forwarded into the L2–L6 chain are no longer shown for re-run, so a request cannot be duplicated once it is in the workflow.</w:t>
      </w:r>
    </w:p>
    <w:p>
      <w:pPr>
        <w:pStyle w:val="Heading1"/>
        <w:spacing w:after="110" w:before="240"/>
      </w:pPr>
      <w:r>
        <w:rPr>
          <w:b/>
          <w:bCs/>
          <w:color w:val="1F3864"/>
        </w:rPr>
        <w:t xml:space="preserve">6.  Master data / configuration CPC must maintain</w:t>
      </w:r>
    </w:p>
    <w:p>
      <w:pPr>
        <w:pStyle w:val="ListParagraph"/>
        <w:numPr>
          <w:ilvl w:val="0"/>
          <w:numId w:val="1"/>
        </w:numPr>
        <w:spacing w:after="70"/>
      </w:pPr>
      <w:r>
        <w:rPr>
          <w:b/>
          <w:bCs/>
          <w:color w:val="262626"/>
          <w:sz w:val="22"/>
          <w:szCs w:val="22"/>
        </w:rPr>
        <w:t xml:space="preserve">Approver hierarchy (table YCIS_WF_APPR): </w:t>
      </w:r>
      <w:r>
        <w:rPr>
          <w:color w:val="262626"/>
          <w:sz w:val="22"/>
          <w:szCs w:val="22"/>
        </w:rPr>
        <w:t xml:space="preserve">add the CPC approvers for the new levels — Level 4, Level 5 and Level 6 — with their SAP User ID and e-mail address. These three levels are central (maintained under the central office code). A user must be listed for a level to be able to act at that level and to receive alerts.</w:t>
      </w:r>
    </w:p>
    <w:p>
      <w:pPr>
        <w:pStyle w:val="ListParagraph"/>
        <w:numPr>
          <w:ilvl w:val="0"/>
          <w:numId w:val="1"/>
        </w:numPr>
        <w:spacing w:after="70"/>
      </w:pPr>
      <w:r>
        <w:rPr>
          <w:b/>
          <w:bCs/>
          <w:color w:val="262626"/>
          <w:sz w:val="22"/>
          <w:szCs w:val="22"/>
        </w:rPr>
        <w:t xml:space="preserve">Existing L1 e-mail IDs: </w:t>
      </w:r>
      <w:r>
        <w:rPr>
          <w:color w:val="262626"/>
          <w:sz w:val="22"/>
          <w:szCs w:val="22"/>
        </w:rPr>
        <w:t xml:space="preserve">ensure each sales office already has its Level-1 e-mail maintained, since reject and completion alerts are sent there.</w:t>
      </w:r>
    </w:p>
    <w:p>
      <w:pPr>
        <w:pStyle w:val="ListParagraph"/>
        <w:numPr>
          <w:ilvl w:val="0"/>
          <w:numId w:val="1"/>
        </w:numPr>
        <w:spacing w:after="70"/>
      </w:pPr>
      <w:r>
        <w:rPr>
          <w:b/>
          <w:bCs/>
          <w:color w:val="262626"/>
          <w:sz w:val="22"/>
          <w:szCs w:val="22"/>
        </w:rPr>
        <w:t xml:space="preserve">Transaction codes: </w:t>
      </w:r>
      <w:r>
        <w:rPr>
          <w:color w:val="262626"/>
          <w:sz w:val="22"/>
          <w:szCs w:val="22"/>
        </w:rPr>
        <w:t xml:space="preserve">assign a T-Code to each new program (column left blank in the table above) so CPC users can launch L4, L5 and L6 directly.</w:t>
      </w:r>
    </w:p>
    <w:p>
      <w:pPr>
        <w:pStyle w:val="ListParagraph"/>
        <w:numPr>
          <w:ilvl w:val="0"/>
          <w:numId w:val="1"/>
        </w:numPr>
        <w:spacing w:after="70"/>
      </w:pPr>
      <w:r>
        <w:rPr>
          <w:b/>
          <w:bCs/>
          <w:color w:val="262626"/>
          <w:sz w:val="22"/>
          <w:szCs w:val="22"/>
        </w:rPr>
        <w:t xml:space="preserve">Screen buttons (one-time technical setup): </w:t>
      </w:r>
      <w:r>
        <w:rPr>
          <w:color w:val="262626"/>
          <w:sz w:val="22"/>
          <w:szCs w:val="22"/>
        </w:rPr>
        <w:t xml:space="preserve">the Approve / Reject / Select-All / Deselect toolbar is set up once for each new program by the SAP team.</w:t>
      </w:r>
    </w:p>
    <w:p>
      <w:pPr>
        <w:pStyle w:val="Heading1"/>
        <w:spacing w:after="110" w:before="240"/>
      </w:pPr>
      <w:r>
        <w:rPr>
          <w:b/>
          <w:bCs/>
          <w:color w:val="1F3864"/>
        </w:rPr>
        <w:t xml:space="preserve">7.  Discount Approval Note (system-generated PDF)</w:t>
      </w:r>
    </w:p>
    <w:p>
      <w:pPr>
        <w:spacing w:after="120" w:before="0"/>
      </w:pPr>
      <w:r>
        <w:rPr>
          <w:color w:val="262626"/>
          <w:sz w:val="22"/>
          <w:szCs w:val="22"/>
        </w:rPr>
        <w:t xml:space="preserve">Along with the workflow, the system generates the Discount Approval Note as a PDF in the same format shared by GAIL (GAIL / Petrochemical Marketing Group header; Approval Note No., Reference No., Date; Subject / Variant; Background and Main Body; Discount total value; Approving Authority; and the L1 to L6 approval blocks). Each level's block carries the remarks entered at that level and the approver's digital signature, CPF number and time stamp, so the note is a complete, printable record of the approval trail.</w:t>
      </w:r>
    </w:p>
    <w:p>
      <w:pPr>
        <w:pStyle w:val="ListParagraph"/>
        <w:numPr>
          <w:ilvl w:val="0"/>
          <w:numId w:val="1"/>
        </w:numPr>
        <w:spacing w:after="70"/>
      </w:pPr>
      <w:r>
        <w:rPr>
          <w:b/>
          <w:bCs/>
          <w:color w:val="262626"/>
          <w:sz w:val="22"/>
          <w:szCs w:val="22"/>
        </w:rPr>
        <w:t xml:space="preserve">Where it is produced: </w:t>
      </w:r>
      <w:r>
        <w:rPr>
          <w:color w:val="262626"/>
          <w:sz w:val="22"/>
          <w:szCs w:val="22"/>
        </w:rPr>
        <w:t xml:space="preserve">the note can be printed / viewed on demand from the report (YRVG052) for any CIS record, and is produced automatically when the discount is disbursed at L6 - at which point all six levels' signatures and time stamps are available.</w:t>
      </w:r>
    </w:p>
    <w:p>
      <w:pPr>
        <w:pStyle w:val="ListParagraph"/>
        <w:numPr>
          <w:ilvl w:val="0"/>
          <w:numId w:val="1"/>
        </w:numPr>
        <w:spacing w:after="70"/>
      </w:pPr>
      <w:r>
        <w:rPr>
          <w:b/>
          <w:bCs/>
          <w:color w:val="262626"/>
          <w:sz w:val="22"/>
          <w:szCs w:val="22"/>
        </w:rPr>
        <w:t xml:space="preserve">What fills it: </w:t>
      </w:r>
      <w:r>
        <w:rPr>
          <w:color w:val="262626"/>
          <w:sz w:val="22"/>
          <w:szCs w:val="22"/>
        </w:rPr>
        <w:t xml:space="preserve">the figures and the L1 to L6 signature lines are taken directly from the approval record (customer, variant, total discount value, and each level's user, date, time and remarks) - nothing is keyed in manually.</w:t>
      </w:r>
    </w:p>
    <w:p>
      <w:pPr>
        <w:pStyle w:val="ListParagraph"/>
        <w:numPr>
          <w:ilvl w:val="0"/>
          <w:numId w:val="1"/>
        </w:numPr>
        <w:spacing w:after="70"/>
      </w:pPr>
      <w:r>
        <w:rPr>
          <w:b/>
          <w:bCs/>
          <w:color w:val="262626"/>
          <w:sz w:val="22"/>
          <w:szCs w:val="22"/>
        </w:rPr>
        <w:t xml:space="preserve">Technical objects (for reference): </w:t>
      </w:r>
      <w:r>
        <w:rPr>
          <w:color w:val="262626"/>
          <w:sz w:val="22"/>
          <w:szCs w:val="22"/>
        </w:rPr>
        <w:t xml:space="preserve">SAP Interactive Form (Adobe) ZCIS_PSD_APPR_NOTE with interface structure ZCIS_APPR_NOTE_S; rendered by a print driver from the CIS workflow.</w:t>
      </w:r>
    </w:p>
    <w:p>
      <w:pPr>
        <w:pStyle w:val="Heading1"/>
        <w:spacing w:after="110" w:before="240"/>
      </w:pPr>
      <w:r>
        <w:rPr>
          <w:b/>
          <w:bCs/>
          <w:color w:val="1F3864"/>
        </w:rPr>
        <w:t xml:space="preserve">8.  Points to note</w:t>
      </w:r>
    </w:p>
    <w:p>
      <w:pPr>
        <w:pStyle w:val="ListParagraph"/>
        <w:numPr>
          <w:ilvl w:val="0"/>
          <w:numId w:val="1"/>
        </w:numPr>
        <w:spacing w:after="70"/>
      </w:pPr>
      <w:r>
        <w:rPr>
          <w:color w:val="262626"/>
          <w:sz w:val="22"/>
          <w:szCs w:val="22"/>
        </w:rPr>
        <w:t xml:space="preserve">Every record now passes through all six levels before the discount is disbursed; a rejection at any level returns it to L1.</w:t>
      </w:r>
    </w:p>
    <w:p>
      <w:pPr>
        <w:pStyle w:val="ListParagraph"/>
        <w:numPr>
          <w:ilvl w:val="0"/>
          <w:numId w:val="1"/>
        </w:numPr>
        <w:spacing w:after="70"/>
      </w:pPr>
      <w:r>
        <w:rPr>
          <w:color w:val="262626"/>
          <w:sz w:val="22"/>
          <w:szCs w:val="22"/>
        </w:rPr>
        <w:t xml:space="preserve">The person acting at each level is recorded with user, date and time, giving a complete, auditable trail from L1 to L6.</w:t>
      </w:r>
    </w:p>
    <w:p>
      <w:pPr>
        <w:pStyle w:val="ListParagraph"/>
        <w:numPr>
          <w:ilvl w:val="0"/>
          <w:numId w:val="1"/>
        </w:numPr>
        <w:spacing w:after="70"/>
      </w:pPr>
      <w:r>
        <w:rPr>
          <w:color w:val="262626"/>
          <w:sz w:val="22"/>
          <w:szCs w:val="22"/>
        </w:rPr>
        <w:t xml:space="preserve">E-mail alerts are sent at each hand-over and on every rejection, so the next approver and the sales office always know the current status.</w:t>
      </w:r>
    </w:p>
    <w:p>
      <w:pPr>
        <w:pStyle w:val="ListParagraph"/>
        <w:numPr>
          <w:ilvl w:val="0"/>
          <w:numId w:val="1"/>
        </w:numPr>
        <w:spacing w:after="70"/>
      </w:pPr>
      <w:r>
        <w:rPr>
          <w:color w:val="262626"/>
          <w:sz w:val="22"/>
          <w:szCs w:val="22"/>
        </w:rPr>
        <w:t xml:space="preserve">The reporting view (YRVG052) continues to show the customer-wise / grade-wise status, now including the new levels.</w:t>
      </w:r>
    </w:p>
    <w:p>
      <w:pPr>
        <w:pBdr>
          <w:bottom w:val="single" w:color="2E5496" w:sz="8" w:space="1"/>
        </w:pBdr>
        <w:spacing w:after="140" w:before="60"/>
      </w:pPr>
    </w:p>
    <w:p>
      <w:pPr>
        <w:spacing w:after="0" w:before="0"/>
      </w:pPr>
      <w:r>
        <w:rPr>
          <w:i/>
          <w:iCs/>
          <w:color w:val="595959"/>
          <w:sz w:val="22"/>
          <w:szCs w:val="22"/>
        </w:rPr>
        <w:t xml:space="preserve">Please confirm the T-Codes to be assigned to the three new programs and the CPC users for Levels 4, 5 and 6, so the setup can be completed for go-live.</w:t>
      </w:r>
    </w:p>
    <w:sectPr>
      <w:headerReference w:type="default" r:id="rId7"/>
      <w:footerReference w:type="default" r:id="rId8"/>
      <w:pgSz w:w="12240" w:h="15840" w:orient="portrait"/>
      <w:pgMar w:top="1350" w:right="1350" w:bottom="13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CIS 2026-27 — 6-Level CPC Workflow  |  Functional &amp; Program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2026-08-24T10:19:40.996Z</dcterms:created>
  <dcterms:modified xsi:type="dcterms:W3CDTF">2026-08-24T10:19:41.010Z</dcterms:modified>
</cp:coreProperties>
</file>

<file path=docProps/custom.xml><?xml version="1.0" encoding="utf-8"?>
<Properties xmlns="http://schemas.openxmlformats.org/officeDocument/2006/custom-properties" xmlns:vt="http://schemas.openxmlformats.org/officeDocument/2006/docPropsVTypes"/>
</file>