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4E79"/>
          <w:sz w:val="44"/>
          <w:szCs w:val="44"/>
        </w:rPr>
        <w:t xml:space="preserve">ONGC Videsh — SAP Daily Production Report</w:t>
      </w:r>
    </w:p>
    <w:p>
      <w:pPr>
        <w:spacing w:before="160"/>
        <w:jc w:val="center"/>
      </w:pPr>
      <w:r>
        <w:rPr>
          <w:b/>
          <w:bCs/>
          <w:color w:val="404040"/>
          <w:sz w:val="30"/>
          <w:szCs w:val="30"/>
        </w:rPr>
        <w:t xml:space="preserve">Issues reported on 01-Oct-2026 (DPR for September 2026)</w:t>
      </w:r>
    </w:p>
    <w:p>
      <w:pPr>
        <w:spacing w:before="160"/>
        <w:jc w:val="center"/>
      </w:pPr>
      <w:r>
        <w:rPr>
          <w:color w:val="404040"/>
          <w:sz w:val="24"/>
          <w:szCs w:val="24"/>
        </w:rPr>
        <w:t xml:space="preserve">Analysis of the screenshots, root cause per item, and proposed corrections</w:t>
      </w:r>
    </w:p>
    <w:p>
      <w:pPr>
        <w:spacing w:before="500"/>
        <w:jc w:val="center"/>
      </w:pPr>
      <w:r>
        <w:rPr>
          <w:i/>
          <w:iCs/>
          <w:color w:val="606060"/>
          <w:sz w:val="20"/>
          <w:szCs w:val="20"/>
        </w:rPr>
        <w:t xml:space="preserve">Reference: e-mail 'Error in SAP Entry for Daily production Report' from GM (P), Management &amp; Technical Cell, forwarded by SAP India on 01-Oct-2026</w:t>
      </w:r>
    </w:p>
    <w:p>
      <w:r>
        <w:br w:type="page"/>
      </w:r>
    </w:p>
    <w:p>
      <w:pPr>
        <w:pStyle w:val="Heading1"/>
        <w:spacing w:after="160" w:before="320"/>
      </w:pPr>
      <w:r>
        <w:t xml:space="preserve">1. What was reported</w:t>
      </w:r>
    </w:p>
    <w:p>
      <w:pPr>
        <w:spacing w:after="120"/>
      </w:pPr>
      <w:r>
        <w:rPr>
          <w:b w:val="false"/>
          <w:bCs w:val="false"/>
          <w:i w:val="false"/>
          <w:iCs w:val="false"/>
          <w:sz w:val="21"/>
          <w:szCs w:val="21"/>
        </w:rPr>
        <w:t xml:space="preserve">The Technical Cell circulated the SAP DPR output of 01-Oct-2026 15:41 (September 2026, oil and gas sheets and the remarks sheet) and marked a number of cells as false or missing. Because of these figures the SAP DPR is currently not being circulated and the old Excel is used instead. Three screenshots were attached; the circled cells are reproduced below.</w:t>
      </w:r>
    </w:p>
    <w:p>
      <w:pPr>
        <w:spacing w:after="12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33750"/>
                    </a:xfrm>
                    <a:prstGeom prst="rect">
                      <a:avLst/>
                    </a:prstGeom>
                  </pic:spPr>
                </pic:pic>
              </a:graphicData>
            </a:graphic>
          </wp:inline>
        </w:drawing>
      </w:r>
    </w:p>
    <w:p>
      <w:pPr>
        <w:spacing w:after="120"/>
        <w:jc w:val="center"/>
      </w:pPr>
      <w:r>
        <w:drawing>
          <wp:inline distT="0" distB="0" distL="0" distR="0">
            <wp:extent cx="59055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67175"/>
                    </a:xfrm>
                    <a:prstGeom prst="rect">
                      <a:avLst/>
                    </a:prstGeom>
                  </pic:spPr>
                </pic:pic>
              </a:graphicData>
            </a:graphic>
          </wp:inline>
        </w:drawing>
      </w:r>
    </w:p>
    <w:p>
      <w:pPr>
        <w:spacing w:after="120"/>
        <w:jc w:val="center"/>
      </w:pPr>
      <w:r>
        <w:drawing>
          <wp:inline distT="0" distB="0" distL="0" distR="0">
            <wp:extent cx="53340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752600"/>
                    </a:xfrm>
                    <a:prstGeom prst="rect">
                      <a:avLst/>
                    </a:prstGeom>
                  </pic:spPr>
                </pic:pic>
              </a:graphicData>
            </a:graphic>
          </wp:inline>
        </w:drawing>
      </w:r>
    </w:p>
    <w:p>
      <w:r>
        <w:br w:type="page"/>
      </w:r>
    </w:p>
    <w:p>
      <w:pPr>
        <w:pStyle w:val="Heading1"/>
        <w:spacing w:after="160" w:before="320"/>
      </w:pPr>
      <w:r>
        <w:t xml:space="preserve">2. Findings in one table</w:t>
      </w:r>
    </w:p>
    <w:p>
      <w:pPr>
        <w:spacing w:after="120"/>
      </w:pPr>
      <w:r>
        <w:rPr>
          <w:b w:val="false"/>
          <w:bCs w:val="false"/>
          <w:i w:val="false"/>
          <w:iCs w:val="false"/>
          <w:sz w:val="21"/>
          <w:szCs w:val="21"/>
        </w:rPr>
        <w:t xml:space="preserve">Each marked cell was traced to either the data entered in SAP or to the behaviour of the report program ZPRA_DPR_REPORT. Colour: amber = data entry, red = program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700"/>
        <w:gridCol w:w="4460"/>
      </w:tblGrid>
      <w:tr>
        <w:trPr>
          <w:tblHeader/>
        </w:trPr>
        <w:tc>
          <w:tcPr>
            <w:tcW w:type="dxa" w:w="400"/>
            <w:shd w:fill="1F4E79" w:val="clear"/>
            <w:tcMar>
              <w:top w:type="dxa" w:w="60"/>
              <w:left w:type="dxa" w:w="100"/>
              <w:bottom w:type="dxa" w:w="60"/>
              <w:right w:type="dxa" w:w="100"/>
            </w:tcMar>
          </w:tcPr>
          <w:p>
            <w:pPr>
              <w:spacing w:after="0"/>
            </w:pPr>
            <w:r>
              <w:rPr>
                <w:b/>
                <w:bCs/>
                <w:color w:val="FFFFFF"/>
                <w:sz w:val="18"/>
                <w:szCs w:val="18"/>
              </w:rPr>
              <w:t xml:space="preserve">#</w:t>
            </w:r>
          </w:p>
        </w:tc>
        <w:tc>
          <w:tcPr>
            <w:tcW w:type="dxa" w:w="2800"/>
            <w:shd w:fill="1F4E79" w:val="clear"/>
            <w:tcMar>
              <w:top w:type="dxa" w:w="60"/>
              <w:left w:type="dxa" w:w="100"/>
              <w:bottom w:type="dxa" w:w="60"/>
              <w:right w:type="dxa" w:w="100"/>
            </w:tcMar>
          </w:tcPr>
          <w:p>
            <w:pPr>
              <w:spacing w:after="0"/>
            </w:pPr>
            <w:r>
              <w:rPr>
                <w:b/>
                <w:bCs/>
                <w:color w:val="FFFFFF"/>
                <w:sz w:val="18"/>
                <w:szCs w:val="18"/>
              </w:rPr>
              <w:t xml:space="preserve">What is seen</w:t>
            </w:r>
          </w:p>
        </w:tc>
        <w:tc>
          <w:tcPr>
            <w:tcW w:type="dxa" w:w="1700"/>
            <w:shd w:fill="1F4E79" w:val="clear"/>
            <w:tcMar>
              <w:top w:type="dxa" w:w="60"/>
              <w:left w:type="dxa" w:w="100"/>
              <w:bottom w:type="dxa" w:w="60"/>
              <w:right w:type="dxa" w:w="100"/>
            </w:tcMar>
          </w:tcPr>
          <w:p>
            <w:pPr>
              <w:spacing w:after="0"/>
            </w:pPr>
            <w:r>
              <w:rPr>
                <w:b/>
                <w:bCs/>
                <w:color w:val="FFFFFF"/>
                <w:sz w:val="18"/>
                <w:szCs w:val="18"/>
              </w:rPr>
              <w:t xml:space="preserve">Cause</w:t>
            </w:r>
          </w:p>
        </w:tc>
        <w:tc>
          <w:tcPr>
            <w:tcW w:type="dxa" w:w="4460"/>
            <w:shd w:fill="1F4E79" w:val="clear"/>
            <w:tcMar>
              <w:top w:type="dxa" w:w="60"/>
              <w:left w:type="dxa" w:w="100"/>
              <w:bottom w:type="dxa" w:w="60"/>
              <w:right w:type="dxa" w:w="100"/>
            </w:tcMar>
          </w:tcPr>
          <w:p>
            <w:pPr>
              <w:spacing w:after="0"/>
            </w:pPr>
            <w:r>
              <w:rPr>
                <w:b/>
                <w:bCs/>
                <w:color w:val="FFFFFF"/>
                <w:sz w:val="18"/>
                <w:szCs w:val="18"/>
              </w:rPr>
              <w:t xml:space="preserve">Explanation</w:t>
            </w:r>
          </w:p>
        </w:tc>
      </w:tr>
      <w:tr>
        <w:tc>
          <w:tcPr>
            <w:tcW w:type="dxa" w:w="400"/>
            <w:shd w:fill="FFFFFF" w:val="clear"/>
            <w:tcMar>
              <w:top w:type="dxa" w:w="60"/>
              <w:left w:type="dxa" w:w="100"/>
              <w:bottom w:type="dxa" w:w="60"/>
              <w:right w:type="dxa" w:w="100"/>
            </w:tcMar>
          </w:tcPr>
          <w:p>
            <w:pPr>
              <w:spacing w:after="0"/>
            </w:pPr>
            <w:r>
              <w:rPr>
                <w:b w:val="false"/>
                <w:bCs w:val="false"/>
                <w:sz w:val="18"/>
                <w:szCs w:val="18"/>
              </w:rPr>
              <w:t xml:space="preserve">1</w:t>
            </w:r>
          </w:p>
        </w:tc>
        <w:tc>
          <w:tcPr>
            <w:tcW w:type="dxa" w:w="2800"/>
            <w:shd w:fill="FFFFFF" w:val="clear"/>
            <w:tcMar>
              <w:top w:type="dxa" w:w="60"/>
              <w:left w:type="dxa" w:w="100"/>
              <w:bottom w:type="dxa" w:w="60"/>
              <w:right w:type="dxa" w:w="100"/>
            </w:tcMar>
          </w:tcPr>
          <w:p>
            <w:pPr>
              <w:spacing w:after="0"/>
            </w:pPr>
            <w:r>
              <w:rPr>
                <w:b w:val="false"/>
                <w:bCs w:val="false"/>
                <w:sz w:val="18"/>
                <w:szCs w:val="18"/>
              </w:rPr>
              <w:t xml:space="preserve">Brazil BC-60 oil 123,840 and gas 5.326 on every day of September, in yellow</w:t>
            </w:r>
          </w:p>
        </w:tc>
        <w:tc>
          <w:tcPr>
            <w:tcW w:type="dxa" w:w="1700"/>
            <w:shd w:fill="FCE4D6" w:val="clear"/>
            <w:tcMar>
              <w:top w:type="dxa" w:w="60"/>
              <w:left w:type="dxa" w:w="100"/>
              <w:bottom w:type="dxa" w:w="60"/>
              <w:right w:type="dxa" w:w="100"/>
            </w:tcMar>
          </w:tcPr>
          <w:p>
            <w:pPr>
              <w:spacing w:after="0"/>
            </w:pPr>
            <w:r>
              <w:rPr>
                <w:b w:val="false"/>
                <w:bCs w:val="false"/>
                <w:sz w:val="18"/>
                <w:szCs w:val="18"/>
              </w:rPr>
              <w:t xml:space="preserve">Program (carry-forward)</w:t>
            </w:r>
          </w:p>
        </w:tc>
        <w:tc>
          <w:tcPr>
            <w:tcW w:type="dxa" w:w="4460"/>
            <w:shd w:fill="FFFFFF" w:val="clear"/>
            <w:tcMar>
              <w:top w:type="dxa" w:w="60"/>
              <w:left w:type="dxa" w:w="100"/>
              <w:bottom w:type="dxa" w:w="60"/>
              <w:right w:type="dxa" w:w="100"/>
            </w:tcMar>
          </w:tcPr>
          <w:p>
            <w:pPr>
              <w:spacing w:after="0"/>
            </w:pPr>
            <w:r>
              <w:rPr>
                <w:b w:val="false"/>
                <w:bCs w:val="false"/>
                <w:sz w:val="18"/>
                <w:szCs w:val="18"/>
              </w:rPr>
              <w:t xml:space="preserve">No BC-60 entry exists after 31-Aug. The report fills a missing day with the previous day's cell and colours it yellow, and it does this day after day without limit. A full month of copied values is counted in MTD and YTD totals.</w:t>
            </w:r>
          </w:p>
        </w:tc>
      </w:tr>
      <w:tr>
        <w:tc>
          <w:tcPr>
            <w:tcW w:type="dxa" w:w="400"/>
            <w:shd w:fill="F2F2F2" w:val="clear"/>
            <w:tcMar>
              <w:top w:type="dxa" w:w="60"/>
              <w:left w:type="dxa" w:w="100"/>
              <w:bottom w:type="dxa" w:w="60"/>
              <w:right w:type="dxa" w:w="100"/>
            </w:tcMar>
          </w:tcPr>
          <w:p>
            <w:pPr>
              <w:spacing w:after="0"/>
            </w:pPr>
            <w:r>
              <w:rPr>
                <w:b w:val="false"/>
                <w:bCs w:val="false"/>
                <w:sz w:val="18"/>
                <w:szCs w:val="18"/>
              </w:rPr>
              <w:t xml:space="preserve">2</w:t>
            </w:r>
          </w:p>
        </w:tc>
        <w:tc>
          <w:tcPr>
            <w:tcW w:type="dxa" w:w="2800"/>
            <w:shd w:fill="F2F2F2" w:val="clear"/>
            <w:tcMar>
              <w:top w:type="dxa" w:w="60"/>
              <w:left w:type="dxa" w:w="100"/>
              <w:bottom w:type="dxa" w:w="60"/>
              <w:right w:type="dxa" w:w="100"/>
            </w:tcMar>
          </w:tcPr>
          <w:p>
            <w:pPr>
              <w:spacing w:after="0"/>
            </w:pPr>
            <w:r>
              <w:rPr>
                <w:b w:val="false"/>
                <w:bCs w:val="false"/>
                <w:sz w:val="18"/>
                <w:szCs w:val="18"/>
              </w:rPr>
              <w:t xml:space="preserve">30-Sep row: BC-10, CPO-5, MECL, Vankor, GPOC, SPOC oil in yellow (same as 29-Sep)</w:t>
            </w:r>
          </w:p>
        </w:tc>
        <w:tc>
          <w:tcPr>
            <w:tcW w:type="dxa" w:w="1700"/>
            <w:shd w:fill="F2F2F2" w:val="clear"/>
            <w:tcMar>
              <w:top w:type="dxa" w:w="60"/>
              <w:left w:type="dxa" w:w="100"/>
              <w:bottom w:type="dxa" w:w="60"/>
              <w:right w:type="dxa" w:w="100"/>
            </w:tcMar>
          </w:tcPr>
          <w:p>
            <w:pPr>
              <w:spacing w:after="0"/>
            </w:pPr>
            <w:r>
              <w:rPr>
                <w:b w:val="false"/>
                <w:bCs w:val="false"/>
                <w:sz w:val="18"/>
                <w:szCs w:val="18"/>
              </w:rPr>
              <w:t xml:space="preserve">Expected behaviour</w:t>
            </w:r>
          </w:p>
        </w:tc>
        <w:tc>
          <w:tcPr>
            <w:tcW w:type="dxa" w:w="4460"/>
            <w:shd w:fill="F2F2F2" w:val="clear"/>
            <w:tcMar>
              <w:top w:type="dxa" w:w="60"/>
              <w:left w:type="dxa" w:w="100"/>
              <w:bottom w:type="dxa" w:w="60"/>
              <w:right w:type="dxa" w:w="100"/>
            </w:tcMar>
          </w:tcPr>
          <w:p>
            <w:pPr>
              <w:spacing w:after="0"/>
            </w:pPr>
            <w:r>
              <w:rPr>
                <w:b w:val="false"/>
                <w:bCs w:val="false"/>
                <w:sz w:val="18"/>
                <w:szCs w:val="18"/>
              </w:rPr>
              <w:t xml:space="preserve">Previous-day data: these assets had not reported for 30-Sep when the report ran at 15:41 on 01-Oct. The yellow colour marks this correctly. The Excel adds the note 'Prev. day data for …'; the SAP report does not.</w:t>
            </w:r>
          </w:p>
        </w:tc>
      </w:tr>
      <w:tr>
        <w:tc>
          <w:tcPr>
            <w:tcW w:type="dxa" w:w="400"/>
            <w:shd w:fill="FFFFFF" w:val="clear"/>
            <w:tcMar>
              <w:top w:type="dxa" w:w="60"/>
              <w:left w:type="dxa" w:w="100"/>
              <w:bottom w:type="dxa" w:w="60"/>
              <w:right w:type="dxa" w:w="100"/>
            </w:tcMar>
          </w:tcPr>
          <w:p>
            <w:pPr>
              <w:spacing w:after="0"/>
            </w:pPr>
            <w:r>
              <w:rPr>
                <w:b w:val="false"/>
                <w:bCs w:val="false"/>
                <w:sz w:val="18"/>
                <w:szCs w:val="18"/>
              </w:rPr>
              <w:t xml:space="preserve">3</w:t>
            </w:r>
          </w:p>
        </w:tc>
        <w:tc>
          <w:tcPr>
            <w:tcW w:type="dxa" w:w="2800"/>
            <w:shd w:fill="FFFFFF" w:val="clear"/>
            <w:tcMar>
              <w:top w:type="dxa" w:w="60"/>
              <w:left w:type="dxa" w:w="100"/>
              <w:bottom w:type="dxa" w:w="60"/>
              <w:right w:type="dxa" w:w="100"/>
            </w:tcMar>
          </w:tcPr>
          <w:p>
            <w:pPr>
              <w:spacing w:after="0"/>
            </w:pPr>
            <w:r>
              <w:rPr>
                <w:b w:val="false"/>
                <w:bCs w:val="false"/>
                <w:sz w:val="18"/>
                <w:szCs w:val="18"/>
              </w:rPr>
              <w:t xml:space="preserve">Azerbaijan ACG oil 30-Sep = 203,033 (normal 310,000–340,000)</w:t>
            </w:r>
          </w:p>
        </w:tc>
        <w:tc>
          <w:tcPr>
            <w:tcW w:type="dxa" w:w="1700"/>
            <w:shd w:fill="FFF2CC" w:val="clear"/>
            <w:tcMar>
              <w:top w:type="dxa" w:w="60"/>
              <w:left w:type="dxa" w:w="100"/>
              <w:bottom w:type="dxa" w:w="60"/>
              <w:right w:type="dxa" w:w="100"/>
            </w:tcMar>
          </w:tcPr>
          <w:p>
            <w:pPr>
              <w:spacing w:after="0"/>
            </w:pPr>
            <w:r>
              <w:rPr>
                <w:b w:val="false"/>
                <w:bCs w:val="false"/>
                <w:sz w:val="18"/>
                <w:szCs w:val="18"/>
              </w:rPr>
              <w:t xml:space="preserve">Data entry (incomplete)</w:t>
            </w:r>
          </w:p>
        </w:tc>
        <w:tc>
          <w:tcPr>
            <w:tcW w:type="dxa" w:w="4460"/>
            <w:shd w:fill="FFFFFF" w:val="clear"/>
            <w:tcMar>
              <w:top w:type="dxa" w:w="60"/>
              <w:left w:type="dxa" w:w="100"/>
              <w:bottom w:type="dxa" w:w="60"/>
              <w:right w:type="dxa" w:w="100"/>
            </w:tcMar>
          </w:tcPr>
          <w:p>
            <w:pPr>
              <w:spacing w:after="0"/>
            </w:pPr>
            <w:r>
              <w:rPr>
                <w:b w:val="false"/>
                <w:bCs w:val="false"/>
                <w:sz w:val="18"/>
                <w:szCs w:val="18"/>
              </w:rPr>
              <w:t xml:space="preserve">ACG is entered as several blocks; the four identical ACG remarks for 30-Sep show four rows. One block's row is missing or entered low, so the asset total is understated. The report only carries forward when the whole asset is missing, so a partial asset is shown as a real figure without any marking.</w:t>
            </w:r>
          </w:p>
        </w:tc>
      </w:tr>
      <w:tr>
        <w:tc>
          <w:tcPr>
            <w:tcW w:type="dxa" w:w="400"/>
            <w:shd w:fill="F2F2F2" w:val="clear"/>
            <w:tcMar>
              <w:top w:type="dxa" w:w="60"/>
              <w:left w:type="dxa" w:w="100"/>
              <w:bottom w:type="dxa" w:w="60"/>
              <w:right w:type="dxa" w:w="100"/>
            </w:tcMar>
          </w:tcPr>
          <w:p>
            <w:pPr>
              <w:spacing w:after="0"/>
            </w:pPr>
            <w:r>
              <w:rPr>
                <w:b w:val="false"/>
                <w:bCs w:val="false"/>
                <w:sz w:val="18"/>
                <w:szCs w:val="18"/>
              </w:rPr>
              <w:t xml:space="preserve">4</w:t>
            </w:r>
          </w:p>
        </w:tc>
        <w:tc>
          <w:tcPr>
            <w:tcW w:type="dxa" w:w="2800"/>
            <w:shd w:fill="F2F2F2" w:val="clear"/>
            <w:tcMar>
              <w:top w:type="dxa" w:w="60"/>
              <w:left w:type="dxa" w:w="100"/>
              <w:bottom w:type="dxa" w:w="60"/>
              <w:right w:type="dxa" w:w="100"/>
            </w:tcMar>
          </w:tcPr>
          <w:p>
            <w:pPr>
              <w:spacing w:after="0"/>
            </w:pPr>
            <w:r>
              <w:rPr>
                <w:b w:val="false"/>
                <w:bCs w:val="false"/>
                <w:sz w:val="18"/>
                <w:szCs w:val="18"/>
              </w:rPr>
              <w:t xml:space="preserve">Venezuela Carabobo oil 29-Sep = 7 (normal about 7,000) and gas 29-Sep = 0.006 (normal about 0.19)</w:t>
            </w:r>
          </w:p>
        </w:tc>
        <w:tc>
          <w:tcPr>
            <w:tcW w:type="dxa" w:w="1700"/>
            <w:shd w:fill="FFF2CC" w:val="clear"/>
            <w:tcMar>
              <w:top w:type="dxa" w:w="60"/>
              <w:left w:type="dxa" w:w="100"/>
              <w:bottom w:type="dxa" w:w="60"/>
              <w:right w:type="dxa" w:w="100"/>
            </w:tcMar>
          </w:tcPr>
          <w:p>
            <w:pPr>
              <w:spacing w:after="0"/>
            </w:pPr>
            <w:r>
              <w:rPr>
                <w:b w:val="false"/>
                <w:bCs w:val="false"/>
                <w:sz w:val="18"/>
                <w:szCs w:val="18"/>
              </w:rPr>
              <w:t xml:space="preserve">Data entry (wrong value)</w:t>
            </w:r>
          </w:p>
        </w:tc>
        <w:tc>
          <w:tcPr>
            <w:tcW w:type="dxa" w:w="4460"/>
            <w:shd w:fill="F2F2F2" w:val="clear"/>
            <w:tcMar>
              <w:top w:type="dxa" w:w="60"/>
              <w:left w:type="dxa" w:w="100"/>
              <w:bottom w:type="dxa" w:w="60"/>
              <w:right w:type="dxa" w:w="100"/>
            </w:tcMar>
          </w:tcPr>
          <w:p>
            <w:pPr>
              <w:spacing w:after="0"/>
            </w:pPr>
            <w:r>
              <w:rPr>
                <w:b w:val="false"/>
                <w:bCs w:val="false"/>
                <w:sz w:val="18"/>
                <w:szCs w:val="18"/>
              </w:rPr>
              <w:t xml:space="preserve">Values entered a thousand times too small, most likely entered in thousands or with a wrong unit. The report has no plausibility check, so the figure is printed as entered.</w:t>
            </w:r>
          </w:p>
        </w:tc>
      </w:tr>
      <w:tr>
        <w:tc>
          <w:tcPr>
            <w:tcW w:type="dxa" w:w="400"/>
            <w:shd w:fill="FFFFFF" w:val="clear"/>
            <w:tcMar>
              <w:top w:type="dxa" w:w="60"/>
              <w:left w:type="dxa" w:w="100"/>
              <w:bottom w:type="dxa" w:w="60"/>
              <w:right w:type="dxa" w:w="100"/>
            </w:tcMar>
          </w:tcPr>
          <w:p>
            <w:pPr>
              <w:spacing w:after="0"/>
            </w:pPr>
            <w:r>
              <w:rPr>
                <w:b w:val="false"/>
                <w:bCs w:val="false"/>
                <w:sz w:val="18"/>
                <w:szCs w:val="18"/>
              </w:rPr>
              <w:t xml:space="preserve">5</w:t>
            </w:r>
          </w:p>
        </w:tc>
        <w:tc>
          <w:tcPr>
            <w:tcW w:type="dxa" w:w="2800"/>
            <w:shd w:fill="FFFFFF" w:val="clear"/>
            <w:tcMar>
              <w:top w:type="dxa" w:w="60"/>
              <w:left w:type="dxa" w:w="100"/>
              <w:bottom w:type="dxa" w:w="60"/>
              <w:right w:type="dxa" w:w="100"/>
            </w:tcMar>
          </w:tcPr>
          <w:p>
            <w:pPr>
              <w:spacing w:after="0"/>
            </w:pPr>
            <w:r>
              <w:rPr>
                <w:b w:val="false"/>
                <w:bCs w:val="false"/>
                <w:sz w:val="18"/>
                <w:szCs w:val="18"/>
              </w:rPr>
              <w:t xml:space="preserve">ACG gas 30-Sep = 834,117.965; Total Gas = −24,393.514 MMSCMD; Total BOEPD = −153,286,799; monthly average ACG gas 27,797</w:t>
            </w:r>
          </w:p>
        </w:tc>
        <w:tc>
          <w:tcPr>
            <w:tcW w:type="dxa" w:w="1700"/>
            <w:shd w:fill="FFF2CC" w:val="clear"/>
            <w:tcMar>
              <w:top w:type="dxa" w:w="60"/>
              <w:left w:type="dxa" w:w="100"/>
              <w:bottom w:type="dxa" w:w="60"/>
              <w:right w:type="dxa" w:w="100"/>
            </w:tcMar>
          </w:tcPr>
          <w:p>
            <w:pPr>
              <w:spacing w:after="0"/>
            </w:pPr>
            <w:r>
              <w:rPr>
                <w:b w:val="false"/>
                <w:bCs w:val="false"/>
                <w:sz w:val="18"/>
                <w:szCs w:val="18"/>
              </w:rPr>
              <w:t xml:space="preserve">Data entry (unit) + Program (no guard)</w:t>
            </w:r>
          </w:p>
        </w:tc>
        <w:tc>
          <w:tcPr>
            <w:tcW w:type="dxa" w:w="4460"/>
            <w:shd w:fill="FFFFFF" w:val="clear"/>
            <w:tcMar>
              <w:top w:type="dxa" w:w="60"/>
              <w:left w:type="dxa" w:w="100"/>
              <w:bottom w:type="dxa" w:w="60"/>
              <w:right w:type="dxa" w:w="100"/>
            </w:tcMar>
          </w:tcPr>
          <w:p>
            <w:pPr>
              <w:spacing w:after="0"/>
            </w:pPr>
            <w:r>
              <w:rPr>
                <w:b w:val="false"/>
                <w:bCs w:val="false"/>
                <w:sz w:val="18"/>
                <w:szCs w:val="18"/>
              </w:rPr>
              <w:t xml:space="preserve">The ACG gas quantity for 30-Sep was entered about 100,000 times too large, most likely a cubic-metre figure entered with unit MMSCM, or gross and injection swapped. Net gas is gross minus injection, so the ACG net becomes a large negative number; multiplied by the 2.925 % share it produces the negative totals. The program accepts negative net gas and negative totals without warning.</w:t>
            </w:r>
          </w:p>
        </w:tc>
      </w:tr>
      <w:tr>
        <w:tc>
          <w:tcPr>
            <w:tcW w:type="dxa" w:w="400"/>
            <w:shd w:fill="F2F2F2" w:val="clear"/>
            <w:tcMar>
              <w:top w:type="dxa" w:w="60"/>
              <w:left w:type="dxa" w:w="100"/>
              <w:bottom w:type="dxa" w:w="60"/>
              <w:right w:type="dxa" w:w="100"/>
            </w:tcMar>
          </w:tcPr>
          <w:p>
            <w:pPr>
              <w:spacing w:after="0"/>
            </w:pPr>
            <w:r>
              <w:rPr>
                <w:b w:val="false"/>
                <w:bCs w:val="false"/>
                <w:sz w:val="18"/>
                <w:szCs w:val="18"/>
              </w:rPr>
              <w:t xml:space="preserve">6</w:t>
            </w:r>
          </w:p>
        </w:tc>
        <w:tc>
          <w:tcPr>
            <w:tcW w:type="dxa" w:w="2800"/>
            <w:shd w:fill="F2F2F2" w:val="clear"/>
            <w:tcMar>
              <w:top w:type="dxa" w:w="60"/>
              <w:left w:type="dxa" w:w="100"/>
              <w:bottom w:type="dxa" w:w="60"/>
              <w:right w:type="dxa" w:w="100"/>
            </w:tcMar>
          </w:tcPr>
          <w:p>
            <w:pPr>
              <w:spacing w:after="0"/>
            </w:pPr>
            <w:r>
              <w:rPr>
                <w:b w:val="false"/>
                <w:bCs w:val="false"/>
                <w:sz w:val="18"/>
                <w:szCs w:val="18"/>
              </w:rPr>
              <w:t xml:space="preserve">Vankor gas 29-Sep and 30-Sep = 0.000, Sakhalin-1 gas 30-Sep = 0.000, not in yellow</w:t>
            </w:r>
          </w:p>
        </w:tc>
        <w:tc>
          <w:tcPr>
            <w:tcW w:type="dxa" w:w="1700"/>
            <w:shd w:fill="FFF2CC" w:val="clear"/>
            <w:tcMar>
              <w:top w:type="dxa" w:w="60"/>
              <w:left w:type="dxa" w:w="100"/>
              <w:bottom w:type="dxa" w:w="60"/>
              <w:right w:type="dxa" w:w="100"/>
            </w:tcMar>
          </w:tcPr>
          <w:p>
            <w:pPr>
              <w:spacing w:after="0"/>
            </w:pPr>
            <w:r>
              <w:rPr>
                <w:b w:val="false"/>
                <w:bCs w:val="false"/>
                <w:sz w:val="18"/>
                <w:szCs w:val="18"/>
              </w:rPr>
              <w:t xml:space="preserve">Data entry (zero or injection only)</w:t>
            </w:r>
          </w:p>
        </w:tc>
        <w:tc>
          <w:tcPr>
            <w:tcW w:type="dxa" w:w="4460"/>
            <w:shd w:fill="F2F2F2" w:val="clear"/>
            <w:tcMar>
              <w:top w:type="dxa" w:w="60"/>
              <w:left w:type="dxa" w:w="100"/>
              <w:bottom w:type="dxa" w:w="60"/>
              <w:right w:type="dxa" w:w="100"/>
            </w:tcMar>
          </w:tcPr>
          <w:p>
            <w:pPr>
              <w:spacing w:after="0"/>
            </w:pPr>
            <w:r>
              <w:rPr>
                <w:b w:val="false"/>
                <w:bCs w:val="false"/>
                <w:sz w:val="18"/>
                <w:szCs w:val="18"/>
              </w:rPr>
              <w:t xml:space="preserve">A white cell with 0.000 means a gas row exists for that day with net zero: either zero was entered, or only the injection row was entered and the gross row is missing. Because a row exists, the report does not carry forward and does not mark the cell.</w:t>
            </w:r>
          </w:p>
        </w:tc>
      </w:tr>
      <w:tr>
        <w:tc>
          <w:tcPr>
            <w:tcW w:type="dxa" w:w="400"/>
            <w:shd w:fill="FFFFFF" w:val="clear"/>
            <w:tcMar>
              <w:top w:type="dxa" w:w="60"/>
              <w:left w:type="dxa" w:w="100"/>
              <w:bottom w:type="dxa" w:w="60"/>
              <w:right w:type="dxa" w:w="100"/>
            </w:tcMar>
          </w:tcPr>
          <w:p>
            <w:pPr>
              <w:spacing w:after="0"/>
            </w:pPr>
            <w:r>
              <w:rPr>
                <w:b w:val="false"/>
                <w:bCs w:val="false"/>
                <w:sz w:val="18"/>
                <w:szCs w:val="18"/>
              </w:rPr>
              <w:t xml:space="preserve">7</w:t>
            </w:r>
          </w:p>
        </w:tc>
        <w:tc>
          <w:tcPr>
            <w:tcW w:type="dxa" w:w="2800"/>
            <w:shd w:fill="FFFFFF" w:val="clear"/>
            <w:tcMar>
              <w:top w:type="dxa" w:w="60"/>
              <w:left w:type="dxa" w:w="100"/>
              <w:bottom w:type="dxa" w:w="60"/>
              <w:right w:type="dxa" w:w="100"/>
            </w:tcMar>
          </w:tcPr>
          <w:p>
            <w:pPr>
              <w:spacing w:after="0"/>
            </w:pPr>
            <w:r>
              <w:rPr>
                <w:b w:val="false"/>
                <w:bCs w:val="false"/>
                <w:sz w:val="18"/>
                <w:szCs w:val="18"/>
              </w:rPr>
              <w:t xml:space="preserve">Remarks: ACG 'Allocated Measured Theoretical Potential' printed four times for 30-Sep</w:t>
            </w:r>
          </w:p>
        </w:tc>
        <w:tc>
          <w:tcPr>
            <w:tcW w:type="dxa" w:w="1700"/>
            <w:shd w:fill="FCE4D6" w:val="clear"/>
            <w:tcMar>
              <w:top w:type="dxa" w:w="60"/>
              <w:left w:type="dxa" w:w="100"/>
              <w:bottom w:type="dxa" w:w="60"/>
              <w:right w:type="dxa" w:w="100"/>
            </w:tcMar>
          </w:tcPr>
          <w:p>
            <w:pPr>
              <w:spacing w:after="0"/>
            </w:pPr>
            <w:r>
              <w:rPr>
                <w:b w:val="false"/>
                <w:bCs w:val="false"/>
                <w:sz w:val="18"/>
                <w:szCs w:val="18"/>
              </w:rPr>
              <w:t xml:space="preserve">Program (no de-duplication)</w:t>
            </w:r>
          </w:p>
        </w:tc>
        <w:tc>
          <w:tcPr>
            <w:tcW w:type="dxa" w:w="4460"/>
            <w:shd w:fill="FFFFFF" w:val="clear"/>
            <w:tcMar>
              <w:top w:type="dxa" w:w="60"/>
              <w:left w:type="dxa" w:w="100"/>
              <w:bottom w:type="dxa" w:w="60"/>
              <w:right w:type="dxa" w:w="100"/>
            </w:tcMar>
          </w:tcPr>
          <w:p>
            <w:pPr>
              <w:spacing w:after="0"/>
            </w:pPr>
            <w:r>
              <w:rPr>
                <w:b w:val="false"/>
                <w:bCs w:val="false"/>
                <w:sz w:val="18"/>
                <w:szCs w:val="18"/>
              </w:rPr>
              <w:t xml:space="preserve">The remarks sheet prints the comment of every data row of the day. ACG has four rows (blocks / volume types) with the same comment, so it appears four times.</w:t>
            </w:r>
          </w:p>
        </w:tc>
      </w:tr>
      <w:tr>
        <w:tc>
          <w:tcPr>
            <w:tcW w:type="dxa" w:w="400"/>
            <w:shd w:fill="F2F2F2" w:val="clear"/>
            <w:tcMar>
              <w:top w:type="dxa" w:w="60"/>
              <w:left w:type="dxa" w:w="100"/>
              <w:bottom w:type="dxa" w:w="60"/>
              <w:right w:type="dxa" w:w="100"/>
            </w:tcMar>
          </w:tcPr>
          <w:p>
            <w:pPr>
              <w:spacing w:after="0"/>
            </w:pPr>
            <w:r>
              <w:rPr>
                <w:b w:val="false"/>
                <w:bCs w:val="false"/>
                <w:sz w:val="18"/>
                <w:szCs w:val="18"/>
              </w:rPr>
              <w:t xml:space="preserve">8</w:t>
            </w:r>
          </w:p>
        </w:tc>
        <w:tc>
          <w:tcPr>
            <w:tcW w:type="dxa" w:w="2800"/>
            <w:shd w:fill="F2F2F2" w:val="clear"/>
            <w:tcMar>
              <w:top w:type="dxa" w:w="60"/>
              <w:left w:type="dxa" w:w="100"/>
              <w:bottom w:type="dxa" w:w="60"/>
              <w:right w:type="dxa" w:w="100"/>
            </w:tcMar>
          </w:tcPr>
          <w:p>
            <w:pPr>
              <w:spacing w:after="0"/>
            </w:pPr>
            <w:r>
              <w:rPr>
                <w:b w:val="false"/>
                <w:bCs w:val="false"/>
                <w:sz w:val="18"/>
                <w:szCs w:val="18"/>
              </w:rPr>
              <w:t xml:space="preserve">Remarks: Vankor text cut off at '… failure of the oil ga'</w:t>
            </w:r>
          </w:p>
        </w:tc>
        <w:tc>
          <w:tcPr>
            <w:tcW w:type="dxa" w:w="1700"/>
            <w:shd w:fill="FFF2CC" w:val="clear"/>
            <w:tcMar>
              <w:top w:type="dxa" w:w="60"/>
              <w:left w:type="dxa" w:w="100"/>
              <w:bottom w:type="dxa" w:w="60"/>
              <w:right w:type="dxa" w:w="100"/>
            </w:tcMar>
          </w:tcPr>
          <w:p>
            <w:pPr>
              <w:spacing w:after="0"/>
            </w:pPr>
            <w:r>
              <w:rPr>
                <w:b w:val="false"/>
                <w:bCs w:val="false"/>
                <w:sz w:val="18"/>
                <w:szCs w:val="18"/>
              </w:rPr>
              <w:t xml:space="preserve">Data entry field length</w:t>
            </w:r>
          </w:p>
        </w:tc>
        <w:tc>
          <w:tcPr>
            <w:tcW w:type="dxa" w:w="4460"/>
            <w:shd w:fill="F2F2F2" w:val="clear"/>
            <w:tcMar>
              <w:top w:type="dxa" w:w="60"/>
              <w:left w:type="dxa" w:w="100"/>
              <w:bottom w:type="dxa" w:w="60"/>
              <w:right w:type="dxa" w:w="100"/>
            </w:tcMar>
          </w:tcPr>
          <w:p>
            <w:pPr>
              <w:spacing w:after="0"/>
            </w:pPr>
            <w:r>
              <w:rPr>
                <w:b w:val="false"/>
                <w:bCs w:val="false"/>
                <w:sz w:val="18"/>
                <w:szCs w:val="18"/>
              </w:rPr>
              <w:t xml:space="preserve">The comment field of the daily production table is limited in length; the text was truncated when it was saved, not by the report.</w:t>
            </w:r>
          </w:p>
        </w:tc>
      </w:tr>
      <w:tr>
        <w:tc>
          <w:tcPr>
            <w:tcW w:type="dxa" w:w="400"/>
            <w:shd w:fill="FFFFFF" w:val="clear"/>
            <w:tcMar>
              <w:top w:type="dxa" w:w="60"/>
              <w:left w:type="dxa" w:w="100"/>
              <w:bottom w:type="dxa" w:w="60"/>
              <w:right w:type="dxa" w:w="100"/>
            </w:tcMar>
          </w:tcPr>
          <w:p>
            <w:pPr>
              <w:spacing w:after="0"/>
            </w:pPr>
            <w:r>
              <w:rPr>
                <w:b w:val="false"/>
                <w:bCs w:val="false"/>
                <w:sz w:val="18"/>
                <w:szCs w:val="18"/>
              </w:rPr>
              <w:t xml:space="preserve">9</w:t>
            </w:r>
          </w:p>
        </w:tc>
        <w:tc>
          <w:tcPr>
            <w:tcW w:type="dxa" w:w="2800"/>
            <w:shd w:fill="FFFFFF" w:val="clear"/>
            <w:tcMar>
              <w:top w:type="dxa" w:w="60"/>
              <w:left w:type="dxa" w:w="100"/>
              <w:bottom w:type="dxa" w:w="60"/>
              <w:right w:type="dxa" w:w="100"/>
            </w:tcMar>
          </w:tcPr>
          <w:p>
            <w:pPr>
              <w:spacing w:after="0"/>
            </w:pPr>
            <w:r>
              <w:rPr>
                <w:b w:val="false"/>
                <w:bCs w:val="false"/>
                <w:sz w:val="18"/>
                <w:szCs w:val="18"/>
              </w:rPr>
              <w:t xml:space="preserve">Remarks: SPOC '97578.02 | 0.584 | 8.57 | 12.5 | 88901.888 | 0.625 | 7.808'</w:t>
            </w:r>
          </w:p>
        </w:tc>
        <w:tc>
          <w:tcPr>
            <w:tcW w:type="dxa" w:w="1700"/>
            <w:shd w:fill="FFF2CC" w:val="clear"/>
            <w:tcMar>
              <w:top w:type="dxa" w:w="60"/>
              <w:left w:type="dxa" w:w="100"/>
              <w:bottom w:type="dxa" w:w="60"/>
              <w:right w:type="dxa" w:w="100"/>
            </w:tcMar>
          </w:tcPr>
          <w:p>
            <w:pPr>
              <w:spacing w:after="0"/>
            </w:pPr>
            <w:r>
              <w:rPr>
                <w:b w:val="false"/>
                <w:bCs w:val="false"/>
                <w:sz w:val="18"/>
                <w:szCs w:val="18"/>
              </w:rPr>
              <w:t xml:space="preserve">Data entry</w:t>
            </w:r>
          </w:p>
        </w:tc>
        <w:tc>
          <w:tcPr>
            <w:tcW w:type="dxa" w:w="4460"/>
            <w:shd w:fill="FFFFFF" w:val="clear"/>
            <w:tcMar>
              <w:top w:type="dxa" w:w="60"/>
              <w:left w:type="dxa" w:w="100"/>
              <w:bottom w:type="dxa" w:w="60"/>
              <w:right w:type="dxa" w:w="100"/>
            </w:tcMar>
          </w:tcPr>
          <w:p>
            <w:pPr>
              <w:spacing w:after="0"/>
            </w:pPr>
            <w:r>
              <w:rPr>
                <w:b w:val="false"/>
                <w:bCs w:val="false"/>
                <w:sz w:val="18"/>
                <w:szCs w:val="18"/>
              </w:rPr>
              <w:t xml:space="preserve">Numbers were pasted into the remarks field instead of a sentence. The report prints the field as stored.</w:t>
            </w:r>
          </w:p>
        </w:tc>
      </w:tr>
    </w:tbl>
    <w:p>
      <w:r>
        <w:br w:type="page"/>
      </w:r>
    </w:p>
    <w:p>
      <w:pPr>
        <w:pStyle w:val="Heading1"/>
        <w:spacing w:after="160" w:before="320"/>
      </w:pPr>
      <w:r>
        <w:t xml:space="preserve">3. How the report fills missing days (why the yellow cells appear)</w:t>
      </w:r>
    </w:p>
    <w:p>
      <w:pPr>
        <w:spacing w:after="120"/>
      </w:pPr>
      <w:r>
        <w:rPr>
          <w:b w:val="false"/>
          <w:bCs w:val="false"/>
          <w:i w:val="false"/>
          <w:iCs w:val="false"/>
          <w:sz w:val="21"/>
          <w:szCs w:val="21"/>
        </w:rPr>
        <w:t xml:space="preserve">In the program, the sheet-1 table is built day by day. After each day the form fill_null_values_with_previous looks at every asset column: if the cell is still empty, it copies the value of the previous day into it, adds it to the product total and the grand total, and records the cell so that colour_yellow_cells can colour it yellow with red font. There is no limit on how many days in a row this may happen, no marker in the remarks sheet, and no check whether all blocks of an asset were entered. Gas is pre-netted (gross minus injection) before the table is built, so a day with only an injection row, or with a zero gross row, yields a real row with zero or negative value and is not treated as missing.</w:t>
      </w:r>
    </w:p>
    <w:p>
      <w:pPr>
        <w:spacing w:after="120"/>
      </w:pPr>
      <w:r>
        <w:rPr>
          <w:b w:val="false"/>
          <w:bCs w:val="false"/>
          <w:i w:val="false"/>
          <w:iCs w:val="false"/>
          <w:sz w:val="21"/>
          <w:szCs w:val="21"/>
        </w:rPr>
        <w:t xml:space="preserve">This design is right for one missing day (previous-day data, as the Excel also does) but wrong for a month of missing BC-60 entries, and it gives no protection against entry mistakes.</w:t>
      </w:r>
    </w:p>
    <w:p>
      <w:pPr>
        <w:pStyle w:val="Heading1"/>
        <w:spacing w:after="160" w:before="320"/>
      </w:pPr>
      <w:r>
        <w:t xml:space="preserve">4. Proposed corrections</w:t>
      </w:r>
    </w:p>
    <w:p>
      <w:pPr>
        <w:pStyle w:val="Heading2"/>
        <w:spacing w:after="120" w:before="240"/>
      </w:pPr>
      <w:r>
        <w:t xml:space="preserve">4.1 Data to be corrected in SAP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F4E79" w:val="clear"/>
            <w:tcMar>
              <w:top w:type="dxa" w:w="60"/>
              <w:left w:type="dxa" w:w="100"/>
              <w:bottom w:type="dxa" w:w="60"/>
              <w:right w:type="dxa" w:w="100"/>
            </w:tcMar>
          </w:tcPr>
          <w:p>
            <w:pPr>
              <w:spacing w:after="0"/>
            </w:pPr>
            <w:r>
              <w:rPr>
                <w:b/>
                <w:bCs/>
                <w:color w:val="FFFFFF"/>
                <w:sz w:val="18"/>
                <w:szCs w:val="18"/>
              </w:rPr>
              <w:t xml:space="preserve">Asset / date</w:t>
            </w:r>
          </w:p>
        </w:tc>
        <w:tc>
          <w:tcPr>
            <w:tcW w:type="dxa" w:w="5960"/>
            <w:shd w:fill="1F4E79" w:val="clear"/>
            <w:tcMar>
              <w:top w:type="dxa" w:w="60"/>
              <w:left w:type="dxa" w:w="100"/>
              <w:bottom w:type="dxa" w:w="60"/>
              <w:right w:type="dxa" w:w="100"/>
            </w:tcMar>
          </w:tcPr>
          <w:p>
            <w:pPr>
              <w:spacing w:after="0"/>
            </w:pPr>
            <w:r>
              <w:rPr>
                <w:b/>
                <w:bCs/>
                <w:color w:val="FFFFFF"/>
                <w:sz w:val="18"/>
                <w:szCs w:val="18"/>
              </w:rPr>
              <w:t xml:space="preserve">Action</w:t>
            </w:r>
          </w:p>
        </w:tc>
      </w:tr>
      <w:tr>
        <w:tc>
          <w:tcPr>
            <w:tcW w:type="dxa" w:w="3400"/>
            <w:shd w:fill="FFFFFF" w:val="clear"/>
            <w:tcMar>
              <w:top w:type="dxa" w:w="60"/>
              <w:left w:type="dxa" w:w="100"/>
              <w:bottom w:type="dxa" w:w="60"/>
              <w:right w:type="dxa" w:w="100"/>
            </w:tcMar>
          </w:tcPr>
          <w:p>
            <w:pPr>
              <w:spacing w:after="0"/>
            </w:pPr>
            <w:r>
              <w:rPr>
                <w:b w:val="false"/>
                <w:bCs w:val="false"/>
                <w:sz w:val="18"/>
                <w:szCs w:val="18"/>
              </w:rPr>
              <w:t xml:space="preserve">Brazil BC-60, 01-Sep to 30-Sep</w:t>
            </w:r>
          </w:p>
        </w:tc>
        <w:tc>
          <w:tcPr>
            <w:tcW w:type="dxa" w:w="5960"/>
            <w:shd w:fill="FFFFFF" w:val="clear"/>
            <w:tcMar>
              <w:top w:type="dxa" w:w="60"/>
              <w:left w:type="dxa" w:w="100"/>
              <w:bottom w:type="dxa" w:w="60"/>
              <w:right w:type="dxa" w:w="100"/>
            </w:tcMar>
          </w:tcPr>
          <w:p>
            <w:pPr>
              <w:spacing w:after="0"/>
            </w:pPr>
            <w:r>
              <w:rPr>
                <w:b w:val="false"/>
                <w:bCs w:val="false"/>
                <w:sz w:val="18"/>
                <w:szCs w:val="18"/>
              </w:rPr>
              <w:t xml:space="preserve">Enter the September daily figures (oil and gas). Until then the whole month is a copy of 31-Aug.</w:t>
            </w:r>
          </w:p>
        </w:tc>
      </w:tr>
      <w:tr>
        <w:tc>
          <w:tcPr>
            <w:tcW w:type="dxa" w:w="3400"/>
            <w:shd w:fill="F2F2F2" w:val="clear"/>
            <w:tcMar>
              <w:top w:type="dxa" w:w="60"/>
              <w:left w:type="dxa" w:w="100"/>
              <w:bottom w:type="dxa" w:w="60"/>
              <w:right w:type="dxa" w:w="100"/>
            </w:tcMar>
          </w:tcPr>
          <w:p>
            <w:pPr>
              <w:spacing w:after="0"/>
            </w:pPr>
            <w:r>
              <w:rPr>
                <w:b w:val="false"/>
                <w:bCs w:val="false"/>
                <w:sz w:val="18"/>
                <w:szCs w:val="18"/>
              </w:rPr>
              <w:t xml:space="preserve">Azerbaijan ACG, 30-Sep oil</w:t>
            </w:r>
          </w:p>
        </w:tc>
        <w:tc>
          <w:tcPr>
            <w:tcW w:type="dxa" w:w="5960"/>
            <w:shd w:fill="F2F2F2" w:val="clear"/>
            <w:tcMar>
              <w:top w:type="dxa" w:w="60"/>
              <w:left w:type="dxa" w:w="100"/>
              <w:bottom w:type="dxa" w:w="60"/>
              <w:right w:type="dxa" w:w="100"/>
            </w:tcMar>
          </w:tcPr>
          <w:p>
            <w:pPr>
              <w:spacing w:after="0"/>
            </w:pPr>
            <w:r>
              <w:rPr>
                <w:b w:val="false"/>
                <w:bCs w:val="false"/>
                <w:sz w:val="18"/>
                <w:szCs w:val="18"/>
              </w:rPr>
              <w:t xml:space="preserve">Check that all ACG blocks are entered for 30-Sep; complete the missing block.</w:t>
            </w:r>
          </w:p>
        </w:tc>
      </w:tr>
      <w:tr>
        <w:tc>
          <w:tcPr>
            <w:tcW w:type="dxa" w:w="3400"/>
            <w:shd w:fill="FFFFFF" w:val="clear"/>
            <w:tcMar>
              <w:top w:type="dxa" w:w="60"/>
              <w:left w:type="dxa" w:w="100"/>
              <w:bottom w:type="dxa" w:w="60"/>
              <w:right w:type="dxa" w:w="100"/>
            </w:tcMar>
          </w:tcPr>
          <w:p>
            <w:pPr>
              <w:spacing w:after="0"/>
            </w:pPr>
            <w:r>
              <w:rPr>
                <w:b w:val="false"/>
                <w:bCs w:val="false"/>
                <w:sz w:val="18"/>
                <w:szCs w:val="18"/>
              </w:rPr>
              <w:t xml:space="preserve">Azerbaijan ACG, 30-Sep gas</w:t>
            </w:r>
          </w:p>
        </w:tc>
        <w:tc>
          <w:tcPr>
            <w:tcW w:type="dxa" w:w="5960"/>
            <w:shd w:fill="FFFFFF" w:val="clear"/>
            <w:tcMar>
              <w:top w:type="dxa" w:w="60"/>
              <w:left w:type="dxa" w:w="100"/>
              <w:bottom w:type="dxa" w:w="60"/>
              <w:right w:type="dxa" w:w="100"/>
            </w:tcMar>
          </w:tcPr>
          <w:p>
            <w:pPr>
              <w:spacing w:after="0"/>
            </w:pPr>
            <w:r>
              <w:rPr>
                <w:b w:val="false"/>
                <w:bCs w:val="false"/>
                <w:sz w:val="18"/>
                <w:szCs w:val="18"/>
              </w:rPr>
              <w:t xml:space="preserve">Correct the gas gross and injection quantities and units for 30-Sep (expected net about 7 MMSCMD).</w:t>
            </w:r>
          </w:p>
        </w:tc>
      </w:tr>
      <w:tr>
        <w:tc>
          <w:tcPr>
            <w:tcW w:type="dxa" w:w="3400"/>
            <w:shd w:fill="F2F2F2" w:val="clear"/>
            <w:tcMar>
              <w:top w:type="dxa" w:w="60"/>
              <w:left w:type="dxa" w:w="100"/>
              <w:bottom w:type="dxa" w:w="60"/>
              <w:right w:type="dxa" w:w="100"/>
            </w:tcMar>
          </w:tcPr>
          <w:p>
            <w:pPr>
              <w:spacing w:after="0"/>
            </w:pPr>
            <w:r>
              <w:rPr>
                <w:b w:val="false"/>
                <w:bCs w:val="false"/>
                <w:sz w:val="18"/>
                <w:szCs w:val="18"/>
              </w:rPr>
              <w:t xml:space="preserve">Venezuela Carabobo, 29-Sep</w:t>
            </w:r>
          </w:p>
        </w:tc>
        <w:tc>
          <w:tcPr>
            <w:tcW w:type="dxa" w:w="5960"/>
            <w:shd w:fill="F2F2F2" w:val="clear"/>
            <w:tcMar>
              <w:top w:type="dxa" w:w="60"/>
              <w:left w:type="dxa" w:w="100"/>
              <w:bottom w:type="dxa" w:w="60"/>
              <w:right w:type="dxa" w:w="100"/>
            </w:tcMar>
          </w:tcPr>
          <w:p>
            <w:pPr>
              <w:spacing w:after="0"/>
            </w:pPr>
            <w:r>
              <w:rPr>
                <w:b w:val="false"/>
                <w:bCs w:val="false"/>
                <w:sz w:val="18"/>
                <w:szCs w:val="18"/>
              </w:rPr>
              <w:t xml:space="preserve">Correct oil (about 7,000 BOPD) and gas (about 0.19 MMSCMD).</w:t>
            </w:r>
          </w:p>
        </w:tc>
      </w:tr>
      <w:tr>
        <w:tc>
          <w:tcPr>
            <w:tcW w:type="dxa" w:w="3400"/>
            <w:shd w:fill="FFFFFF" w:val="clear"/>
            <w:tcMar>
              <w:top w:type="dxa" w:w="60"/>
              <w:left w:type="dxa" w:w="100"/>
              <w:bottom w:type="dxa" w:w="60"/>
              <w:right w:type="dxa" w:w="100"/>
            </w:tcMar>
          </w:tcPr>
          <w:p>
            <w:pPr>
              <w:spacing w:after="0"/>
            </w:pPr>
            <w:r>
              <w:rPr>
                <w:b w:val="false"/>
                <w:bCs w:val="false"/>
                <w:sz w:val="18"/>
                <w:szCs w:val="18"/>
              </w:rPr>
              <w:t xml:space="preserve">Russia Vankor, 29-Sep and 30-Sep gas; Sakhalin-1, 30-Sep gas</w:t>
            </w:r>
          </w:p>
        </w:tc>
        <w:tc>
          <w:tcPr>
            <w:tcW w:type="dxa" w:w="5960"/>
            <w:shd w:fill="FFFFFF" w:val="clear"/>
            <w:tcMar>
              <w:top w:type="dxa" w:w="60"/>
              <w:left w:type="dxa" w:w="100"/>
              <w:bottom w:type="dxa" w:w="60"/>
              <w:right w:type="dxa" w:w="100"/>
            </w:tcMar>
          </w:tcPr>
          <w:p>
            <w:pPr>
              <w:spacing w:after="0"/>
            </w:pPr>
            <w:r>
              <w:rPr>
                <w:b w:val="false"/>
                <w:bCs w:val="false"/>
                <w:sz w:val="18"/>
                <w:szCs w:val="18"/>
              </w:rPr>
              <w:t xml:space="preserve">Check whether the gross gas rows are missing or zero; enter the actual values.</w:t>
            </w:r>
          </w:p>
        </w:tc>
      </w:tr>
      <w:tr>
        <w:tc>
          <w:tcPr>
            <w:tcW w:type="dxa" w:w="3400"/>
            <w:shd w:fill="F2F2F2" w:val="clear"/>
            <w:tcMar>
              <w:top w:type="dxa" w:w="60"/>
              <w:left w:type="dxa" w:w="100"/>
              <w:bottom w:type="dxa" w:w="60"/>
              <w:right w:type="dxa" w:w="100"/>
            </w:tcMar>
          </w:tcPr>
          <w:p>
            <w:pPr>
              <w:spacing w:after="0"/>
            </w:pPr>
            <w:r>
              <w:rPr>
                <w:b w:val="false"/>
                <w:bCs w:val="false"/>
                <w:sz w:val="18"/>
                <w:szCs w:val="18"/>
              </w:rPr>
              <w:t xml:space="preserve">South Sudan SPOC, 30-Sep remark</w:t>
            </w:r>
          </w:p>
        </w:tc>
        <w:tc>
          <w:tcPr>
            <w:tcW w:type="dxa" w:w="5960"/>
            <w:shd w:fill="F2F2F2" w:val="clear"/>
            <w:tcMar>
              <w:top w:type="dxa" w:w="60"/>
              <w:left w:type="dxa" w:w="100"/>
              <w:bottom w:type="dxa" w:w="60"/>
              <w:right w:type="dxa" w:w="100"/>
            </w:tcMar>
          </w:tcPr>
          <w:p>
            <w:pPr>
              <w:spacing w:after="0"/>
            </w:pPr>
            <w:r>
              <w:rPr>
                <w:b w:val="false"/>
                <w:bCs w:val="false"/>
                <w:sz w:val="18"/>
                <w:szCs w:val="18"/>
              </w:rPr>
              <w:t xml:space="preserve">Replace the pasted numbers by the intended remark text.</w:t>
            </w:r>
          </w:p>
        </w:tc>
      </w:tr>
      <w:tr>
        <w:tc>
          <w:tcPr>
            <w:tcW w:type="dxa" w:w="3400"/>
            <w:shd w:fill="FFFFFF" w:val="clear"/>
            <w:tcMar>
              <w:top w:type="dxa" w:w="60"/>
              <w:left w:type="dxa" w:w="100"/>
              <w:bottom w:type="dxa" w:w="60"/>
              <w:right w:type="dxa" w:w="100"/>
            </w:tcMar>
          </w:tcPr>
          <w:p>
            <w:pPr>
              <w:spacing w:after="0"/>
            </w:pPr>
            <w:r>
              <w:rPr>
                <w:b w:val="false"/>
                <w:bCs w:val="false"/>
                <w:sz w:val="18"/>
                <w:szCs w:val="18"/>
              </w:rPr>
              <w:t xml:space="preserve">Russia Vankor, 30-Sep remark</w:t>
            </w:r>
          </w:p>
        </w:tc>
        <w:tc>
          <w:tcPr>
            <w:tcW w:type="dxa" w:w="5960"/>
            <w:shd w:fill="FFFFFF" w:val="clear"/>
            <w:tcMar>
              <w:top w:type="dxa" w:w="60"/>
              <w:left w:type="dxa" w:w="100"/>
              <w:bottom w:type="dxa" w:w="60"/>
              <w:right w:type="dxa" w:w="100"/>
            </w:tcMar>
          </w:tcPr>
          <w:p>
            <w:pPr>
              <w:spacing w:after="0"/>
            </w:pPr>
            <w:r>
              <w:rPr>
                <w:b w:val="false"/>
                <w:bCs w:val="false"/>
                <w:sz w:val="18"/>
                <w:szCs w:val="18"/>
              </w:rPr>
              <w:t xml:space="preserve">Re-enter the remark within the field length, or shorten it.</w:t>
            </w:r>
          </w:p>
        </w:tc>
      </w:tr>
    </w:tbl>
    <w:p>
      <w:pPr>
        <w:spacing w:after="140"/>
      </w:pPr>
    </w:p>
    <w:p>
      <w:pPr>
        <w:pStyle w:val="Heading2"/>
        <w:spacing w:after="120" w:before="240"/>
      </w:pPr>
      <w:r>
        <w:t xml:space="preserve">4.2 Changes proposed in the report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2300"/>
        <w:gridCol w:w="2760"/>
      </w:tblGrid>
      <w:tr>
        <w:trPr>
          <w:tblHeader/>
        </w:trPr>
        <w:tc>
          <w:tcPr>
            <w:tcW w:type="dxa" w:w="500"/>
            <w:shd w:fill="1F4E79" w:val="clear"/>
            <w:tcMar>
              <w:top w:type="dxa" w:w="60"/>
              <w:left w:type="dxa" w:w="100"/>
              <w:bottom w:type="dxa" w:w="60"/>
              <w:right w:type="dxa" w:w="100"/>
            </w:tcMar>
          </w:tcPr>
          <w:p>
            <w:pPr>
              <w:spacing w:after="0"/>
            </w:pPr>
            <w:r>
              <w:rPr>
                <w:b/>
                <w:bCs/>
                <w:color w:val="FFFFFF"/>
                <w:sz w:val="18"/>
                <w:szCs w:val="18"/>
              </w:rPr>
              <w:t xml:space="preserve">#</w:t>
            </w:r>
          </w:p>
        </w:tc>
        <w:tc>
          <w:tcPr>
            <w:tcW w:type="dxa" w:w="3800"/>
            <w:shd w:fill="1F4E79" w:val="clear"/>
            <w:tcMar>
              <w:top w:type="dxa" w:w="60"/>
              <w:left w:type="dxa" w:w="100"/>
              <w:bottom w:type="dxa" w:w="60"/>
              <w:right w:type="dxa" w:w="100"/>
            </w:tcMar>
          </w:tcPr>
          <w:p>
            <w:pPr>
              <w:spacing w:after="0"/>
            </w:pPr>
            <w:r>
              <w:rPr>
                <w:b/>
                <w:bCs/>
                <w:color w:val="FFFFFF"/>
                <w:sz w:val="18"/>
                <w:szCs w:val="18"/>
              </w:rPr>
              <w:t xml:space="preserve">Change</w:t>
            </w:r>
          </w:p>
        </w:tc>
        <w:tc>
          <w:tcPr>
            <w:tcW w:type="dxa" w:w="2300"/>
            <w:shd w:fill="1F4E79" w:val="clear"/>
            <w:tcMar>
              <w:top w:type="dxa" w:w="60"/>
              <w:left w:type="dxa" w:w="100"/>
              <w:bottom w:type="dxa" w:w="60"/>
              <w:right w:type="dxa" w:w="100"/>
            </w:tcMar>
          </w:tcPr>
          <w:p>
            <w:pPr>
              <w:spacing w:after="0"/>
            </w:pPr>
            <w:r>
              <w:rPr>
                <w:b/>
                <w:bCs/>
                <w:color w:val="FFFFFF"/>
                <w:sz w:val="18"/>
                <w:szCs w:val="18"/>
              </w:rPr>
              <w:t xml:space="preserve">Where in ZPRA_DPR_REPORT</w:t>
            </w:r>
          </w:p>
        </w:tc>
        <w:tc>
          <w:tcPr>
            <w:tcW w:type="dxa" w:w="2760"/>
            <w:shd w:fill="1F4E79" w:val="clear"/>
            <w:tcMar>
              <w:top w:type="dxa" w:w="60"/>
              <w:left w:type="dxa" w:w="100"/>
              <w:bottom w:type="dxa" w:w="60"/>
              <w:right w:type="dxa" w:w="100"/>
            </w:tcMar>
          </w:tcPr>
          <w:p>
            <w:pPr>
              <w:spacing w:after="0"/>
            </w:pPr>
            <w:r>
              <w:rPr>
                <w:b/>
                <w:bCs/>
                <w:color w:val="FFFFFF"/>
                <w:sz w:val="18"/>
                <w:szCs w:val="18"/>
              </w:rPr>
              <w:t xml:space="preserve">Effect</w:t>
            </w:r>
          </w:p>
        </w:tc>
      </w:tr>
      <w:tr>
        <w:tc>
          <w:tcPr>
            <w:tcW w:type="dxa" w:w="500"/>
            <w:shd w:fill="FFFFFF" w:val="clear"/>
            <w:tcMar>
              <w:top w:type="dxa" w:w="60"/>
              <w:left w:type="dxa" w:w="100"/>
              <w:bottom w:type="dxa" w:w="60"/>
              <w:right w:type="dxa" w:w="100"/>
            </w:tcMar>
          </w:tcPr>
          <w:p>
            <w:pPr>
              <w:spacing w:after="0"/>
            </w:pPr>
            <w:r>
              <w:rPr>
                <w:b w:val="false"/>
                <w:bCs w:val="false"/>
                <w:sz w:val="18"/>
                <w:szCs w:val="18"/>
              </w:rPr>
              <w:t xml:space="preserve">P1</w:t>
            </w:r>
          </w:p>
        </w:tc>
        <w:tc>
          <w:tcPr>
            <w:tcW w:type="dxa" w:w="3800"/>
            <w:shd w:fill="FFFFFF" w:val="clear"/>
            <w:tcMar>
              <w:top w:type="dxa" w:w="60"/>
              <w:left w:type="dxa" w:w="100"/>
              <w:bottom w:type="dxa" w:w="60"/>
              <w:right w:type="dxa" w:w="100"/>
            </w:tcMar>
          </w:tcPr>
          <w:p>
            <w:pPr>
              <w:spacing w:after="0"/>
            </w:pPr>
            <w:r>
              <w:rPr>
                <w:b w:val="false"/>
                <w:bCs w:val="false"/>
                <w:sz w:val="18"/>
                <w:szCs w:val="18"/>
              </w:rPr>
              <w:t xml:space="preserve">Limit the carry-forward to a configurable number of days (proposal: 3). Beyond that the cell stays empty, is not added to the totals, and is shown in grey with 'no data'.</w:t>
            </w:r>
          </w:p>
        </w:tc>
        <w:tc>
          <w:tcPr>
            <w:tcW w:type="dxa" w:w="2300"/>
            <w:shd w:fill="FFFFFF" w:val="clear"/>
            <w:tcMar>
              <w:top w:type="dxa" w:w="60"/>
              <w:left w:type="dxa" w:w="100"/>
              <w:bottom w:type="dxa" w:w="60"/>
              <w:right w:type="dxa" w:w="100"/>
            </w:tcMar>
          </w:tcPr>
          <w:p>
            <w:pPr>
              <w:spacing w:after="0"/>
            </w:pPr>
            <w:r>
              <w:rPr>
                <w:b w:val="false"/>
                <w:bCs w:val="false"/>
                <w:sz w:val="18"/>
                <w:szCs w:val="18"/>
              </w:rPr>
              <w:t xml:space="preserve">fill_null_values_with_previous, populate_no_data_entries</w:t>
            </w:r>
          </w:p>
        </w:tc>
        <w:tc>
          <w:tcPr>
            <w:tcW w:type="dxa" w:w="2760"/>
            <w:shd w:fill="FFFFFF" w:val="clear"/>
            <w:tcMar>
              <w:top w:type="dxa" w:w="60"/>
              <w:left w:type="dxa" w:w="100"/>
              <w:bottom w:type="dxa" w:w="60"/>
              <w:right w:type="dxa" w:w="100"/>
            </w:tcMar>
          </w:tcPr>
          <w:p>
            <w:pPr>
              <w:spacing w:after="0"/>
            </w:pPr>
            <w:r>
              <w:rPr>
                <w:b w:val="false"/>
                <w:bCs w:val="false"/>
                <w:sz w:val="18"/>
                <w:szCs w:val="18"/>
              </w:rPr>
              <w:t xml:space="preserve">Stops a month of BC-60 copies from entering MTD and YTD.</w:t>
            </w:r>
          </w:p>
        </w:tc>
      </w:tr>
      <w:tr>
        <w:tc>
          <w:tcPr>
            <w:tcW w:type="dxa" w:w="500"/>
            <w:shd w:fill="F2F2F2" w:val="clear"/>
            <w:tcMar>
              <w:top w:type="dxa" w:w="60"/>
              <w:left w:type="dxa" w:w="100"/>
              <w:bottom w:type="dxa" w:w="60"/>
              <w:right w:type="dxa" w:w="100"/>
            </w:tcMar>
          </w:tcPr>
          <w:p>
            <w:pPr>
              <w:spacing w:after="0"/>
            </w:pPr>
            <w:r>
              <w:rPr>
                <w:b w:val="false"/>
                <w:bCs w:val="false"/>
                <w:sz w:val="18"/>
                <w:szCs w:val="18"/>
              </w:rPr>
              <w:t xml:space="preserve">P2</w:t>
            </w:r>
          </w:p>
        </w:tc>
        <w:tc>
          <w:tcPr>
            <w:tcW w:type="dxa" w:w="3800"/>
            <w:shd w:fill="F2F2F2" w:val="clear"/>
            <w:tcMar>
              <w:top w:type="dxa" w:w="60"/>
              <w:left w:type="dxa" w:w="100"/>
              <w:bottom w:type="dxa" w:w="60"/>
              <w:right w:type="dxa" w:w="100"/>
            </w:tcMar>
          </w:tcPr>
          <w:p>
            <w:pPr>
              <w:spacing w:after="0"/>
            </w:pPr>
            <w:r>
              <w:rPr>
                <w:b w:val="false"/>
                <w:bCs w:val="false"/>
                <w:sz w:val="18"/>
                <w:szCs w:val="18"/>
              </w:rPr>
              <w:t xml:space="preserve">Print a line in the remarks sheet 'Previous-day data used for: &lt;assets&gt;' for every day where a carry-forward happened, as the Excel does.</w:t>
            </w:r>
          </w:p>
        </w:tc>
        <w:tc>
          <w:tcPr>
            <w:tcW w:type="dxa" w:w="2300"/>
            <w:shd w:fill="F2F2F2" w:val="clear"/>
            <w:tcMar>
              <w:top w:type="dxa" w:w="60"/>
              <w:left w:type="dxa" w:w="100"/>
              <w:bottom w:type="dxa" w:w="60"/>
              <w:right w:type="dxa" w:w="100"/>
            </w:tcMar>
          </w:tcPr>
          <w:p>
            <w:pPr>
              <w:spacing w:after="0"/>
            </w:pPr>
            <w:r>
              <w:rPr>
                <w:b w:val="false"/>
                <w:bCs w:val="false"/>
                <w:sz w:val="18"/>
                <w:szCs w:val="18"/>
              </w:rPr>
              <w:t xml:space="preserve">prepare remarks (form around line 5479) using gt_copied_cells</w:t>
            </w:r>
          </w:p>
        </w:tc>
        <w:tc>
          <w:tcPr>
            <w:tcW w:type="dxa" w:w="2760"/>
            <w:shd w:fill="F2F2F2" w:val="clear"/>
            <w:tcMar>
              <w:top w:type="dxa" w:w="60"/>
              <w:left w:type="dxa" w:w="100"/>
              <w:bottom w:type="dxa" w:w="60"/>
              <w:right w:type="dxa" w:w="100"/>
            </w:tcMar>
          </w:tcPr>
          <w:p>
            <w:pPr>
              <w:spacing w:after="0"/>
            </w:pPr>
            <w:r>
              <w:rPr>
                <w:b w:val="false"/>
                <w:bCs w:val="false"/>
                <w:sz w:val="18"/>
                <w:szCs w:val="18"/>
              </w:rPr>
              <w:t xml:space="preserve">Readers see at once which figures are provisional.</w:t>
            </w:r>
          </w:p>
        </w:tc>
      </w:tr>
      <w:tr>
        <w:tc>
          <w:tcPr>
            <w:tcW w:type="dxa" w:w="500"/>
            <w:shd w:fill="FFFFFF" w:val="clear"/>
            <w:tcMar>
              <w:top w:type="dxa" w:w="60"/>
              <w:left w:type="dxa" w:w="100"/>
              <w:bottom w:type="dxa" w:w="60"/>
              <w:right w:type="dxa" w:w="100"/>
            </w:tcMar>
          </w:tcPr>
          <w:p>
            <w:pPr>
              <w:spacing w:after="0"/>
            </w:pPr>
            <w:r>
              <w:rPr>
                <w:b w:val="false"/>
                <w:bCs w:val="false"/>
                <w:sz w:val="18"/>
                <w:szCs w:val="18"/>
              </w:rPr>
              <w:t xml:space="preserve">P3</w:t>
            </w:r>
          </w:p>
        </w:tc>
        <w:tc>
          <w:tcPr>
            <w:tcW w:type="dxa" w:w="3800"/>
            <w:shd w:fill="FFFFFF" w:val="clear"/>
            <w:tcMar>
              <w:top w:type="dxa" w:w="60"/>
              <w:left w:type="dxa" w:w="100"/>
              <w:bottom w:type="dxa" w:w="60"/>
              <w:right w:type="dxa" w:w="100"/>
            </w:tcMar>
          </w:tcPr>
          <w:p>
            <w:pPr>
              <w:spacing w:after="0"/>
            </w:pPr>
            <w:r>
              <w:rPr>
                <w:b w:val="false"/>
                <w:bCs w:val="false"/>
                <w:sz w:val="18"/>
                <w:szCs w:val="18"/>
              </w:rPr>
              <w:t xml:space="preserve">Completeness check per asset and block: if an asset has blocks in the profile table and not all blocks have a row for the day, mark the cell (orange) and list it in the remarks sheet as 'incomplete'.</w:t>
            </w:r>
          </w:p>
        </w:tc>
        <w:tc>
          <w:tcPr>
            <w:tcW w:type="dxa" w:w="2300"/>
            <w:shd w:fill="FFFFFF" w:val="clear"/>
            <w:tcMar>
              <w:top w:type="dxa" w:w="60"/>
              <w:left w:type="dxa" w:w="100"/>
              <w:bottom w:type="dxa" w:w="60"/>
              <w:right w:type="dxa" w:w="100"/>
            </w:tcMar>
          </w:tcPr>
          <w:p>
            <w:pPr>
              <w:spacing w:after="0"/>
            </w:pPr>
            <w:r>
              <w:rPr>
                <w:b w:val="false"/>
                <w:bCs w:val="false"/>
                <w:sz w:val="18"/>
                <w:szCs w:val="18"/>
              </w:rPr>
              <w:t xml:space="preserve">fill_dynamic_table_sec1, using ZPRA_C_PRD_PROF</w:t>
            </w:r>
          </w:p>
        </w:tc>
        <w:tc>
          <w:tcPr>
            <w:tcW w:type="dxa" w:w="2760"/>
            <w:shd w:fill="FFFFFF" w:val="clear"/>
            <w:tcMar>
              <w:top w:type="dxa" w:w="60"/>
              <w:left w:type="dxa" w:w="100"/>
              <w:bottom w:type="dxa" w:w="60"/>
              <w:right w:type="dxa" w:w="100"/>
            </w:tcMar>
          </w:tcPr>
          <w:p>
            <w:pPr>
              <w:spacing w:after="0"/>
            </w:pPr>
            <w:r>
              <w:rPr>
                <w:b w:val="false"/>
                <w:bCs w:val="false"/>
                <w:sz w:val="18"/>
                <w:szCs w:val="18"/>
              </w:rPr>
              <w:t xml:space="preserve">ACG 203,033 would have been marked instead of printed as final.</w:t>
            </w:r>
          </w:p>
        </w:tc>
      </w:tr>
      <w:tr>
        <w:tc>
          <w:tcPr>
            <w:tcW w:type="dxa" w:w="500"/>
            <w:shd w:fill="F2F2F2" w:val="clear"/>
            <w:tcMar>
              <w:top w:type="dxa" w:w="60"/>
              <w:left w:type="dxa" w:w="100"/>
              <w:bottom w:type="dxa" w:w="60"/>
              <w:right w:type="dxa" w:w="100"/>
            </w:tcMar>
          </w:tcPr>
          <w:p>
            <w:pPr>
              <w:spacing w:after="0"/>
            </w:pPr>
            <w:r>
              <w:rPr>
                <w:b w:val="false"/>
                <w:bCs w:val="false"/>
                <w:sz w:val="18"/>
                <w:szCs w:val="18"/>
              </w:rPr>
              <w:t xml:space="preserve">P4</w:t>
            </w:r>
          </w:p>
        </w:tc>
        <w:tc>
          <w:tcPr>
            <w:tcW w:type="dxa" w:w="3800"/>
            <w:shd w:fill="F2F2F2" w:val="clear"/>
            <w:tcMar>
              <w:top w:type="dxa" w:w="60"/>
              <w:left w:type="dxa" w:w="100"/>
              <w:bottom w:type="dxa" w:w="60"/>
              <w:right w:type="dxa" w:w="100"/>
            </w:tcMar>
          </w:tcPr>
          <w:p>
            <w:pPr>
              <w:spacing w:after="0"/>
            </w:pPr>
            <w:r>
              <w:rPr>
                <w:b w:val="false"/>
                <w:bCs w:val="false"/>
                <w:sz w:val="18"/>
                <w:szCs w:val="18"/>
              </w:rPr>
              <w:t xml:space="preserve">Plausibility check: if a day's value deviates by more than a configurable percentage (proposal: 50 %) from the previous day, or if net gas is negative, mark the cell (orange) and list it in an 'Entries to verify' block of the remarks sheet. Negative net gas is shown as 0 in totals with the warning.</w:t>
            </w:r>
          </w:p>
        </w:tc>
        <w:tc>
          <w:tcPr>
            <w:tcW w:type="dxa" w:w="2300"/>
            <w:shd w:fill="F2F2F2" w:val="clear"/>
            <w:tcMar>
              <w:top w:type="dxa" w:w="60"/>
              <w:left w:type="dxa" w:w="100"/>
              <w:bottom w:type="dxa" w:w="60"/>
              <w:right w:type="dxa" w:w="100"/>
            </w:tcMar>
          </w:tcPr>
          <w:p>
            <w:pPr>
              <w:spacing w:after="0"/>
            </w:pPr>
            <w:r>
              <w:rPr>
                <w:b w:val="false"/>
                <w:bCs w:val="false"/>
                <w:sz w:val="18"/>
                <w:szCs w:val="18"/>
              </w:rPr>
              <w:t xml:space="preserve">after the gas netting (around line 2596) and in fill_dynamic_table_sec1</w:t>
            </w:r>
          </w:p>
        </w:tc>
        <w:tc>
          <w:tcPr>
            <w:tcW w:type="dxa" w:w="2760"/>
            <w:shd w:fill="F2F2F2" w:val="clear"/>
            <w:tcMar>
              <w:top w:type="dxa" w:w="60"/>
              <w:left w:type="dxa" w:w="100"/>
              <w:bottom w:type="dxa" w:w="60"/>
              <w:right w:type="dxa" w:w="100"/>
            </w:tcMar>
          </w:tcPr>
          <w:p>
            <w:pPr>
              <w:spacing w:after="0"/>
            </w:pPr>
            <w:r>
              <w:rPr>
                <w:b w:val="false"/>
                <w:bCs w:val="false"/>
                <w:sz w:val="18"/>
                <w:szCs w:val="18"/>
              </w:rPr>
              <w:t xml:space="preserve">Carabobo 7 and ACG 834,117 would have been caught; totals would not go negative.</w:t>
            </w:r>
          </w:p>
        </w:tc>
      </w:tr>
      <w:tr>
        <w:tc>
          <w:tcPr>
            <w:tcW w:type="dxa" w:w="500"/>
            <w:shd w:fill="FFFFFF" w:val="clear"/>
            <w:tcMar>
              <w:top w:type="dxa" w:w="60"/>
              <w:left w:type="dxa" w:w="100"/>
              <w:bottom w:type="dxa" w:w="60"/>
              <w:right w:type="dxa" w:w="100"/>
            </w:tcMar>
          </w:tcPr>
          <w:p>
            <w:pPr>
              <w:spacing w:after="0"/>
            </w:pPr>
            <w:r>
              <w:rPr>
                <w:b w:val="false"/>
                <w:bCs w:val="false"/>
                <w:sz w:val="18"/>
                <w:szCs w:val="18"/>
              </w:rPr>
              <w:t xml:space="preserve">P5</w:t>
            </w:r>
          </w:p>
        </w:tc>
        <w:tc>
          <w:tcPr>
            <w:tcW w:type="dxa" w:w="3800"/>
            <w:shd w:fill="FFFFFF" w:val="clear"/>
            <w:tcMar>
              <w:top w:type="dxa" w:w="60"/>
              <w:left w:type="dxa" w:w="100"/>
              <w:bottom w:type="dxa" w:w="60"/>
              <w:right w:type="dxa" w:w="100"/>
            </w:tcMar>
          </w:tcPr>
          <w:p>
            <w:pPr>
              <w:spacing w:after="0"/>
            </w:pPr>
            <w:r>
              <w:rPr>
                <w:b w:val="false"/>
                <w:bCs w:val="false"/>
                <w:sz w:val="18"/>
                <w:szCs w:val="18"/>
              </w:rPr>
              <w:t xml:space="preserve">De-duplicate remarks per asset and text for the day.</w:t>
            </w:r>
          </w:p>
        </w:tc>
        <w:tc>
          <w:tcPr>
            <w:tcW w:type="dxa" w:w="2300"/>
            <w:shd w:fill="FFFFFF" w:val="clear"/>
            <w:tcMar>
              <w:top w:type="dxa" w:w="60"/>
              <w:left w:type="dxa" w:w="100"/>
              <w:bottom w:type="dxa" w:w="60"/>
              <w:right w:type="dxa" w:w="100"/>
            </w:tcMar>
          </w:tcPr>
          <w:p>
            <w:pPr>
              <w:spacing w:after="0"/>
            </w:pPr>
            <w:r>
              <w:rPr>
                <w:b w:val="false"/>
                <w:bCs w:val="false"/>
                <w:sz w:val="18"/>
                <w:szCs w:val="18"/>
              </w:rPr>
              <w:t xml:space="preserve">remarks form (line 5479)</w:t>
            </w:r>
          </w:p>
        </w:tc>
        <w:tc>
          <w:tcPr>
            <w:tcW w:type="dxa" w:w="2760"/>
            <w:shd w:fill="FFFFFF" w:val="clear"/>
            <w:tcMar>
              <w:top w:type="dxa" w:w="60"/>
              <w:left w:type="dxa" w:w="100"/>
              <w:bottom w:type="dxa" w:w="60"/>
              <w:right w:type="dxa" w:w="100"/>
            </w:tcMar>
          </w:tcPr>
          <w:p>
            <w:pPr>
              <w:spacing w:after="0"/>
            </w:pPr>
            <w:r>
              <w:rPr>
                <w:b w:val="false"/>
                <w:bCs w:val="false"/>
                <w:sz w:val="18"/>
                <w:szCs w:val="18"/>
              </w:rPr>
              <w:t xml:space="preserve">ACG remark printed once.</w:t>
            </w:r>
          </w:p>
        </w:tc>
      </w:tr>
      <w:tr>
        <w:tc>
          <w:tcPr>
            <w:tcW w:type="dxa" w:w="500"/>
            <w:shd w:fill="F2F2F2" w:val="clear"/>
            <w:tcMar>
              <w:top w:type="dxa" w:w="60"/>
              <w:left w:type="dxa" w:w="100"/>
              <w:bottom w:type="dxa" w:w="60"/>
              <w:right w:type="dxa" w:w="100"/>
            </w:tcMar>
          </w:tcPr>
          <w:p>
            <w:pPr>
              <w:spacing w:after="0"/>
            </w:pPr>
            <w:r>
              <w:rPr>
                <w:b w:val="false"/>
                <w:bCs w:val="false"/>
                <w:sz w:val="18"/>
                <w:szCs w:val="18"/>
              </w:rPr>
              <w:t xml:space="preserve">P6</w:t>
            </w:r>
          </w:p>
        </w:tc>
        <w:tc>
          <w:tcPr>
            <w:tcW w:type="dxa" w:w="3800"/>
            <w:shd w:fill="F2F2F2" w:val="clear"/>
            <w:tcMar>
              <w:top w:type="dxa" w:w="60"/>
              <w:left w:type="dxa" w:w="100"/>
              <w:bottom w:type="dxa" w:w="60"/>
              <w:right w:type="dxa" w:w="100"/>
            </w:tcMar>
          </w:tcPr>
          <w:p>
            <w:pPr>
              <w:spacing w:after="0"/>
            </w:pPr>
            <w:r>
              <w:rPr>
                <w:b w:val="false"/>
                <w:bCs w:val="false"/>
                <w:sz w:val="18"/>
                <w:szCs w:val="18"/>
              </w:rPr>
              <w:t xml:space="preserve">Optional: a short validation report (or the same checks in the entry transaction) that the Technical Cell runs before circulation, listing missing assets, missing blocks, deviations above the threshold and negative gas for the date.</w:t>
            </w:r>
          </w:p>
        </w:tc>
        <w:tc>
          <w:tcPr>
            <w:tcW w:type="dxa" w:w="2300"/>
            <w:shd w:fill="F2F2F2" w:val="clear"/>
            <w:tcMar>
              <w:top w:type="dxa" w:w="60"/>
              <w:left w:type="dxa" w:w="100"/>
              <w:bottom w:type="dxa" w:w="60"/>
              <w:right w:type="dxa" w:w="100"/>
            </w:tcMar>
          </w:tcPr>
          <w:p>
            <w:pPr>
              <w:spacing w:after="0"/>
            </w:pPr>
            <w:r>
              <w:rPr>
                <w:b w:val="false"/>
                <w:bCs w:val="false"/>
                <w:sz w:val="18"/>
                <w:szCs w:val="18"/>
              </w:rPr>
              <w:t xml:space="preserve">new program ZPRA_DPR_CHECK, same selection logic</w:t>
            </w:r>
          </w:p>
        </w:tc>
        <w:tc>
          <w:tcPr>
            <w:tcW w:type="dxa" w:w="2760"/>
            <w:shd w:fill="F2F2F2" w:val="clear"/>
            <w:tcMar>
              <w:top w:type="dxa" w:w="60"/>
              <w:left w:type="dxa" w:w="100"/>
              <w:bottom w:type="dxa" w:w="60"/>
              <w:right w:type="dxa" w:w="100"/>
            </w:tcMar>
          </w:tcPr>
          <w:p>
            <w:pPr>
              <w:spacing w:after="0"/>
            </w:pPr>
            <w:r>
              <w:rPr>
                <w:b w:val="false"/>
                <w:bCs w:val="false"/>
                <w:sz w:val="18"/>
                <w:szCs w:val="18"/>
              </w:rPr>
              <w:t xml:space="preserve">Problems are fixed before the DPR is generated.</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00"/>
              <w:left w:type="dxa" w:w="140"/>
              <w:bottom w:type="dxa" w:w="100"/>
              <w:right w:type="dxa" w:w="140"/>
            </w:tcMar>
          </w:tcPr>
          <w:p>
            <w:pPr>
              <w:spacing w:after="0"/>
            </w:pPr>
            <w:r>
              <w:rPr>
                <w:b/>
                <w:bCs/>
                <w:sz w:val="21"/>
                <w:szCs w:val="21"/>
              </w:rPr>
              <w:t xml:space="preserve">Recommendation:  </w:t>
            </w:r>
            <w:r>
              <w:rPr>
                <w:sz w:val="21"/>
                <w:szCs w:val="21"/>
              </w:rPr>
              <w:t xml:space="preserve">Correct the data listed in 4.1 immediately and regenerate the DPR for 30-Sep; that alone removes every circled figure except the BC-60 month, which needs the September entries. Implement P1, P2, P4 and P5 as one change (about two to three days of development and test on the classic program); P3 and P6 as a second step after the Technical Cell confirms the block structure per asset.</w:t>
            </w:r>
          </w:p>
        </w:tc>
      </w:tr>
    </w:tbl>
    <w:p>
      <w:pPr>
        <w:spacing w:after="140"/>
      </w:pPr>
    </w:p>
    <w:p>
      <w:pPr>
        <w:spacing w:after="120"/>
      </w:pPr>
      <w:r>
        <w:rPr>
          <w:b w:val="false"/>
          <w:bCs w:val="false"/>
          <w:i/>
          <w:iCs/>
          <w:sz w:val="21"/>
          <w:szCs w:val="21"/>
        </w:rPr>
        <w:t xml:space="preserve">Note on the dashboard: the CDS views built for the BTP dashboard read the same daily table without any carry-forward, so a missing day shows as a gap and a wrong entry shows as entered. The plausibility rules of P4 can be added there as a flag column once agreed.</w:t>
      </w:r>
    </w:p>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ONGC Videsh — SAP DPR issues of 01-Oct-2026 — analysis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4fe26721b1a25b4bf357ecbf97ab42ff7b22094.png"/><Relationship Id="rId9" Type="http://schemas.openxmlformats.org/officeDocument/2006/relationships/image" Target="media/600888324e23420ede16150ca9357b8cc9e52f71.png"/><Relationship Id="rId10" Type="http://schemas.openxmlformats.org/officeDocument/2006/relationships/image" Target="media/6e7e76d2d0cc06f469ad3ab674f06267686433d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2026-10-05T02:29:33.625Z</dcterms:created>
  <dcterms:modified xsi:type="dcterms:W3CDTF">2026-10-05T02:29:33.636Z</dcterms:modified>
</cp:coreProperties>
</file>

<file path=docProps/custom.xml><?xml version="1.0" encoding="utf-8"?>
<Properties xmlns="http://schemas.openxmlformats.org/officeDocument/2006/custom-properties" xmlns:vt="http://schemas.openxmlformats.org/officeDocument/2006/docPropsVTypes"/>
</file>