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200"/>
        <w:jc w:val="center"/>
      </w:pPr>
      <w:r>
        <w:rPr>
          <w:b/>
          <w:bCs/>
          <w:color w:val="1F4E79"/>
          <w:sz w:val="44"/>
          <w:szCs w:val="44"/>
        </w:rPr>
        <w:t xml:space="preserve">ONGC Videsh — DPR Analytical RAP</w:t>
      </w:r>
    </w:p>
    <w:p>
      <w:pPr>
        <w:spacing w:before="160"/>
        <w:jc w:val="center"/>
      </w:pPr>
      <w:r>
        <w:rPr>
          <w:b/>
          <w:bCs/>
          <w:color w:val="404040"/>
          <w:sz w:val="30"/>
          <w:szCs w:val="30"/>
        </w:rPr>
        <w:t xml:space="preserve">Fiori Overview Page: what the dashboard can and cannot show</w:t>
      </w:r>
    </w:p>
    <w:p>
      <w:pPr>
        <w:spacing w:before="500"/>
        <w:jc w:val="center"/>
      </w:pPr>
      <w:r>
        <w:rPr>
          <w:i/>
          <w:iCs/>
          <w:color w:val="606060"/>
          <w:sz w:val="22"/>
          <w:szCs w:val="22"/>
        </w:rPr>
        <w:t xml:space="preserve">Why the built page differs from the design mockup, the SAP rules behind it, and the layout to configure</w:t>
      </w:r>
    </w:p>
    <w:p>
      <w:r>
        <w:br w:type="page"/>
      </w:r>
    </w:p>
    <w:p>
      <w:pPr>
        <w:pStyle w:val="Heading1"/>
        <w:spacing w:after="160" w:before="320"/>
      </w:pPr>
      <w:r>
        <w:t xml:space="preserve">Contents</w:t>
      </w:r>
    </w:p>
    <w:sdt>
      <w:sdtPr>
        <w:alias w:val="Contents"/>
      </w:sdtPr>
      <w:sdtContent>
        <w:p>
          <w:r>
            <w:fldChar w:fldCharType="begin" w:dirty="true"/>
            <w:instrText xml:space="preserve">TOC \h \o "1-2"</w:instrText>
            <w:fldChar w:fldCharType="separate"/>
          </w:r>
        </w:p>
        <w:p>
          <w:r>
            <w:fldChar w:fldCharType="end"/>
          </w:r>
        </w:p>
      </w:sdtContent>
    </w:sdt>
    <w:p>
      <w:r>
        <w:br w:type="page"/>
      </w:r>
    </w:p>
    <w:p>
      <w:pPr>
        <w:pStyle w:val="Heading1"/>
        <w:spacing w:after="160" w:before="320"/>
      </w:pPr>
      <w:r>
        <w:t xml:space="preserve">1. Why the page does not look like the mockup</w:t>
      </w:r>
    </w:p>
    <w:p>
      <w:pPr>
        <w:spacing w:after="120"/>
      </w:pPr>
      <w:r>
        <w:rPr>
          <w:b w:val="false"/>
          <w:bCs w:val="false"/>
          <w:i w:val="false"/>
          <w:iCs w:val="false"/>
          <w:sz w:val="21"/>
          <w:szCs w:val="21"/>
        </w:rPr>
        <w:t xml:space="preserve">The design mockup was drawn as a free layout: a wide chart, a six-column performance table with four rows, KPI tiles and coloured lines. A Fiori elements Overview Page (OVP) is not a free layout. It is a template: every card is one of a fixed set of card types, each with fixed rules for size, number of columns, number of rows, chart types and colours. The rules are set by SAP and cannot be changed by annotations or by the developer, only by writing a custom card (real UI5 development). This document lists the rules, verified against SAP's documentation, and gives the layout that fits inside them.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shd w:fill="FFF2CC" w:val="clear"/>
            <w:tcMar>
              <w:top w:type="dxa" w:w="100"/>
              <w:left w:type="dxa" w:w="140"/>
              <w:bottom w:type="dxa" w:w="100"/>
              <w:right w:type="dxa" w:w="140"/>
            </w:tcMar>
          </w:tcPr>
          <w:p>
            <w:pPr>
              <w:spacing w:after="0"/>
            </w:pPr>
            <w:r>
              <w:rPr>
                <w:b/>
                <w:bCs/>
                <w:sz w:val="21"/>
                <w:szCs w:val="21"/>
              </w:rPr>
              <w:t xml:space="preserve">In one sentence:  </w:t>
            </w:r>
            <w:r>
              <w:rPr>
                <w:sz w:val="21"/>
                <w:szCs w:val="21"/>
              </w:rPr>
              <w:t xml:space="preserve">The Overview Page can show the same information as the mockup, but as small standard cards — three columns and three rows per table, standard chart styling, dates as text — with the full tables and large charts one click away in the target apps.</w:t>
            </w:r>
          </w:p>
        </w:tc>
      </w:tr>
    </w:tbl>
    <w:p>
      <w:pPr>
        <w:spacing w:after="140"/>
      </w:pPr>
    </w:p>
    <w:p>
      <w:pPr>
        <w:spacing w:after="120"/>
      </w:pPr>
      <w:r>
        <w:rPr>
          <w:b w:val="false"/>
          <w:bCs w:val="false"/>
          <w:i w:val="false"/>
          <w:iCs w:val="false"/>
          <w:sz w:val="21"/>
          <w:szCs w:val="21"/>
        </w:rPr>
        <w:t xml:space="preserve">The picture below is what the page realistically looks like once the settings of section 4 are applied (illustrative figures).</w:t>
      </w:r>
    </w:p>
    <w:p>
      <w:pPr>
        <w:spacing w:after="160"/>
        <w:jc w:val="center"/>
      </w:pPr>
      <w:r>
        <w:drawing>
          <wp:inline distT="0" distB="0" distL="0" distR="0">
            <wp:extent cx="5905500" cy="38481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905500" cy="3848100"/>
                    </a:xfrm>
                    <a:prstGeom prst="rect">
                      <a:avLst/>
                    </a:prstGeom>
                  </pic:spPr>
                </pic:pic>
              </a:graphicData>
            </a:graphic>
          </wp:inline>
        </w:drawing>
      </w:r>
    </w:p>
    <w:p>
      <w:r>
        <w:br w:type="page"/>
      </w:r>
    </w:p>
    <w:p>
      <w:pPr>
        <w:pStyle w:val="Heading1"/>
        <w:spacing w:after="160" w:before="320"/>
      </w:pPr>
      <w:r>
        <w:t xml:space="preserve">2. The SAP rules (verified)</w:t>
      </w:r>
    </w:p>
    <w:p>
      <w:pPr>
        <w:pStyle w:val="Heading2"/>
        <w:spacing w:after="120" w:before="260"/>
      </w:pPr>
      <w:r>
        <w:t xml:space="preserve">2.1 Table card and list card</w:t>
      </w:r>
    </w:p>
    <w:p>
      <w:pPr>
        <w:pStyle w:val="ListParagraph"/>
        <w:numPr>
          <w:ilvl w:val="0"/>
          <w:numId w:val="2"/>
        </w:numPr>
        <w:spacing w:after="80"/>
      </w:pPr>
      <w:r>
        <w:rPr>
          <w:sz w:val="21"/>
          <w:szCs w:val="21"/>
        </w:rPr>
        <w:t xml:space="preserve">A table card shows a maximum of 3 columns and 3 rows, with up to 3 lines of text per row. To see the full result the user navigates to the target application (“View More”).</w:t>
      </w:r>
    </w:p>
    <w:p>
      <w:pPr>
        <w:pStyle w:val="ListParagraph"/>
        <w:numPr>
          <w:ilvl w:val="0"/>
          <w:numId w:val="2"/>
        </w:numPr>
        <w:spacing w:after="80"/>
      </w:pPr>
      <w:r>
        <w:rPr>
          <w:sz w:val="21"/>
          <w:szCs w:val="21"/>
        </w:rPr>
        <w:t xml:space="preserve">All three columns may be a data field or a data point; data points can carry semantic colours (green/orange/red through the Criticality of the DataPoint annotation). Arbitrary colours or bold cells are not possible.</w:t>
      </w:r>
    </w:p>
    <w:p>
      <w:pPr>
        <w:pStyle w:val="ListParagraph"/>
        <w:numPr>
          <w:ilvl w:val="0"/>
          <w:numId w:val="2"/>
        </w:numPr>
        <w:spacing w:after="80"/>
      </w:pPr>
      <w:r>
        <w:rPr>
          <w:sz w:val="21"/>
          <w:szCs w:val="21"/>
        </w:rPr>
        <w:t xml:space="preserve">A list card shows up to 3 items in the fixed layout, each with a title, a description and one or two values; a bar-list variant can show a small bar per item.</w:t>
      </w:r>
    </w:p>
    <w:p>
      <w:pPr>
        <w:pStyle w:val="ListParagraph"/>
        <w:numPr>
          <w:ilvl w:val="0"/>
          <w:numId w:val="2"/>
        </w:numPr>
        <w:spacing w:after="80"/>
      </w:pPr>
      <w:r>
        <w:rPr>
          <w:sz w:val="21"/>
          <w:szCs w:val="21"/>
        </w:rPr>
        <w:t xml:space="preserve">Column headers come from the labels of the UI.LineItem annotation; column order is the order of the line items. The Overview Page takes the first three line items (by position), so the three most important columns must be first.</w:t>
      </w:r>
    </w:p>
    <w:p>
      <w:pPr>
        <w:pStyle w:val="Heading2"/>
        <w:spacing w:after="120" w:before="260"/>
      </w:pPr>
      <w:r>
        <w:t xml:space="preserve">2.2 Analytical (chart) card</w:t>
      </w:r>
    </w:p>
    <w:p>
      <w:pPr>
        <w:pStyle w:val="ListParagraph"/>
        <w:numPr>
          <w:ilvl w:val="0"/>
          <w:numId w:val="2"/>
        </w:numPr>
        <w:spacing w:after="80"/>
      </w:pPr>
      <w:r>
        <w:rPr>
          <w:sz w:val="21"/>
          <w:szCs w:val="21"/>
        </w:rPr>
        <w:t xml:space="preserve">Supported chart types: line, column, stacked column, bar, combination (column + line), donut, bubble, scatter, vertical bullet. A line chart needs one dimension (category axis) and at least one measure; two measures give two lines, as in the DPR graph.</w:t>
      </w:r>
    </w:p>
    <w:p>
      <w:pPr>
        <w:pStyle w:val="ListParagraph"/>
        <w:numPr>
          <w:ilvl w:val="0"/>
          <w:numId w:val="2"/>
        </w:numPr>
        <w:spacing w:after="80"/>
      </w:pPr>
      <w:r>
        <w:rPr>
          <w:sz w:val="21"/>
          <w:szCs w:val="21"/>
        </w:rPr>
        <w:t xml:space="preserve">Chart colours come from the SAP theme palette in series order (blue, orange, …). The only way to influence colours is semantic colouring through the chart annotation (Criticality), which colours a series good/critical/bad. The Excel colours of the DPR graph cannot be reproduced exactly.</w:t>
      </w:r>
    </w:p>
    <w:p>
      <w:pPr>
        <w:pStyle w:val="ListParagraph"/>
        <w:numPr>
          <w:ilvl w:val="0"/>
          <w:numId w:val="2"/>
        </w:numPr>
        <w:spacing w:after="80"/>
      </w:pPr>
      <w:r>
        <w:rPr>
          <w:sz w:val="21"/>
          <w:szCs w:val="21"/>
        </w:rPr>
        <w:t xml:space="preserve">Design guideline for the fixed card layout: keep charts small — up to 4 data points or 2 series are recommended. There is no hard limit on data points, but a card with many points becomes crowded and slow. A 30-day range with two lines is fine; a full year with daily points is readable only in the resizable layout with a wide card, and is better shown in the target app.</w:t>
      </w:r>
    </w:p>
    <w:p>
      <w:pPr>
        <w:pStyle w:val="ListParagraph"/>
        <w:numPr>
          <w:ilvl w:val="0"/>
          <w:numId w:val="2"/>
        </w:numPr>
        <w:spacing w:after="80"/>
      </w:pPr>
      <w:r>
        <w:rPr>
          <w:sz w:val="21"/>
          <w:szCs w:val="21"/>
        </w:rPr>
        <w:t xml:space="preserve">The category axis shows the raw property value. A date property of the OData V2 service generated from a CDS DATS field is a string in the form YYYYMMDD, which is why the axis showed 20250901. The fix is a text dimension (see section 3).</w:t>
      </w:r>
    </w:p>
    <w:p>
      <w:pPr>
        <w:pStyle w:val="ListParagraph"/>
        <w:numPr>
          <w:ilvl w:val="0"/>
          <w:numId w:val="2"/>
        </w:numPr>
        <w:spacing w:after="80"/>
      </w:pPr>
      <w:r>
        <w:rPr>
          <w:sz w:val="21"/>
          <w:szCs w:val="21"/>
        </w:rPr>
        <w:t xml:space="preserve">A card has one chart. A chart plus a table in one card is not possible; a table card of the same entity set is a second card.</w:t>
      </w:r>
    </w:p>
    <w:p>
      <w:pPr>
        <w:pStyle w:val="Heading2"/>
        <w:spacing w:after="120" w:before="260"/>
      </w:pPr>
      <w:r>
        <w:t xml:space="preserve">2.3 Card header and KPI figures</w:t>
      </w:r>
    </w:p>
    <w:p>
      <w:pPr>
        <w:pStyle w:val="ListParagraph"/>
        <w:numPr>
          <w:ilvl w:val="0"/>
          <w:numId w:val="2"/>
        </w:numPr>
        <w:spacing w:after="80"/>
      </w:pPr>
      <w:r>
        <w:rPr>
          <w:sz w:val="21"/>
          <w:szCs w:val="21"/>
        </w:rPr>
        <w:t xml:space="preserve">The card title and subtitle can have at most two lines each.</w:t>
      </w:r>
    </w:p>
    <w:p>
      <w:pPr>
        <w:pStyle w:val="ListParagraph"/>
        <w:numPr>
          <w:ilvl w:val="0"/>
          <w:numId w:val="2"/>
        </w:numPr>
        <w:spacing w:after="80"/>
      </w:pPr>
      <w:r>
        <w:rPr>
          <w:sz w:val="21"/>
          <w:szCs w:val="21"/>
        </w:rPr>
        <w:t xml:space="preserve">A KPI header (big number with target and deviation) is possible on chart, table and list cards, but it needs a DataPoint annotation on an entity set that the back end can aggregate — an analytical query. ZDPR_Q_PROD_PERF is a plain view, so its card cannot have a KPI header. A KPI header on the BOEPD chart card is possible (sum of ActualBoepdOvl over the filtered range) and is described in section 4.</w:t>
      </w:r>
    </w:p>
    <w:p>
      <w:pPr>
        <w:pStyle w:val="ListParagraph"/>
        <w:numPr>
          <w:ilvl w:val="0"/>
          <w:numId w:val="2"/>
        </w:numPr>
        <w:spacing w:after="80"/>
      </w:pPr>
      <w:r>
        <w:rPr>
          <w:sz w:val="21"/>
          <w:szCs w:val="21"/>
        </w:rPr>
        <w:t xml:space="preserve">KPI headers on parameterised entity sets are not supported for OData V4 — this is why the whole dashboard was placed on OData V2.</w:t>
      </w:r>
    </w:p>
    <w:p>
      <w:pPr>
        <w:pStyle w:val="Heading2"/>
        <w:spacing w:after="120" w:before="260"/>
      </w:pPr>
      <w:r>
        <w:t xml:space="preserve">2.4 Page layout and filter bar</w:t>
      </w:r>
    </w:p>
    <w:p>
      <w:pPr>
        <w:pStyle w:val="ListParagraph"/>
        <w:numPr>
          <w:ilvl w:val="0"/>
          <w:numId w:val="2"/>
        </w:numPr>
        <w:spacing w:after="80"/>
      </w:pPr>
      <w:r>
        <w:rPr>
          <w:sz w:val="21"/>
          <w:szCs w:val="21"/>
        </w:rPr>
        <w:t xml:space="preserve">Fixed card layout (default): every card is one column wide (about 20 rem) and the height is decided by the card type; the user can only hide, show and reorder cards.</w:t>
      </w:r>
    </w:p>
    <w:p>
      <w:pPr>
        <w:pStyle w:val="ListParagraph"/>
        <w:numPr>
          <w:ilvl w:val="0"/>
          <w:numId w:val="2"/>
        </w:numPr>
        <w:spacing w:after="80"/>
      </w:pPr>
      <w:r>
        <w:rPr>
          <w:sz w:val="21"/>
          <w:szCs w:val="21"/>
        </w:rPr>
        <w:t xml:space="preserve">Resizable card layout: cards sit on a grid; the developer sets the initial size per card (defaultSpan: rows and cols, one column ≈ 320 px) and the user can resize. A wider table card shows more columns; a taller one shows more rows. This is the layout to use for the DPR page.</w:t>
      </w:r>
    </w:p>
    <w:p>
      <w:pPr>
        <w:pStyle w:val="ListParagraph"/>
        <w:numPr>
          <w:ilvl w:val="0"/>
          <w:numId w:val="2"/>
        </w:numPr>
        <w:spacing w:after="80"/>
      </w:pPr>
      <w:r>
        <w:rPr>
          <w:sz w:val="21"/>
          <w:szCs w:val="21"/>
        </w:rPr>
        <w:t xml:space="preserve">The global filter bar can only contain fields of one entity type (globalFilterEntityType). Cards are filtered by name: a filter field applies to a card only if the card's entity set has a property of the same name and type. For the DPR queries the common names are ProductionDate, Asset, ProductGroup, BusinessUnit and the parameters P_DateFrom, P_DateTo, P_FiscalYear.</w:t>
      </w:r>
    </w:p>
    <w:p>
      <w:pPr>
        <w:pStyle w:val="ListParagraph"/>
        <w:numPr>
          <w:ilvl w:val="0"/>
          <w:numId w:val="2"/>
        </w:numPr>
        <w:spacing w:after="80"/>
      </w:pPr>
      <w:r>
        <w:rPr>
          <w:sz w:val="21"/>
          <w:szCs w:val="21"/>
        </w:rPr>
        <w:t xml:space="preserve">No custom fonts, logos, background colours or free-form text blocks; the shell bar, page title and card frames are the standard Fiori shell (theme Horizon or Quartz as set for the launchpad).</w:t>
      </w:r>
    </w:p>
    <w:p>
      <w:pPr>
        <w:pStyle w:val="Heading2"/>
        <w:spacing w:after="120" w:before="260"/>
      </w:pPr>
      <w:r>
        <w:t xml:space="preserve">2.5 Sources</w:t>
      </w:r>
    </w:p>
    <w:p>
      <w:pPr>
        <w:pStyle w:val="ListParagraph"/>
        <w:numPr>
          <w:ilvl w:val="0"/>
          <w:numId w:val="2"/>
        </w:numPr>
        <w:spacing w:after="60"/>
      </w:pPr>
      <w:hyperlink w:history="1" r:id="rIdp2l7ftuqnbbprzpojutda">
        <w:r>
          <w:rPr>
            <w:rStyle w:val="Hyperlink"/>
            <w:sz w:val="20"/>
            <w:szCs w:val="20"/>
          </w:rPr>
          <w:t xml:space="preserve">SAP Fiori Design Guidelines — Overview Page: Table Card</w:t>
        </w:r>
      </w:hyperlink>
    </w:p>
    <w:p>
      <w:pPr>
        <w:pStyle w:val="ListParagraph"/>
        <w:numPr>
          <w:ilvl w:val="0"/>
          <w:numId w:val="2"/>
        </w:numPr>
        <w:spacing w:after="60"/>
      </w:pPr>
      <w:hyperlink w:history="1" r:id="rIdh5ylfgcqbmenloqjg3mua">
        <w:r>
          <w:rPr>
            <w:rStyle w:val="Hyperlink"/>
            <w:sz w:val="20"/>
            <w:szCs w:val="20"/>
          </w:rPr>
          <w:t xml:space="preserve">SAP Fiori Design Guidelines — Overview Page: Resizable Card Layout</w:t>
        </w:r>
      </w:hyperlink>
    </w:p>
    <w:p>
      <w:pPr>
        <w:pStyle w:val="ListParagraph"/>
        <w:numPr>
          <w:ilvl w:val="0"/>
          <w:numId w:val="2"/>
        </w:numPr>
        <w:spacing w:after="60"/>
      </w:pPr>
      <w:hyperlink w:history="1" r:id="rIdndwjbdoc1elkxcho_adrg">
        <w:r>
          <w:rPr>
            <w:rStyle w:val="Hyperlink"/>
            <w:sz w:val="20"/>
            <w:szCs w:val="20"/>
          </w:rPr>
          <w:t xml:space="preserve">SAP Fiori Design Guidelines — Overview Page: Fixed Card Sizes</w:t>
        </w:r>
      </w:hyperlink>
    </w:p>
    <w:p>
      <w:pPr>
        <w:pStyle w:val="ListParagraph"/>
        <w:numPr>
          <w:ilvl w:val="0"/>
          <w:numId w:val="2"/>
        </w:numPr>
        <w:spacing w:after="60"/>
      </w:pPr>
      <w:hyperlink w:history="1" r:id="rIdlbimsuluvpjboss1pidzk">
        <w:r>
          <w:rPr>
            <w:rStyle w:val="Hyperlink"/>
            <w:sz w:val="20"/>
            <w:szCs w:val="20"/>
          </w:rPr>
          <w:t xml:space="preserve">SAP Fiori Design Guidelines — Analytical Card</w:t>
        </w:r>
      </w:hyperlink>
    </w:p>
    <w:p>
      <w:pPr>
        <w:pStyle w:val="ListParagraph"/>
        <w:numPr>
          <w:ilvl w:val="0"/>
          <w:numId w:val="2"/>
        </w:numPr>
        <w:spacing w:after="60"/>
      </w:pPr>
      <w:hyperlink w:history="1" r:id="rId4hz_noov4hgciswmrvexx">
        <w:r>
          <w:rPr>
            <w:rStyle w:val="Hyperlink"/>
            <w:sz w:val="20"/>
            <w:szCs w:val="20"/>
          </w:rPr>
          <w:t xml:space="preserve">SAPUI5 documentation — Overview Page Card (SAP-docs on GitHub)</w:t>
        </w:r>
      </w:hyperlink>
    </w:p>
    <w:p>
      <w:pPr>
        <w:pStyle w:val="ListParagraph"/>
        <w:numPr>
          <w:ilvl w:val="0"/>
          <w:numId w:val="2"/>
        </w:numPr>
        <w:spacing w:after="60"/>
      </w:pPr>
      <w:hyperlink w:history="1" r:id="rIdimhyb3upsi47d1pus98sg">
        <w:r>
          <w:rPr>
            <w:rStyle w:val="Hyperlink"/>
            <w:sz w:val="20"/>
            <w:szCs w:val="20"/>
          </w:rPr>
          <w:t xml:space="preserve">SAP Community — Overview Page Table Cards in detail</w:t>
        </w:r>
      </w:hyperlink>
    </w:p>
    <w:p>
      <w:pPr>
        <w:pStyle w:val="ListParagraph"/>
        <w:numPr>
          <w:ilvl w:val="0"/>
          <w:numId w:val="2"/>
        </w:numPr>
        <w:spacing w:after="60"/>
      </w:pPr>
      <w:hyperlink w:history="1" r:id="rIdasoiewuohxplthrfxjlyo">
        <w:r>
          <w:rPr>
            <w:rStyle w:val="Hyperlink"/>
            <w:sz w:val="20"/>
            <w:szCs w:val="20"/>
          </w:rPr>
          <w:t xml:space="preserve">SAP Community — Annotations for analytical cards on the Overview Page</w:t>
        </w:r>
      </w:hyperlink>
    </w:p>
    <w:p>
      <w:pPr>
        <w:pStyle w:val="ListParagraph"/>
        <w:numPr>
          <w:ilvl w:val="0"/>
          <w:numId w:val="2"/>
        </w:numPr>
        <w:spacing w:after="60"/>
      </w:pPr>
      <w:hyperlink w:history="1" r:id="rIdz-dnr7bnghwbwnl68ky9j">
        <w:r>
          <w:rPr>
            <w:rStyle w:val="Hyperlink"/>
            <w:sz w:val="20"/>
            <w:szCs w:val="20"/>
          </w:rPr>
          <w:t xml:space="preserve">SAP Community — Overview Page KPI header</w:t>
        </w:r>
      </w:hyperlink>
    </w:p>
    <w:p>
      <w:r>
        <w:br w:type="page"/>
      </w:r>
    </w:p>
    <w:p>
      <w:pPr>
        <w:pStyle w:val="Heading1"/>
        <w:spacing w:after="160" w:before="320"/>
      </w:pPr>
      <w:r>
        <w:t xml:space="preserve">3. Mockup versus what is built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900"/>
        <w:gridCol w:w="3000"/>
        <w:gridCol w:w="3460"/>
      </w:tblGrid>
      <w:tr>
        <w:trPr>
          <w:tblHeader/>
        </w:trPr>
        <w:tc>
          <w:tcPr>
            <w:tcW w:type="dxa" w:w="2900"/>
            <w:shd w:fill="1F4E79" w:val="clear"/>
            <w:tcMar>
              <w:top w:type="dxa" w:w="70"/>
              <w:left w:type="dxa" w:w="110"/>
              <w:bottom w:type="dxa" w:w="70"/>
              <w:right w:type="dxa" w:w="110"/>
            </w:tcMar>
          </w:tcPr>
          <w:p>
            <w:pPr>
              <w:spacing w:after="0"/>
            </w:pPr>
            <w:r>
              <w:rPr>
                <w:b/>
                <w:bCs/>
                <w:color w:val="FFFFFF"/>
                <w:sz w:val="19"/>
                <w:szCs w:val="19"/>
              </w:rPr>
              <w:t xml:space="preserve">Mockup element</w:t>
            </w:r>
          </w:p>
        </w:tc>
        <w:tc>
          <w:tcPr>
            <w:tcW w:type="dxa" w:w="3000"/>
            <w:shd w:fill="1F4E79" w:val="clear"/>
            <w:tcMar>
              <w:top w:type="dxa" w:w="70"/>
              <w:left w:type="dxa" w:w="110"/>
              <w:bottom w:type="dxa" w:w="70"/>
              <w:right w:type="dxa" w:w="110"/>
            </w:tcMar>
          </w:tcPr>
          <w:p>
            <w:pPr>
              <w:spacing w:after="0"/>
            </w:pPr>
            <w:r>
              <w:rPr>
                <w:b/>
                <w:bCs/>
                <w:color w:val="FFFFFF"/>
                <w:sz w:val="19"/>
                <w:szCs w:val="19"/>
              </w:rPr>
              <w:t xml:space="preserve">Overview Page reality</w:t>
            </w:r>
          </w:p>
        </w:tc>
        <w:tc>
          <w:tcPr>
            <w:tcW w:type="dxa" w:w="3460"/>
            <w:shd w:fill="1F4E79" w:val="clear"/>
            <w:tcMar>
              <w:top w:type="dxa" w:w="70"/>
              <w:left w:type="dxa" w:w="110"/>
              <w:bottom w:type="dxa" w:w="70"/>
              <w:right w:type="dxa" w:w="110"/>
            </w:tcMar>
          </w:tcPr>
          <w:p>
            <w:pPr>
              <w:spacing w:after="0"/>
            </w:pPr>
            <w:r>
              <w:rPr>
                <w:b/>
                <w:bCs/>
                <w:color w:val="FFFFFF"/>
                <w:sz w:val="19"/>
                <w:szCs w:val="19"/>
              </w:rPr>
              <w:t xml:space="preserve">What we do</w:t>
            </w:r>
          </w:p>
        </w:tc>
      </w:tr>
      <w:tr>
        <w:tc>
          <w:tcPr>
            <w:tcW w:type="dxa" w:w="2900"/>
            <w:shd w:fill="FFFFFF" w:val="clear"/>
            <w:tcMar>
              <w:top w:type="dxa" w:w="70"/>
              <w:left w:type="dxa" w:w="110"/>
              <w:bottom w:type="dxa" w:w="70"/>
              <w:right w:type="dxa" w:w="110"/>
            </w:tcMar>
          </w:tcPr>
          <w:p>
            <w:pPr>
              <w:spacing w:after="0"/>
            </w:pPr>
            <w:r>
              <w:rPr>
                <w:b w:val="false"/>
                <w:bCs w:val="false"/>
                <w:sz w:val="19"/>
                <w:szCs w:val="19"/>
              </w:rPr>
              <w:t xml:space="preserve">Wide line chart, custom colours, dates on the axis</w:t>
            </w:r>
          </w:p>
        </w:tc>
        <w:tc>
          <w:tcPr>
            <w:tcW w:type="dxa" w:w="3000"/>
            <w:shd w:fill="FFFFFF" w:val="clear"/>
            <w:tcMar>
              <w:top w:type="dxa" w:w="70"/>
              <w:left w:type="dxa" w:w="110"/>
              <w:bottom w:type="dxa" w:w="70"/>
              <w:right w:type="dxa" w:w="110"/>
            </w:tcMar>
          </w:tcPr>
          <w:p>
            <w:pPr>
              <w:spacing w:after="0"/>
            </w:pPr>
            <w:r>
              <w:rPr>
                <w:b w:val="false"/>
                <w:bCs w:val="false"/>
                <w:sz w:val="19"/>
                <w:szCs w:val="19"/>
              </w:rPr>
              <w:t xml:space="preserve">Analytical line card; theme colours; axis shows raw YYYYMMDD</w:t>
            </w:r>
          </w:p>
        </w:tc>
        <w:tc>
          <w:tcPr>
            <w:tcW w:type="dxa" w:w="3460"/>
            <w:shd w:fill="FFFFFF" w:val="clear"/>
            <w:tcMar>
              <w:top w:type="dxa" w:w="70"/>
              <w:left w:type="dxa" w:w="110"/>
              <w:bottom w:type="dxa" w:w="70"/>
              <w:right w:type="dxa" w:w="110"/>
            </w:tcMar>
          </w:tcPr>
          <w:p>
            <w:pPr>
              <w:spacing w:after="0"/>
            </w:pPr>
            <w:r>
              <w:rPr>
                <w:b w:val="false"/>
                <w:bCs w:val="false"/>
                <w:sz w:val="19"/>
                <w:szCs w:val="19"/>
              </w:rPr>
              <w:t xml:space="preserve">Card made 2 columns wide (resizable layout). New text dimension ProductionDateText (YYYY-MM-DD) as chart category. Colours stay blue/orange.</w:t>
            </w:r>
          </w:p>
        </w:tc>
      </w:tr>
      <w:tr>
        <w:tc>
          <w:tcPr>
            <w:tcW w:type="dxa" w:w="2900"/>
            <w:shd w:fill="F2F2F2" w:val="clear"/>
            <w:tcMar>
              <w:top w:type="dxa" w:w="70"/>
              <w:left w:type="dxa" w:w="110"/>
              <w:bottom w:type="dxa" w:w="70"/>
              <w:right w:type="dxa" w:w="110"/>
            </w:tcMar>
          </w:tcPr>
          <w:p>
            <w:pPr>
              <w:spacing w:after="0"/>
            </w:pPr>
            <w:r>
              <w:rPr>
                <w:b w:val="false"/>
                <w:bCs w:val="false"/>
                <w:sz w:val="19"/>
                <w:szCs w:val="19"/>
              </w:rPr>
              <w:t xml:space="preserve">Performance table: 6 columns × 4 rows with % colours</w:t>
            </w:r>
          </w:p>
        </w:tc>
        <w:tc>
          <w:tcPr>
            <w:tcW w:type="dxa" w:w="3000"/>
            <w:shd w:fill="F2F2F2" w:val="clear"/>
            <w:tcMar>
              <w:top w:type="dxa" w:w="70"/>
              <w:left w:type="dxa" w:w="110"/>
              <w:bottom w:type="dxa" w:w="70"/>
              <w:right w:type="dxa" w:w="110"/>
            </w:tcMar>
          </w:tcPr>
          <w:p>
            <w:pPr>
              <w:spacing w:after="0"/>
            </w:pPr>
            <w:r>
              <w:rPr>
                <w:b w:val="false"/>
                <w:bCs w:val="false"/>
                <w:sz w:val="19"/>
                <w:szCs w:val="19"/>
              </w:rPr>
              <w:t xml:space="preserve">Table card: 3 columns × 3 rows</w:t>
            </w:r>
          </w:p>
        </w:tc>
        <w:tc>
          <w:tcPr>
            <w:tcW w:type="dxa" w:w="3460"/>
            <w:shd w:fill="F2F2F2" w:val="clear"/>
            <w:tcMar>
              <w:top w:type="dxa" w:w="70"/>
              <w:left w:type="dxa" w:w="110"/>
              <w:bottom w:type="dxa" w:w="70"/>
              <w:right w:type="dxa" w:w="110"/>
            </w:tcMar>
          </w:tcPr>
          <w:p>
            <w:pPr>
              <w:spacing w:after="0"/>
            </w:pPr>
            <w:r>
              <w:rPr>
                <w:b w:val="false"/>
                <w:bCs w:val="false"/>
                <w:sz w:val="19"/>
                <w:szCs w:val="19"/>
              </w:rPr>
              <w:t xml:space="preserve">Two table cards — YTD and Annual — each 2 rows, 3 columns: Row label | Actual | % Achv (green/orange/red from AchievementCriticality). Full 8-column table in the target app.</w:t>
            </w:r>
          </w:p>
        </w:tc>
      </w:tr>
      <w:tr>
        <w:tc>
          <w:tcPr>
            <w:tcW w:type="dxa" w:w="2900"/>
            <w:shd w:fill="FFFFFF" w:val="clear"/>
            <w:tcMar>
              <w:top w:type="dxa" w:w="70"/>
              <w:left w:type="dxa" w:w="110"/>
              <w:bottom w:type="dxa" w:w="70"/>
              <w:right w:type="dxa" w:w="110"/>
            </w:tcMar>
          </w:tcPr>
          <w:p>
            <w:pPr>
              <w:spacing w:after="0"/>
            </w:pPr>
            <w:r>
              <w:rPr>
                <w:b w:val="false"/>
                <w:bCs w:val="false"/>
                <w:sz w:val="19"/>
                <w:szCs w:val="19"/>
              </w:rPr>
              <w:t xml:space="preserve">KPI tile “Total O+OEG 193,420 BOEPD ▼ 3.2 %”</w:t>
            </w:r>
          </w:p>
        </w:tc>
        <w:tc>
          <w:tcPr>
            <w:tcW w:type="dxa" w:w="3000"/>
            <w:shd w:fill="FFFFFF" w:val="clear"/>
            <w:tcMar>
              <w:top w:type="dxa" w:w="70"/>
              <w:left w:type="dxa" w:w="110"/>
              <w:bottom w:type="dxa" w:w="70"/>
              <w:right w:type="dxa" w:w="110"/>
            </w:tcMar>
          </w:tcPr>
          <w:p>
            <w:pPr>
              <w:spacing w:after="0"/>
            </w:pPr>
            <w:r>
              <w:rPr>
                <w:b w:val="false"/>
                <w:bCs w:val="false"/>
                <w:sz w:val="19"/>
                <w:szCs w:val="19"/>
              </w:rPr>
              <w:t xml:space="preserve">KPI header only on aggregatable entity sets</w:t>
            </w:r>
          </w:p>
        </w:tc>
        <w:tc>
          <w:tcPr>
            <w:tcW w:type="dxa" w:w="3460"/>
            <w:shd w:fill="FFFFFF" w:val="clear"/>
            <w:tcMar>
              <w:top w:type="dxa" w:w="70"/>
              <w:left w:type="dxa" w:w="110"/>
              <w:bottom w:type="dxa" w:w="70"/>
              <w:right w:type="dxa" w:w="110"/>
            </w:tcMar>
          </w:tcPr>
          <w:p>
            <w:pPr>
              <w:spacing w:after="0"/>
            </w:pPr>
            <w:r>
              <w:rPr>
                <w:b w:val="false"/>
                <w:bCs w:val="false"/>
                <w:sz w:val="19"/>
                <w:szCs w:val="19"/>
              </w:rPr>
              <w:t xml:space="preserve">KPI header on the BOEPD chart card (sum of ActualBoepdOvl vs TargetBoepd over the range) — optional, section 4.3.</w:t>
            </w:r>
          </w:p>
        </w:tc>
      </w:tr>
      <w:tr>
        <w:tc>
          <w:tcPr>
            <w:tcW w:type="dxa" w:w="2900"/>
            <w:shd w:fill="F2F2F2" w:val="clear"/>
            <w:tcMar>
              <w:top w:type="dxa" w:w="70"/>
              <w:left w:type="dxa" w:w="110"/>
              <w:bottom w:type="dxa" w:w="70"/>
              <w:right w:type="dxa" w:w="110"/>
            </w:tcMar>
          </w:tcPr>
          <w:p>
            <w:pPr>
              <w:spacing w:after="0"/>
            </w:pPr>
            <w:r>
              <w:rPr>
                <w:b w:val="false"/>
                <w:bCs w:val="false"/>
                <w:sz w:val="19"/>
                <w:szCs w:val="19"/>
              </w:rPr>
              <w:t xml:space="preserve">Target vs Actual by Product (bars, achievement %)</w:t>
            </w:r>
          </w:p>
        </w:tc>
        <w:tc>
          <w:tcPr>
            <w:tcW w:type="dxa" w:w="3000"/>
            <w:shd w:fill="F2F2F2" w:val="clear"/>
            <w:tcMar>
              <w:top w:type="dxa" w:w="70"/>
              <w:left w:type="dxa" w:w="110"/>
              <w:bottom w:type="dxa" w:w="70"/>
              <w:right w:type="dxa" w:w="110"/>
            </w:tcMar>
          </w:tcPr>
          <w:p>
            <w:pPr>
              <w:spacing w:after="0"/>
            </w:pPr>
            <w:r>
              <w:rPr>
                <w:b w:val="false"/>
                <w:bCs w:val="false"/>
                <w:sz w:val="19"/>
                <w:szCs w:val="19"/>
              </w:rPr>
              <w:t xml:space="preserve">Column card; two measures; 1 dimension</w:t>
            </w:r>
          </w:p>
        </w:tc>
        <w:tc>
          <w:tcPr>
            <w:tcW w:type="dxa" w:w="3460"/>
            <w:shd w:fill="F2F2F2" w:val="clear"/>
            <w:tcMar>
              <w:top w:type="dxa" w:w="70"/>
              <w:left w:type="dxa" w:w="110"/>
              <w:bottom w:type="dxa" w:w="70"/>
              <w:right w:type="dxa" w:w="110"/>
            </w:tcMar>
          </w:tcPr>
          <w:p>
            <w:pPr>
              <w:spacing w:after="0"/>
            </w:pPr>
            <w:r>
              <w:rPr>
                <w:b w:val="false"/>
                <w:bCs w:val="false"/>
                <w:sz w:val="19"/>
                <w:szCs w:val="19"/>
              </w:rPr>
              <w:t xml:space="preserve">Kept as a column card, 1 column wide; Achievement % in the target app table.</w:t>
            </w:r>
          </w:p>
        </w:tc>
      </w:tr>
      <w:tr>
        <w:tc>
          <w:tcPr>
            <w:tcW w:type="dxa" w:w="2900"/>
            <w:shd w:fill="FFFFFF" w:val="clear"/>
            <w:tcMar>
              <w:top w:type="dxa" w:w="70"/>
              <w:left w:type="dxa" w:w="110"/>
              <w:bottom w:type="dxa" w:w="70"/>
              <w:right w:type="dxa" w:w="110"/>
            </w:tcMar>
          </w:tcPr>
          <w:p>
            <w:pPr>
              <w:spacing w:after="0"/>
            </w:pPr>
            <w:r>
              <w:rPr>
                <w:b w:val="false"/>
                <w:bCs w:val="false"/>
                <w:sz w:val="19"/>
                <w:szCs w:val="19"/>
              </w:rPr>
              <w:t xml:space="preserve">Daily Production Trend by Business Unit (4 lines)</w:t>
            </w:r>
          </w:p>
        </w:tc>
        <w:tc>
          <w:tcPr>
            <w:tcW w:type="dxa" w:w="3000"/>
            <w:shd w:fill="FFFFFF" w:val="clear"/>
            <w:tcMar>
              <w:top w:type="dxa" w:w="70"/>
              <w:left w:type="dxa" w:w="110"/>
              <w:bottom w:type="dxa" w:w="70"/>
              <w:right w:type="dxa" w:w="110"/>
            </w:tcMar>
          </w:tcPr>
          <w:p>
            <w:pPr>
              <w:spacing w:after="0"/>
            </w:pPr>
            <w:r>
              <w:rPr>
                <w:b w:val="false"/>
                <w:bCs w:val="false"/>
                <w:sz w:val="19"/>
                <w:szCs w:val="19"/>
              </w:rPr>
              <w:t xml:space="preserve">Line card; one colour dimension</w:t>
            </w:r>
          </w:p>
        </w:tc>
        <w:tc>
          <w:tcPr>
            <w:tcW w:type="dxa" w:w="3460"/>
            <w:shd w:fill="FFFFFF" w:val="clear"/>
            <w:tcMar>
              <w:top w:type="dxa" w:w="70"/>
              <w:left w:type="dxa" w:w="110"/>
              <w:bottom w:type="dxa" w:w="70"/>
              <w:right w:type="dxa" w:w="110"/>
            </w:tcMar>
          </w:tcPr>
          <w:p>
            <w:pPr>
              <w:spacing w:after="0"/>
            </w:pPr>
            <w:r>
              <w:rPr>
                <w:b w:val="false"/>
                <w:bCs w:val="false"/>
                <w:sz w:val="19"/>
                <w:szCs w:val="19"/>
              </w:rPr>
              <w:t xml:space="preserve">Line card by product (3 lines) with ProductionDateText axis; BU as filter, not as series.</w:t>
            </w:r>
          </w:p>
        </w:tc>
      </w:tr>
      <w:tr>
        <w:tc>
          <w:tcPr>
            <w:tcW w:type="dxa" w:w="2900"/>
            <w:shd w:fill="F2F2F2" w:val="clear"/>
            <w:tcMar>
              <w:top w:type="dxa" w:w="70"/>
              <w:left w:type="dxa" w:w="110"/>
              <w:bottom w:type="dxa" w:w="70"/>
              <w:right w:type="dxa" w:w="110"/>
            </w:tcMar>
          </w:tcPr>
          <w:p>
            <w:pPr>
              <w:spacing w:after="0"/>
            </w:pPr>
            <w:r>
              <w:rPr>
                <w:b w:val="false"/>
                <w:bCs w:val="false"/>
                <w:sz w:val="19"/>
                <w:szCs w:val="19"/>
              </w:rPr>
              <w:t xml:space="preserve">Production Records: 7-column asset table with “Show all 17 assets”</w:t>
            </w:r>
          </w:p>
        </w:tc>
        <w:tc>
          <w:tcPr>
            <w:tcW w:type="dxa" w:w="3000"/>
            <w:shd w:fill="F2F2F2" w:val="clear"/>
            <w:tcMar>
              <w:top w:type="dxa" w:w="70"/>
              <w:left w:type="dxa" w:w="110"/>
              <w:bottom w:type="dxa" w:w="70"/>
              <w:right w:type="dxa" w:w="110"/>
            </w:tcMar>
          </w:tcPr>
          <w:p>
            <w:pPr>
              <w:spacing w:after="0"/>
            </w:pPr>
            <w:r>
              <w:rPr>
                <w:b w:val="false"/>
                <w:bCs w:val="false"/>
                <w:sz w:val="19"/>
                <w:szCs w:val="19"/>
              </w:rPr>
              <w:t xml:space="preserve">List card: 3 items, title + description + value</w:t>
            </w:r>
          </w:p>
        </w:tc>
        <w:tc>
          <w:tcPr>
            <w:tcW w:type="dxa" w:w="3460"/>
            <w:shd w:fill="F2F2F2" w:val="clear"/>
            <w:tcMar>
              <w:top w:type="dxa" w:w="70"/>
              <w:left w:type="dxa" w:w="110"/>
              <w:bottom w:type="dxa" w:w="70"/>
              <w:right w:type="dxa" w:w="110"/>
            </w:tcMar>
          </w:tcPr>
          <w:p>
            <w:pPr>
              <w:spacing w:after="0"/>
            </w:pPr>
            <w:r>
              <w:rPr>
                <w:b w:val="false"/>
                <w:bCs w:val="false"/>
                <w:sz w:val="19"/>
                <w:szCs w:val="19"/>
              </w:rPr>
              <w:t xml:space="preserve">List card: asset name, BU, OVL BOEPD; “View More” opens the production query app.</w:t>
            </w:r>
          </w:p>
        </w:tc>
      </w:tr>
      <w:tr>
        <w:tc>
          <w:tcPr>
            <w:tcW w:type="dxa" w:w="2900"/>
            <w:shd w:fill="FFFFFF" w:val="clear"/>
            <w:tcMar>
              <w:top w:type="dxa" w:w="70"/>
              <w:left w:type="dxa" w:w="110"/>
              <w:bottom w:type="dxa" w:w="70"/>
              <w:right w:type="dxa" w:w="110"/>
            </w:tcMar>
          </w:tcPr>
          <w:p>
            <w:pPr>
              <w:spacing w:after="0"/>
            </w:pPr>
            <w:r>
              <w:rPr>
                <w:b w:val="false"/>
                <w:bCs w:val="false"/>
                <w:sz w:val="19"/>
                <w:szCs w:val="19"/>
              </w:rPr>
              <w:t xml:space="preserve">Free text footer, logo, custom fonts</w:t>
            </w:r>
          </w:p>
        </w:tc>
        <w:tc>
          <w:tcPr>
            <w:tcW w:type="dxa" w:w="3000"/>
            <w:shd w:fill="FFFFFF" w:val="clear"/>
            <w:tcMar>
              <w:top w:type="dxa" w:w="70"/>
              <w:left w:type="dxa" w:w="110"/>
              <w:bottom w:type="dxa" w:w="70"/>
              <w:right w:type="dxa" w:w="110"/>
            </w:tcMar>
          </w:tcPr>
          <w:p>
            <w:pPr>
              <w:spacing w:after="0"/>
            </w:pPr>
            <w:r>
              <w:rPr>
                <w:b w:val="false"/>
                <w:bCs w:val="false"/>
                <w:sz w:val="19"/>
                <w:szCs w:val="19"/>
              </w:rPr>
              <w:t xml:space="preserve">Not available</w:t>
            </w:r>
          </w:p>
        </w:tc>
        <w:tc>
          <w:tcPr>
            <w:tcW w:type="dxa" w:w="3460"/>
            <w:shd w:fill="FFFFFF" w:val="clear"/>
            <w:tcMar>
              <w:top w:type="dxa" w:w="70"/>
              <w:left w:type="dxa" w:w="110"/>
              <w:bottom w:type="dxa" w:w="70"/>
              <w:right w:type="dxa" w:w="110"/>
            </w:tcMar>
          </w:tcPr>
          <w:p>
            <w:pPr>
              <w:spacing w:after="0"/>
            </w:pPr>
            <w:r>
              <w:rPr>
                <w:b w:val="false"/>
                <w:bCs w:val="false"/>
                <w:sz w:val="19"/>
                <w:szCs w:val="19"/>
              </w:rPr>
              <w:t xml:space="preserve">Dropped.</w:t>
            </w:r>
          </w:p>
        </w:tc>
      </w:tr>
    </w:tbl>
    <w:p>
      <w:pPr>
        <w:spacing w:after="140"/>
      </w:pPr>
    </w:p>
    <w:p>
      <w:pPr>
        <w:spacing w:after="120"/>
      </w:pPr>
      <w:r>
        <w:rPr>
          <w:b w:val="false"/>
          <w:bCs w:val="false"/>
          <w:i w:val="false"/>
          <w:iCs w:val="false"/>
          <w:sz w:val="21"/>
          <w:szCs w:val="21"/>
        </w:rPr>
        <w:t xml:space="preserve">Backend changes already made for this (in the ZIP and in the metadata extension sources):</w:t>
      </w:r>
    </w:p>
    <w:p>
      <w:pPr>
        <w:pStyle w:val="ListParagraph"/>
        <w:numPr>
          <w:ilvl w:val="0"/>
          <w:numId w:val="2"/>
        </w:numPr>
        <w:spacing w:after="80"/>
      </w:pPr>
      <w:r>
        <w:rPr>
          <w:sz w:val="21"/>
          <w:szCs w:val="21"/>
        </w:rPr>
        <w:t xml:space="preserve">ZDPR_C_BOEPD_DAY and ZDPR_C_PROD_CUBE: new dimension ProductionDateText (YYYY-MM-DD). ZDPR_Q_BOEPD_TREND and ZDPR_Q_DAILY_TREND expose it.</w:t>
      </w:r>
    </w:p>
    <w:p>
      <w:pPr>
        <w:pStyle w:val="ListParagraph"/>
        <w:numPr>
          <w:ilvl w:val="0"/>
          <w:numId w:val="2"/>
        </w:numPr>
        <w:spacing w:after="80"/>
      </w:pPr>
      <w:r>
        <w:rPr>
          <w:sz w:val="21"/>
          <w:szCs w:val="21"/>
        </w:rPr>
        <w:t xml:space="preserve">ZDPR_Q_PROD_PERF: new element RowLabel (“YTD - Gas (MMSCMD)”, …) so that scope and product fit in one column.</w:t>
      </w:r>
    </w:p>
    <w:p>
      <w:pPr>
        <w:pStyle w:val="ListParagraph"/>
        <w:numPr>
          <w:ilvl w:val="0"/>
          <w:numId w:val="2"/>
        </w:numPr>
        <w:spacing w:after="80"/>
      </w:pPr>
      <w:r>
        <w:rPr>
          <w:sz w:val="21"/>
          <w:szCs w:val="21"/>
        </w:rPr>
        <w:t xml:space="preserve">Metadata extensions (re-apply in ADT, they are manual objects): ZDPR_Q_BOEPD_TREND and ZDPR_Q_DAILY_TREND charts use ProductionDateText and sort by ProductionDate; ZDPR_Q_PROD_PERF line items are ordered RowLabel, ActualPerDay, AchievementPct (data point with criticality AchievementCriticality), then the rest.</w:t>
      </w:r>
    </w:p>
    <w:p>
      <w:r>
        <w:br w:type="page"/>
      </w:r>
    </w:p>
    <w:p>
      <w:pPr>
        <w:pStyle w:val="Heading1"/>
        <w:spacing w:after="160" w:before="320"/>
      </w:pPr>
      <w:r>
        <w:t xml:space="preserve">4. Layout to configure (manifest.json)</w:t>
      </w:r>
    </w:p>
    <w:p>
      <w:pPr>
        <w:pStyle w:val="Heading2"/>
        <w:spacing w:after="120" w:before="260"/>
      </w:pPr>
      <w:r>
        <w:t xml:space="preserve">4.1 Resizable layout and card sizes</w:t>
      </w:r>
    </w:p>
    <w:p>
      <w:pPr>
        <w:spacing w:after="120"/>
      </w:pPr>
      <w:r>
        <w:rPr>
          <w:b w:val="false"/>
          <w:bCs w:val="false"/>
          <w:i w:val="false"/>
          <w:iCs w:val="false"/>
          <w:sz w:val="21"/>
          <w:szCs w:val="21"/>
        </w:rPr>
        <w:t xml:space="preserve">Set the container layout to resizable and give each card its initial size. One column is about 320 px; rows are grid rows of about 1 rem. These values produce the picture in section 1 on a 1366 px screen (four columns).</w:t>
      </w:r>
    </w:p>
    <w:p>
      <w:pPr>
        <w:pBdr>
          <w:left w:val="single" w:color="8EA9DB" w:sz="12" w:space="6"/>
        </w:pBdr>
        <w:shd w:fill="F7F7F7" w:val="clear"/>
        <w:spacing w:after="0" w:line="240"/>
        <w:ind w:left="120" w:right="120"/>
      </w:pPr>
      <w:r>
        <w:rPr>
          <w:rFonts w:ascii="Consolas" w:cs="Consolas" w:eastAsia="Consolas" w:hAnsi="Consolas"/>
          <w:sz w:val="16"/>
          <w:szCs w:val="16"/>
        </w:rPr>
        <w:t xml:space="preserve">"sap.ovp": {</w:t>
      </w:r>
    </w:p>
    <w:p>
      <w:pPr>
        <w:pBdr>
          <w:left w:val="single" w:color="8EA9DB" w:sz="12" w:space="6"/>
        </w:pBdr>
        <w:shd w:fill="F7F7F7" w:val="clear"/>
        <w:spacing w:after="0" w:line="240"/>
        <w:ind w:left="120" w:right="120"/>
      </w:pPr>
      <w:r>
        <w:rPr>
          <w:rFonts w:ascii="Consolas" w:cs="Consolas" w:eastAsia="Consolas" w:hAnsi="Consolas"/>
          <w:sz w:val="16"/>
          <w:szCs w:val="16"/>
        </w:rPr>
        <w:t xml:space="preserve">  "globalFilterModel": "",</w:t>
      </w:r>
    </w:p>
    <w:p>
      <w:pPr>
        <w:pBdr>
          <w:left w:val="single" w:color="8EA9DB" w:sz="12" w:space="6"/>
        </w:pBdr>
        <w:shd w:fill="F7F7F7" w:val="clear"/>
        <w:spacing w:after="0" w:line="240"/>
        <w:ind w:left="120" w:right="120"/>
      </w:pPr>
      <w:r>
        <w:rPr>
          <w:rFonts w:ascii="Consolas" w:cs="Consolas" w:eastAsia="Consolas" w:hAnsi="Consolas"/>
          <w:sz w:val="16"/>
          <w:szCs w:val="16"/>
        </w:rPr>
        <w:t xml:space="preserve">  "globalFilterEntityType": "ZDPR_Q_PROD_PERFType",</w:t>
      </w:r>
    </w:p>
    <w:p>
      <w:pPr>
        <w:pBdr>
          <w:left w:val="single" w:color="8EA9DB" w:sz="12" w:space="6"/>
        </w:pBdr>
        <w:shd w:fill="F7F7F7" w:val="clear"/>
        <w:spacing w:after="0" w:line="240"/>
        <w:ind w:left="120" w:right="120"/>
      </w:pPr>
      <w:r>
        <w:rPr>
          <w:rFonts w:ascii="Consolas" w:cs="Consolas" w:eastAsia="Consolas" w:hAnsi="Consolas"/>
          <w:sz w:val="16"/>
          <w:szCs w:val="16"/>
        </w:rPr>
        <w:t xml:space="preserve">  "containerLayout": "resizable",</w:t>
      </w:r>
    </w:p>
    <w:p>
      <w:pPr>
        <w:pBdr>
          <w:left w:val="single" w:color="8EA9DB" w:sz="12" w:space="6"/>
        </w:pBdr>
        <w:shd w:fill="F7F7F7" w:val="clear"/>
        <w:spacing w:after="0" w:line="240"/>
        <w:ind w:left="120" w:right="120"/>
      </w:pPr>
      <w:r>
        <w:rPr>
          <w:rFonts w:ascii="Consolas" w:cs="Consolas" w:eastAsia="Consolas" w:hAnsi="Consolas"/>
          <w:sz w:val="16"/>
          <w:szCs w:val="16"/>
        </w:rPr>
        <w:t xml:space="preserve">  "enableLiveFilter": true,</w:t>
      </w:r>
    </w:p>
    <w:p>
      <w:pPr>
        <w:pBdr>
          <w:left w:val="single" w:color="8EA9DB" w:sz="12" w:space="6"/>
        </w:pBdr>
        <w:shd w:fill="F7F7F7" w:val="clear"/>
        <w:spacing w:after="0" w:line="240"/>
        <w:ind w:left="120" w:right="120"/>
      </w:pPr>
      <w:r>
        <w:rPr>
          <w:rFonts w:ascii="Consolas" w:cs="Consolas" w:eastAsia="Consolas" w:hAnsi="Consolas"/>
          <w:sz w:val="16"/>
          <w:szCs w:val="16"/>
        </w:rPr>
        <w:t xml:space="preserve">  "cards": {</w:t>
      </w:r>
    </w:p>
    <w:p>
      <w:pPr>
        <w:pBdr>
          <w:left w:val="single" w:color="8EA9DB" w:sz="12" w:space="6"/>
        </w:pBdr>
        <w:shd w:fill="F7F7F7" w:val="clear"/>
        <w:spacing w:after="0" w:line="240"/>
        <w:ind w:left="120" w:right="120"/>
      </w:pPr>
      <w:r>
        <w:rPr>
          <w:rFonts w:ascii="Consolas" w:cs="Consolas" w:eastAsia="Consolas" w:hAnsi="Consolas"/>
          <w:sz w:val="16"/>
          <w:szCs w:val="16"/>
        </w:rPr>
        <w:t xml:space="preserve">    "card01_boepdTrend": {</w:t>
      </w:r>
    </w:p>
    <w:p>
      <w:pPr>
        <w:pBdr>
          <w:left w:val="single" w:color="8EA9DB" w:sz="12" w:space="6"/>
        </w:pBdr>
        <w:shd w:fill="F7F7F7" w:val="clear"/>
        <w:spacing w:after="0" w:line="240"/>
        <w:ind w:left="120" w:right="120"/>
      </w:pPr>
      <w:r>
        <w:rPr>
          <w:rFonts w:ascii="Consolas" w:cs="Consolas" w:eastAsia="Consolas" w:hAnsi="Consolas"/>
          <w:sz w:val="16"/>
          <w:szCs w:val="16"/>
        </w:rPr>
        <w:t xml:space="preserve">      "model": "boepd",</w:t>
      </w:r>
    </w:p>
    <w:p>
      <w:pPr>
        <w:pBdr>
          <w:left w:val="single" w:color="8EA9DB" w:sz="12" w:space="6"/>
        </w:pBdr>
        <w:shd w:fill="F7F7F7" w:val="clear"/>
        <w:spacing w:after="0" w:line="240"/>
        <w:ind w:left="120" w:right="120"/>
      </w:pPr>
      <w:r>
        <w:rPr>
          <w:rFonts w:ascii="Consolas" w:cs="Consolas" w:eastAsia="Consolas" w:hAnsi="Consolas"/>
          <w:sz w:val="16"/>
          <w:szCs w:val="16"/>
        </w:rPr>
        <w:t xml:space="preserve">      "template": "sap.ovp.cards.charts.analytical",</w:t>
      </w:r>
    </w:p>
    <w:p>
      <w:pPr>
        <w:pBdr>
          <w:left w:val="single" w:color="8EA9DB" w:sz="12" w:space="6"/>
        </w:pBdr>
        <w:shd w:fill="F7F7F7" w:val="clear"/>
        <w:spacing w:after="0" w:line="240"/>
        <w:ind w:left="120" w:right="120"/>
      </w:pPr>
      <w:r>
        <w:rPr>
          <w:rFonts w:ascii="Consolas" w:cs="Consolas" w:eastAsia="Consolas" w:hAnsi="Consolas"/>
          <w:sz w:val="16"/>
          <w:szCs w:val="16"/>
        </w:rPr>
        <w:t xml:space="preserve">      "settings": {</w:t>
      </w:r>
    </w:p>
    <w:p>
      <w:pPr>
        <w:pBdr>
          <w:left w:val="single" w:color="8EA9DB" w:sz="12" w:space="6"/>
        </w:pBdr>
        <w:shd w:fill="F7F7F7" w:val="clear"/>
        <w:spacing w:after="0" w:line="240"/>
        <w:ind w:left="120" w:right="120"/>
      </w:pPr>
      <w:r>
        <w:rPr>
          <w:rFonts w:ascii="Consolas" w:cs="Consolas" w:eastAsia="Consolas" w:hAnsi="Consolas"/>
          <w:sz w:val="16"/>
          <w:szCs w:val="16"/>
        </w:rPr>
        <w:t xml:space="preserve">        "title": "Actual Production vs BE Target (BOEPD)",</w:t>
      </w:r>
    </w:p>
    <w:p>
      <w:pPr>
        <w:pBdr>
          <w:left w:val="single" w:color="8EA9DB" w:sz="12" w:space="6"/>
        </w:pBdr>
        <w:shd w:fill="F7F7F7" w:val="clear"/>
        <w:spacing w:after="0" w:line="240"/>
        <w:ind w:left="120" w:right="120"/>
      </w:pPr>
      <w:r>
        <w:rPr>
          <w:rFonts w:ascii="Consolas" w:cs="Consolas" w:eastAsia="Consolas" w:hAnsi="Consolas"/>
          <w:sz w:val="16"/>
          <w:szCs w:val="16"/>
        </w:rPr>
        <w:t xml:space="preserve">        "subTitle": "OVL share",</w:t>
      </w:r>
    </w:p>
    <w:p>
      <w:pPr>
        <w:pBdr>
          <w:left w:val="single" w:color="8EA9DB" w:sz="12" w:space="6"/>
        </w:pBdr>
        <w:shd w:fill="F7F7F7" w:val="clear"/>
        <w:spacing w:after="0" w:line="240"/>
        <w:ind w:left="120" w:right="120"/>
      </w:pPr>
      <w:r>
        <w:rPr>
          <w:rFonts w:ascii="Consolas" w:cs="Consolas" w:eastAsia="Consolas" w:hAnsi="Consolas"/>
          <w:sz w:val="16"/>
          <w:szCs w:val="16"/>
        </w:rPr>
        <w:t xml:space="preserve">        "entitySet": "ZDPR_Q_BOEPD_TRENDResults",</w:t>
      </w:r>
    </w:p>
    <w:p>
      <w:pPr>
        <w:pBdr>
          <w:left w:val="single" w:color="8EA9DB" w:sz="12" w:space="6"/>
        </w:pBdr>
        <w:shd w:fill="F7F7F7" w:val="clear"/>
        <w:spacing w:after="0" w:line="240"/>
        <w:ind w:left="120" w:right="120"/>
      </w:pPr>
      <w:r>
        <w:rPr>
          <w:rFonts w:ascii="Consolas" w:cs="Consolas" w:eastAsia="Consolas" w:hAnsi="Consolas"/>
          <w:sz w:val="16"/>
          <w:szCs w:val="16"/>
        </w:rPr>
        <w:t xml:space="preserve">        "chartAnnotationPath": "com.sap.vocabularies.UI.v1.Chart#BoepdVsTarget",</w:t>
      </w:r>
    </w:p>
    <w:p>
      <w:pPr>
        <w:pBdr>
          <w:left w:val="single" w:color="8EA9DB" w:sz="12" w:space="6"/>
        </w:pBdr>
        <w:shd w:fill="F7F7F7" w:val="clear"/>
        <w:spacing w:after="0" w:line="240"/>
        <w:ind w:left="120" w:right="120"/>
      </w:pPr>
      <w:r>
        <w:rPr>
          <w:rFonts w:ascii="Consolas" w:cs="Consolas" w:eastAsia="Consolas" w:hAnsi="Consolas"/>
          <w:sz w:val="16"/>
          <w:szCs w:val="16"/>
        </w:rPr>
        <w:t xml:space="preserve">        "presentationAnnotationPath": "com.sap.vocabularies.UI.v1.PresentationVariant",</w:t>
      </w:r>
    </w:p>
    <w:p>
      <w:pPr>
        <w:pBdr>
          <w:left w:val="single" w:color="8EA9DB" w:sz="12" w:space="6"/>
        </w:pBdr>
        <w:shd w:fill="F7F7F7" w:val="clear"/>
        <w:spacing w:after="0" w:line="240"/>
        <w:ind w:left="120" w:right="120"/>
      </w:pPr>
      <w:r>
        <w:rPr>
          <w:rFonts w:ascii="Consolas" w:cs="Consolas" w:eastAsia="Consolas" w:hAnsi="Consolas"/>
          <w:sz w:val="16"/>
          <w:szCs w:val="16"/>
        </w:rPr>
        <w:t xml:space="preserve">        "selectionAnnotationPath": "com.sap.vocabularies.UI.v1.SelectionVariant#Params",</w:t>
      </w:r>
    </w:p>
    <w:p>
      <w:pPr>
        <w:pBdr>
          <w:left w:val="single" w:color="8EA9DB" w:sz="12" w:space="6"/>
        </w:pBdr>
        <w:shd w:fill="F7F7F7" w:val="clear"/>
        <w:spacing w:after="0" w:line="240"/>
        <w:ind w:left="120" w:right="120"/>
      </w:pPr>
      <w:r>
        <w:rPr>
          <w:rFonts w:ascii="Consolas" w:cs="Consolas" w:eastAsia="Consolas" w:hAnsi="Consolas"/>
          <w:sz w:val="16"/>
          <w:szCs w:val="16"/>
        </w:rPr>
        <w:t xml:space="preserve">        "defaultSpan": { "rows": 26, "cols": 2 }</w:t>
      </w:r>
    </w:p>
    <w:p>
      <w:pPr>
        <w:pBdr>
          <w:left w:val="single" w:color="8EA9DB" w:sz="12" w:space="6"/>
        </w:pBdr>
        <w:shd w:fill="F7F7F7" w:val="clear"/>
        <w:spacing w:after="0" w:line="240"/>
        <w:ind w:left="120" w:right="120"/>
      </w:pPr>
      <w:r>
        <w:rPr>
          <w:rFonts w:ascii="Consolas" w:cs="Consolas" w:eastAsia="Consolas" w:hAnsi="Consolas"/>
          <w:sz w:val="16"/>
          <w:szCs w:val="16"/>
        </w:rPr>
        <w:t xml:space="preserve">      }</w:t>
      </w:r>
    </w:p>
    <w:p>
      <w:pPr>
        <w:pBdr>
          <w:left w:val="single" w:color="8EA9DB" w:sz="12" w:space="6"/>
        </w:pBdr>
        <w:shd w:fill="F7F7F7" w:val="clear"/>
        <w:spacing w:after="0" w:line="240"/>
        <w:ind w:left="120" w:right="120"/>
      </w:pPr>
      <w:r>
        <w:rPr>
          <w:rFonts w:ascii="Consolas" w:cs="Consolas" w:eastAsia="Consolas" w:hAnsi="Consolas"/>
          <w:sz w:val="16"/>
          <w:szCs w:val="16"/>
        </w:rPr>
        <w:t xml:space="preserve">    },</w:t>
      </w:r>
    </w:p>
    <w:p>
      <w:pPr>
        <w:pBdr>
          <w:left w:val="single" w:color="8EA9DB" w:sz="12" w:space="6"/>
        </w:pBdr>
        <w:shd w:fill="F7F7F7" w:val="clear"/>
        <w:spacing w:after="0" w:line="240"/>
        <w:ind w:left="120" w:right="120"/>
      </w:pPr>
      <w:r>
        <w:rPr>
          <w:rFonts w:ascii="Consolas" w:cs="Consolas" w:eastAsia="Consolas" w:hAnsi="Consolas"/>
          <w:sz w:val="16"/>
          <w:szCs w:val="16"/>
        </w:rPr>
        <w:t xml:space="preserve">    "card02_perfYtd": {</w:t>
      </w:r>
    </w:p>
    <w:p>
      <w:pPr>
        <w:pBdr>
          <w:left w:val="single" w:color="8EA9DB" w:sz="12" w:space="6"/>
        </w:pBdr>
        <w:shd w:fill="F7F7F7" w:val="clear"/>
        <w:spacing w:after="0" w:line="240"/>
        <w:ind w:left="120" w:right="120"/>
      </w:pPr>
      <w:r>
        <w:rPr>
          <w:rFonts w:ascii="Consolas" w:cs="Consolas" w:eastAsia="Consolas" w:hAnsi="Consolas"/>
          <w:sz w:val="16"/>
          <w:szCs w:val="16"/>
        </w:rPr>
        <w:t xml:space="preserve">      "model": "",</w:t>
      </w:r>
    </w:p>
    <w:p>
      <w:pPr>
        <w:pBdr>
          <w:left w:val="single" w:color="8EA9DB" w:sz="12" w:space="6"/>
        </w:pBdr>
        <w:shd w:fill="F7F7F7" w:val="clear"/>
        <w:spacing w:after="0" w:line="240"/>
        <w:ind w:left="120" w:right="120"/>
      </w:pPr>
      <w:r>
        <w:rPr>
          <w:rFonts w:ascii="Consolas" w:cs="Consolas" w:eastAsia="Consolas" w:hAnsi="Consolas"/>
          <w:sz w:val="16"/>
          <w:szCs w:val="16"/>
        </w:rPr>
        <w:t xml:space="preserve">      "template": "sap.ovp.cards.table",</w:t>
      </w:r>
    </w:p>
    <w:p>
      <w:pPr>
        <w:pBdr>
          <w:left w:val="single" w:color="8EA9DB" w:sz="12" w:space="6"/>
        </w:pBdr>
        <w:shd w:fill="F7F7F7" w:val="clear"/>
        <w:spacing w:after="0" w:line="240"/>
        <w:ind w:left="120" w:right="120"/>
      </w:pPr>
      <w:r>
        <w:rPr>
          <w:rFonts w:ascii="Consolas" w:cs="Consolas" w:eastAsia="Consolas" w:hAnsi="Consolas"/>
          <w:sz w:val="16"/>
          <w:szCs w:val="16"/>
        </w:rPr>
        <w:t xml:space="preserve">      "settings": {</w:t>
      </w:r>
    </w:p>
    <w:p>
      <w:pPr>
        <w:pBdr>
          <w:left w:val="single" w:color="8EA9DB" w:sz="12" w:space="6"/>
        </w:pBdr>
        <w:shd w:fill="F7F7F7" w:val="clear"/>
        <w:spacing w:after="0" w:line="240"/>
        <w:ind w:left="120" w:right="120"/>
      </w:pPr>
      <w:r>
        <w:rPr>
          <w:rFonts w:ascii="Consolas" w:cs="Consolas" w:eastAsia="Consolas" w:hAnsi="Consolas"/>
          <w:sz w:val="16"/>
          <w:szCs w:val="16"/>
        </w:rPr>
        <w:t xml:space="preserve">        "title": "Production Performance - YTD",</w:t>
      </w:r>
    </w:p>
    <w:p>
      <w:pPr>
        <w:pBdr>
          <w:left w:val="single" w:color="8EA9DB" w:sz="12" w:space="6"/>
        </w:pBdr>
        <w:shd w:fill="F7F7F7" w:val="clear"/>
        <w:spacing w:after="0" w:line="240"/>
        <w:ind w:left="120" w:right="120"/>
      </w:pPr>
      <w:r>
        <w:rPr>
          <w:rFonts w:ascii="Consolas" w:cs="Consolas" w:eastAsia="Consolas" w:hAnsi="Consolas"/>
          <w:sz w:val="16"/>
          <w:szCs w:val="16"/>
        </w:rPr>
        <w:t xml:space="preserve">        "subTitle": "Per day, fiscal year to date",</w:t>
      </w:r>
    </w:p>
    <w:p>
      <w:pPr>
        <w:pBdr>
          <w:left w:val="single" w:color="8EA9DB" w:sz="12" w:space="6"/>
        </w:pBdr>
        <w:shd w:fill="F7F7F7" w:val="clear"/>
        <w:spacing w:after="0" w:line="240"/>
        <w:ind w:left="120" w:right="120"/>
      </w:pPr>
      <w:r>
        <w:rPr>
          <w:rFonts w:ascii="Consolas" w:cs="Consolas" w:eastAsia="Consolas" w:hAnsi="Consolas"/>
          <w:sz w:val="16"/>
          <w:szCs w:val="16"/>
        </w:rPr>
        <w:t xml:space="preserve">        "entitySet": "ZDPR_Q_PROD_PERFResults",</w:t>
      </w:r>
    </w:p>
    <w:p>
      <w:pPr>
        <w:pBdr>
          <w:left w:val="single" w:color="8EA9DB" w:sz="12" w:space="6"/>
        </w:pBdr>
        <w:shd w:fill="F7F7F7" w:val="clear"/>
        <w:spacing w:after="0" w:line="240"/>
        <w:ind w:left="120" w:right="120"/>
      </w:pPr>
      <w:r>
        <w:rPr>
          <w:rFonts w:ascii="Consolas" w:cs="Consolas" w:eastAsia="Consolas" w:hAnsi="Consolas"/>
          <w:sz w:val="16"/>
          <w:szCs w:val="16"/>
        </w:rPr>
        <w:t xml:space="preserve">        "annotationPath": "com.sap.vocabularies.UI.v1.LineItem",</w:t>
      </w:r>
    </w:p>
    <w:p>
      <w:pPr>
        <w:pBdr>
          <w:left w:val="single" w:color="8EA9DB" w:sz="12" w:space="6"/>
        </w:pBdr>
        <w:shd w:fill="F7F7F7" w:val="clear"/>
        <w:spacing w:after="0" w:line="240"/>
        <w:ind w:left="120" w:right="120"/>
      </w:pPr>
      <w:r>
        <w:rPr>
          <w:rFonts w:ascii="Consolas" w:cs="Consolas" w:eastAsia="Consolas" w:hAnsi="Consolas"/>
          <w:sz w:val="16"/>
          <w:szCs w:val="16"/>
        </w:rPr>
        <w:t xml:space="preserve">        "selectionAnnotationPath": "com.sap.vocabularies.UI.v1.SelectionVariant#YTD",</w:t>
      </w:r>
    </w:p>
    <w:p>
      <w:pPr>
        <w:pBdr>
          <w:left w:val="single" w:color="8EA9DB" w:sz="12" w:space="6"/>
        </w:pBdr>
        <w:shd w:fill="F7F7F7" w:val="clear"/>
        <w:spacing w:after="0" w:line="240"/>
        <w:ind w:left="120" w:right="120"/>
      </w:pPr>
      <w:r>
        <w:rPr>
          <w:rFonts w:ascii="Consolas" w:cs="Consolas" w:eastAsia="Consolas" w:hAnsi="Consolas"/>
          <w:sz w:val="16"/>
          <w:szCs w:val="16"/>
        </w:rPr>
        <w:t xml:space="preserve">        "defaultSpan": { "rows": 13, "cols": 1 }</w:t>
      </w:r>
    </w:p>
    <w:p>
      <w:pPr>
        <w:pBdr>
          <w:left w:val="single" w:color="8EA9DB" w:sz="12" w:space="6"/>
        </w:pBdr>
        <w:shd w:fill="F7F7F7" w:val="clear"/>
        <w:spacing w:after="0" w:line="240"/>
        <w:ind w:left="120" w:right="120"/>
      </w:pPr>
      <w:r>
        <w:rPr>
          <w:rFonts w:ascii="Consolas" w:cs="Consolas" w:eastAsia="Consolas" w:hAnsi="Consolas"/>
          <w:sz w:val="16"/>
          <w:szCs w:val="16"/>
        </w:rPr>
        <w:t xml:space="preserve">      }</w:t>
      </w:r>
    </w:p>
    <w:p>
      <w:pPr>
        <w:pBdr>
          <w:left w:val="single" w:color="8EA9DB" w:sz="12" w:space="6"/>
        </w:pBdr>
        <w:shd w:fill="F7F7F7" w:val="clear"/>
        <w:spacing w:after="0" w:line="240"/>
        <w:ind w:left="120" w:right="120"/>
      </w:pPr>
      <w:r>
        <w:rPr>
          <w:rFonts w:ascii="Consolas" w:cs="Consolas" w:eastAsia="Consolas" w:hAnsi="Consolas"/>
          <w:sz w:val="16"/>
          <w:szCs w:val="16"/>
        </w:rPr>
        <w:t xml:space="preserve">    },</w:t>
      </w:r>
    </w:p>
    <w:p>
      <w:pPr>
        <w:pBdr>
          <w:left w:val="single" w:color="8EA9DB" w:sz="12" w:space="6"/>
        </w:pBdr>
        <w:shd w:fill="F7F7F7" w:val="clear"/>
        <w:spacing w:after="0" w:line="240"/>
        <w:ind w:left="120" w:right="120"/>
      </w:pPr>
      <w:r>
        <w:rPr>
          <w:rFonts w:ascii="Consolas" w:cs="Consolas" w:eastAsia="Consolas" w:hAnsi="Consolas"/>
          <w:sz w:val="16"/>
          <w:szCs w:val="16"/>
        </w:rPr>
        <w:t xml:space="preserve">    "card03_perfAnnual": {</w:t>
      </w:r>
    </w:p>
    <w:p>
      <w:pPr>
        <w:pBdr>
          <w:left w:val="single" w:color="8EA9DB" w:sz="12" w:space="6"/>
        </w:pBdr>
        <w:shd w:fill="F7F7F7" w:val="clear"/>
        <w:spacing w:after="0" w:line="240"/>
        <w:ind w:left="120" w:right="120"/>
      </w:pPr>
      <w:r>
        <w:rPr>
          <w:rFonts w:ascii="Consolas" w:cs="Consolas" w:eastAsia="Consolas" w:hAnsi="Consolas"/>
          <w:sz w:val="16"/>
          <w:szCs w:val="16"/>
        </w:rPr>
        <w:t xml:space="preserve">      "model": "",</w:t>
      </w:r>
    </w:p>
    <w:p>
      <w:pPr>
        <w:pBdr>
          <w:left w:val="single" w:color="8EA9DB" w:sz="12" w:space="6"/>
        </w:pBdr>
        <w:shd w:fill="F7F7F7" w:val="clear"/>
        <w:spacing w:after="0" w:line="240"/>
        <w:ind w:left="120" w:right="120"/>
      </w:pPr>
      <w:r>
        <w:rPr>
          <w:rFonts w:ascii="Consolas" w:cs="Consolas" w:eastAsia="Consolas" w:hAnsi="Consolas"/>
          <w:sz w:val="16"/>
          <w:szCs w:val="16"/>
        </w:rPr>
        <w:t xml:space="preserve">      "template": "sap.ovp.cards.table",</w:t>
      </w:r>
    </w:p>
    <w:p>
      <w:pPr>
        <w:pBdr>
          <w:left w:val="single" w:color="8EA9DB" w:sz="12" w:space="6"/>
        </w:pBdr>
        <w:shd w:fill="F7F7F7" w:val="clear"/>
        <w:spacing w:after="0" w:line="240"/>
        <w:ind w:left="120" w:right="120"/>
      </w:pPr>
      <w:r>
        <w:rPr>
          <w:rFonts w:ascii="Consolas" w:cs="Consolas" w:eastAsia="Consolas" w:hAnsi="Consolas"/>
          <w:sz w:val="16"/>
          <w:szCs w:val="16"/>
        </w:rPr>
        <w:t xml:space="preserve">      "settings": {</w:t>
      </w:r>
    </w:p>
    <w:p>
      <w:pPr>
        <w:pBdr>
          <w:left w:val="single" w:color="8EA9DB" w:sz="12" w:space="6"/>
        </w:pBdr>
        <w:shd w:fill="F7F7F7" w:val="clear"/>
        <w:spacing w:after="0" w:line="240"/>
        <w:ind w:left="120" w:right="120"/>
      </w:pPr>
      <w:r>
        <w:rPr>
          <w:rFonts w:ascii="Consolas" w:cs="Consolas" w:eastAsia="Consolas" w:hAnsi="Consolas"/>
          <w:sz w:val="16"/>
          <w:szCs w:val="16"/>
        </w:rPr>
        <w:t xml:space="preserve">        "title": "Production Performance - Annual",</w:t>
      </w:r>
    </w:p>
    <w:p>
      <w:pPr>
        <w:pBdr>
          <w:left w:val="single" w:color="8EA9DB" w:sz="12" w:space="6"/>
        </w:pBdr>
        <w:shd w:fill="F7F7F7" w:val="clear"/>
        <w:spacing w:after="0" w:line="240"/>
        <w:ind w:left="120" w:right="120"/>
      </w:pPr>
      <w:r>
        <w:rPr>
          <w:rFonts w:ascii="Consolas" w:cs="Consolas" w:eastAsia="Consolas" w:hAnsi="Consolas"/>
          <w:sz w:val="16"/>
          <w:szCs w:val="16"/>
        </w:rPr>
        <w:t xml:space="preserve">        "subTitle": "BE target per day, fiscal year",</w:t>
      </w:r>
    </w:p>
    <w:p>
      <w:pPr>
        <w:pBdr>
          <w:left w:val="single" w:color="8EA9DB" w:sz="12" w:space="6"/>
        </w:pBdr>
        <w:shd w:fill="F7F7F7" w:val="clear"/>
        <w:spacing w:after="0" w:line="240"/>
        <w:ind w:left="120" w:right="120"/>
      </w:pPr>
      <w:r>
        <w:rPr>
          <w:rFonts w:ascii="Consolas" w:cs="Consolas" w:eastAsia="Consolas" w:hAnsi="Consolas"/>
          <w:sz w:val="16"/>
          <w:szCs w:val="16"/>
        </w:rPr>
        <w:t xml:space="preserve">        "entitySet": "ZDPR_Q_PROD_PERFResults",</w:t>
      </w:r>
    </w:p>
    <w:p>
      <w:pPr>
        <w:pBdr>
          <w:left w:val="single" w:color="8EA9DB" w:sz="12" w:space="6"/>
        </w:pBdr>
        <w:shd w:fill="F7F7F7" w:val="clear"/>
        <w:spacing w:after="0" w:line="240"/>
        <w:ind w:left="120" w:right="120"/>
      </w:pPr>
      <w:r>
        <w:rPr>
          <w:rFonts w:ascii="Consolas" w:cs="Consolas" w:eastAsia="Consolas" w:hAnsi="Consolas"/>
          <w:sz w:val="16"/>
          <w:szCs w:val="16"/>
        </w:rPr>
        <w:t xml:space="preserve">        "annotationPath": "com.sap.vocabularies.UI.v1.LineItem#Annual",</w:t>
      </w:r>
    </w:p>
    <w:p>
      <w:pPr>
        <w:pBdr>
          <w:left w:val="single" w:color="8EA9DB" w:sz="12" w:space="6"/>
        </w:pBdr>
        <w:shd w:fill="F7F7F7" w:val="clear"/>
        <w:spacing w:after="0" w:line="240"/>
        <w:ind w:left="120" w:right="120"/>
      </w:pPr>
      <w:r>
        <w:rPr>
          <w:rFonts w:ascii="Consolas" w:cs="Consolas" w:eastAsia="Consolas" w:hAnsi="Consolas"/>
          <w:sz w:val="16"/>
          <w:szCs w:val="16"/>
        </w:rPr>
        <w:t xml:space="preserve">        "selectionAnnotationPath": "com.sap.vocabularies.UI.v1.SelectionVariant#Annual",</w:t>
      </w:r>
    </w:p>
    <w:p>
      <w:pPr>
        <w:pBdr>
          <w:left w:val="single" w:color="8EA9DB" w:sz="12" w:space="6"/>
        </w:pBdr>
        <w:shd w:fill="F7F7F7" w:val="clear"/>
        <w:spacing w:after="0" w:line="240"/>
        <w:ind w:left="120" w:right="120"/>
      </w:pPr>
      <w:r>
        <w:rPr>
          <w:rFonts w:ascii="Consolas" w:cs="Consolas" w:eastAsia="Consolas" w:hAnsi="Consolas"/>
          <w:sz w:val="16"/>
          <w:szCs w:val="16"/>
        </w:rPr>
        <w:t xml:space="preserve">        "defaultSpan": { "rows": 13, "cols": 1 }</w:t>
      </w:r>
    </w:p>
    <w:p>
      <w:pPr>
        <w:pBdr>
          <w:left w:val="single" w:color="8EA9DB" w:sz="12" w:space="6"/>
        </w:pBdr>
        <w:shd w:fill="F7F7F7" w:val="clear"/>
        <w:spacing w:after="0" w:line="240"/>
        <w:ind w:left="120" w:right="120"/>
      </w:pPr>
      <w:r>
        <w:rPr>
          <w:rFonts w:ascii="Consolas" w:cs="Consolas" w:eastAsia="Consolas" w:hAnsi="Consolas"/>
          <w:sz w:val="16"/>
          <w:szCs w:val="16"/>
        </w:rPr>
        <w:t xml:space="preserve">      }</w:t>
      </w:r>
    </w:p>
    <w:p>
      <w:pPr>
        <w:pBdr>
          <w:left w:val="single" w:color="8EA9DB" w:sz="12" w:space="6"/>
        </w:pBdr>
        <w:shd w:fill="F7F7F7" w:val="clear"/>
        <w:spacing w:after="0" w:line="240"/>
        <w:ind w:left="120" w:right="120"/>
      </w:pPr>
      <w:r>
        <w:rPr>
          <w:rFonts w:ascii="Consolas" w:cs="Consolas" w:eastAsia="Consolas" w:hAnsi="Consolas"/>
          <w:sz w:val="16"/>
          <w:szCs w:val="16"/>
        </w:rPr>
        <w:t xml:space="preserve">    },</w:t>
      </w:r>
    </w:p>
    <w:p>
      <w:pPr>
        <w:pBdr>
          <w:left w:val="single" w:color="8EA9DB" w:sz="12" w:space="6"/>
        </w:pBdr>
        <w:shd w:fill="F7F7F7" w:val="clear"/>
        <w:spacing w:after="0" w:line="240"/>
        <w:ind w:left="120" w:right="120"/>
      </w:pPr>
      <w:r>
        <w:rPr>
          <w:rFonts w:ascii="Consolas" w:cs="Consolas" w:eastAsia="Consolas" w:hAnsi="Consolas"/>
          <w:sz w:val="16"/>
          <w:szCs w:val="16"/>
        </w:rPr>
        <w:t xml:space="preserve">    "card04_targetVsActual": {</w:t>
      </w:r>
    </w:p>
    <w:p>
      <w:pPr>
        <w:pBdr>
          <w:left w:val="single" w:color="8EA9DB" w:sz="12" w:space="6"/>
        </w:pBdr>
        <w:shd w:fill="F7F7F7" w:val="clear"/>
        <w:spacing w:after="0" w:line="240"/>
        <w:ind w:left="120" w:right="120"/>
      </w:pPr>
      <w:r>
        <w:rPr>
          <w:rFonts w:ascii="Consolas" w:cs="Consolas" w:eastAsia="Consolas" w:hAnsi="Consolas"/>
          <w:sz w:val="16"/>
          <w:szCs w:val="16"/>
        </w:rPr>
        <w:t xml:space="preserve">      "model": "target",</w:t>
      </w:r>
    </w:p>
    <w:p>
      <w:pPr>
        <w:pBdr>
          <w:left w:val="single" w:color="8EA9DB" w:sz="12" w:space="6"/>
        </w:pBdr>
        <w:shd w:fill="F7F7F7" w:val="clear"/>
        <w:spacing w:after="0" w:line="240"/>
        <w:ind w:left="120" w:right="120"/>
      </w:pPr>
      <w:r>
        <w:rPr>
          <w:rFonts w:ascii="Consolas" w:cs="Consolas" w:eastAsia="Consolas" w:hAnsi="Consolas"/>
          <w:sz w:val="16"/>
          <w:szCs w:val="16"/>
        </w:rPr>
        <w:t xml:space="preserve">      "template": "sap.ovp.cards.charts.analytical",</w:t>
      </w:r>
    </w:p>
    <w:p>
      <w:pPr>
        <w:pBdr>
          <w:left w:val="single" w:color="8EA9DB" w:sz="12" w:space="6"/>
        </w:pBdr>
        <w:shd w:fill="F7F7F7" w:val="clear"/>
        <w:spacing w:after="0" w:line="240"/>
        <w:ind w:left="120" w:right="120"/>
      </w:pPr>
      <w:r>
        <w:rPr>
          <w:rFonts w:ascii="Consolas" w:cs="Consolas" w:eastAsia="Consolas" w:hAnsi="Consolas"/>
          <w:sz w:val="16"/>
          <w:szCs w:val="16"/>
        </w:rPr>
        <w:t xml:space="preserve">      "settings": {</w:t>
      </w:r>
    </w:p>
    <w:p>
      <w:pPr>
        <w:pBdr>
          <w:left w:val="single" w:color="8EA9DB" w:sz="12" w:space="6"/>
        </w:pBdr>
        <w:shd w:fill="F7F7F7" w:val="clear"/>
        <w:spacing w:after="0" w:line="240"/>
        <w:ind w:left="120" w:right="120"/>
      </w:pPr>
      <w:r>
        <w:rPr>
          <w:rFonts w:ascii="Consolas" w:cs="Consolas" w:eastAsia="Consolas" w:hAnsi="Consolas"/>
          <w:sz w:val="16"/>
          <w:szCs w:val="16"/>
        </w:rPr>
        <w:t xml:space="preserve">        "title": "Target vs Actual by Product",</w:t>
      </w:r>
    </w:p>
    <w:p>
      <w:pPr>
        <w:pBdr>
          <w:left w:val="single" w:color="8EA9DB" w:sz="12" w:space="6"/>
        </w:pBdr>
        <w:shd w:fill="F7F7F7" w:val="clear"/>
        <w:spacing w:after="0" w:line="240"/>
        <w:ind w:left="120" w:right="120"/>
      </w:pPr>
      <w:r>
        <w:rPr>
          <w:rFonts w:ascii="Consolas" w:cs="Consolas" w:eastAsia="Consolas" w:hAnsi="Consolas"/>
          <w:sz w:val="16"/>
          <w:szCs w:val="16"/>
        </w:rPr>
        <w:t xml:space="preserve">        "entitySet": "ZDPR_Q_TARGET_QUERYResults",</w:t>
      </w:r>
    </w:p>
    <w:p>
      <w:pPr>
        <w:pBdr>
          <w:left w:val="single" w:color="8EA9DB" w:sz="12" w:space="6"/>
        </w:pBdr>
        <w:shd w:fill="F7F7F7" w:val="clear"/>
        <w:spacing w:after="0" w:line="240"/>
        <w:ind w:left="120" w:right="120"/>
      </w:pPr>
      <w:r>
        <w:rPr>
          <w:rFonts w:ascii="Consolas" w:cs="Consolas" w:eastAsia="Consolas" w:hAnsi="Consolas"/>
          <w:sz w:val="16"/>
          <w:szCs w:val="16"/>
        </w:rPr>
        <w:t xml:space="preserve">        "chartAnnotationPath": "com.sap.vocabularies.UI.v1.Chart#ActualVsTarget",</w:t>
      </w:r>
    </w:p>
    <w:p>
      <w:pPr>
        <w:pBdr>
          <w:left w:val="single" w:color="8EA9DB" w:sz="12" w:space="6"/>
        </w:pBdr>
        <w:shd w:fill="F7F7F7" w:val="clear"/>
        <w:spacing w:after="0" w:line="240"/>
        <w:ind w:left="120" w:right="120"/>
      </w:pPr>
      <w:r>
        <w:rPr>
          <w:rFonts w:ascii="Consolas" w:cs="Consolas" w:eastAsia="Consolas" w:hAnsi="Consolas"/>
          <w:sz w:val="16"/>
          <w:szCs w:val="16"/>
        </w:rPr>
        <w:t xml:space="preserve">        "selectionAnnotationPath": "com.sap.vocabularies.UI.v1.SelectionVariant#Params",</w:t>
      </w:r>
    </w:p>
    <w:p>
      <w:pPr>
        <w:pBdr>
          <w:left w:val="single" w:color="8EA9DB" w:sz="12" w:space="6"/>
        </w:pBdr>
        <w:shd w:fill="F7F7F7" w:val="clear"/>
        <w:spacing w:after="0" w:line="240"/>
        <w:ind w:left="120" w:right="120"/>
      </w:pPr>
      <w:r>
        <w:rPr>
          <w:rFonts w:ascii="Consolas" w:cs="Consolas" w:eastAsia="Consolas" w:hAnsi="Consolas"/>
          <w:sz w:val="16"/>
          <w:szCs w:val="16"/>
        </w:rPr>
        <w:t xml:space="preserve">        "defaultSpan": { "rows": 20, "cols": 1 }</w:t>
      </w:r>
    </w:p>
    <w:p>
      <w:pPr>
        <w:pBdr>
          <w:left w:val="single" w:color="8EA9DB" w:sz="12" w:space="6"/>
        </w:pBdr>
        <w:shd w:fill="F7F7F7" w:val="clear"/>
        <w:spacing w:after="0" w:line="240"/>
        <w:ind w:left="120" w:right="120"/>
      </w:pPr>
      <w:r>
        <w:rPr>
          <w:rFonts w:ascii="Consolas" w:cs="Consolas" w:eastAsia="Consolas" w:hAnsi="Consolas"/>
          <w:sz w:val="16"/>
          <w:szCs w:val="16"/>
        </w:rPr>
        <w:t xml:space="preserve">      }</w:t>
      </w:r>
    </w:p>
    <w:p>
      <w:pPr>
        <w:pBdr>
          <w:left w:val="single" w:color="8EA9DB" w:sz="12" w:space="6"/>
        </w:pBdr>
        <w:shd w:fill="F7F7F7" w:val="clear"/>
        <w:spacing w:after="0" w:line="240"/>
        <w:ind w:left="120" w:right="120"/>
      </w:pPr>
      <w:r>
        <w:rPr>
          <w:rFonts w:ascii="Consolas" w:cs="Consolas" w:eastAsia="Consolas" w:hAnsi="Consolas"/>
          <w:sz w:val="16"/>
          <w:szCs w:val="16"/>
        </w:rPr>
        <w:t xml:space="preserve">    },</w:t>
      </w:r>
    </w:p>
    <w:p>
      <w:pPr>
        <w:pBdr>
          <w:left w:val="single" w:color="8EA9DB" w:sz="12" w:space="6"/>
        </w:pBdr>
        <w:shd w:fill="F7F7F7" w:val="clear"/>
        <w:spacing w:after="0" w:line="240"/>
        <w:ind w:left="120" w:right="120"/>
      </w:pPr>
      <w:r>
        <w:rPr>
          <w:rFonts w:ascii="Consolas" w:cs="Consolas" w:eastAsia="Consolas" w:hAnsi="Consolas"/>
          <w:sz w:val="16"/>
          <w:szCs w:val="16"/>
        </w:rPr>
        <w:t xml:space="preserve">    "card05_dailyTrend": {</w:t>
      </w:r>
    </w:p>
    <w:p>
      <w:pPr>
        <w:pBdr>
          <w:left w:val="single" w:color="8EA9DB" w:sz="12" w:space="6"/>
        </w:pBdr>
        <w:shd w:fill="F7F7F7" w:val="clear"/>
        <w:spacing w:after="0" w:line="240"/>
        <w:ind w:left="120" w:right="120"/>
      </w:pPr>
      <w:r>
        <w:rPr>
          <w:rFonts w:ascii="Consolas" w:cs="Consolas" w:eastAsia="Consolas" w:hAnsi="Consolas"/>
          <w:sz w:val="16"/>
          <w:szCs w:val="16"/>
        </w:rPr>
        <w:t xml:space="preserve">      "model": "daily",</w:t>
      </w:r>
    </w:p>
    <w:p>
      <w:pPr>
        <w:pBdr>
          <w:left w:val="single" w:color="8EA9DB" w:sz="12" w:space="6"/>
        </w:pBdr>
        <w:shd w:fill="F7F7F7" w:val="clear"/>
        <w:spacing w:after="0" w:line="240"/>
        <w:ind w:left="120" w:right="120"/>
      </w:pPr>
      <w:r>
        <w:rPr>
          <w:rFonts w:ascii="Consolas" w:cs="Consolas" w:eastAsia="Consolas" w:hAnsi="Consolas"/>
          <w:sz w:val="16"/>
          <w:szCs w:val="16"/>
        </w:rPr>
        <w:t xml:space="preserve">      "template": "sap.ovp.cards.charts.analytical",</w:t>
      </w:r>
    </w:p>
    <w:p>
      <w:pPr>
        <w:pBdr>
          <w:left w:val="single" w:color="8EA9DB" w:sz="12" w:space="6"/>
        </w:pBdr>
        <w:shd w:fill="F7F7F7" w:val="clear"/>
        <w:spacing w:after="0" w:line="240"/>
        <w:ind w:left="120" w:right="120"/>
      </w:pPr>
      <w:r>
        <w:rPr>
          <w:rFonts w:ascii="Consolas" w:cs="Consolas" w:eastAsia="Consolas" w:hAnsi="Consolas"/>
          <w:sz w:val="16"/>
          <w:szCs w:val="16"/>
        </w:rPr>
        <w:t xml:space="preserve">      "settings": {</w:t>
      </w:r>
    </w:p>
    <w:p>
      <w:pPr>
        <w:pBdr>
          <w:left w:val="single" w:color="8EA9DB" w:sz="12" w:space="6"/>
        </w:pBdr>
        <w:shd w:fill="F7F7F7" w:val="clear"/>
        <w:spacing w:after="0" w:line="240"/>
        <w:ind w:left="120" w:right="120"/>
      </w:pPr>
      <w:r>
        <w:rPr>
          <w:rFonts w:ascii="Consolas" w:cs="Consolas" w:eastAsia="Consolas" w:hAnsi="Consolas"/>
          <w:sz w:val="16"/>
          <w:szCs w:val="16"/>
        </w:rPr>
        <w:t xml:space="preserve">        "title": "Daily Production Trend",</w:t>
      </w:r>
    </w:p>
    <w:p>
      <w:pPr>
        <w:pBdr>
          <w:left w:val="single" w:color="8EA9DB" w:sz="12" w:space="6"/>
        </w:pBdr>
        <w:shd w:fill="F7F7F7" w:val="clear"/>
        <w:spacing w:after="0" w:line="240"/>
        <w:ind w:left="120" w:right="120"/>
      </w:pPr>
      <w:r>
        <w:rPr>
          <w:rFonts w:ascii="Consolas" w:cs="Consolas" w:eastAsia="Consolas" w:hAnsi="Consolas"/>
          <w:sz w:val="16"/>
          <w:szCs w:val="16"/>
        </w:rPr>
        <w:t xml:space="preserve">        "entitySet": "ZDPR_Q_DAILY_TRENDResults",</w:t>
      </w:r>
    </w:p>
    <w:p>
      <w:pPr>
        <w:pBdr>
          <w:left w:val="single" w:color="8EA9DB" w:sz="12" w:space="6"/>
        </w:pBdr>
        <w:shd w:fill="F7F7F7" w:val="clear"/>
        <w:spacing w:after="0" w:line="240"/>
        <w:ind w:left="120" w:right="120"/>
      </w:pPr>
      <w:r>
        <w:rPr>
          <w:rFonts w:ascii="Consolas" w:cs="Consolas" w:eastAsia="Consolas" w:hAnsi="Consolas"/>
          <w:sz w:val="16"/>
          <w:szCs w:val="16"/>
        </w:rPr>
        <w:t xml:space="preserve">        "chartAnnotationPath": "com.sap.vocabularies.UI.v1.Chart#TrendLine",</w:t>
      </w:r>
    </w:p>
    <w:p>
      <w:pPr>
        <w:pBdr>
          <w:left w:val="single" w:color="8EA9DB" w:sz="12" w:space="6"/>
        </w:pBdr>
        <w:shd w:fill="F7F7F7" w:val="clear"/>
        <w:spacing w:after="0" w:line="240"/>
        <w:ind w:left="120" w:right="120"/>
      </w:pPr>
      <w:r>
        <w:rPr>
          <w:rFonts w:ascii="Consolas" w:cs="Consolas" w:eastAsia="Consolas" w:hAnsi="Consolas"/>
          <w:sz w:val="16"/>
          <w:szCs w:val="16"/>
        </w:rPr>
        <w:t xml:space="preserve">        "presentationAnnotationPath": "com.sap.vocabularies.UI.v1.PresentationVariant",</w:t>
      </w:r>
    </w:p>
    <w:p>
      <w:pPr>
        <w:pBdr>
          <w:left w:val="single" w:color="8EA9DB" w:sz="12" w:space="6"/>
        </w:pBdr>
        <w:shd w:fill="F7F7F7" w:val="clear"/>
        <w:spacing w:after="0" w:line="240"/>
        <w:ind w:left="120" w:right="120"/>
      </w:pPr>
      <w:r>
        <w:rPr>
          <w:rFonts w:ascii="Consolas" w:cs="Consolas" w:eastAsia="Consolas" w:hAnsi="Consolas"/>
          <w:sz w:val="16"/>
          <w:szCs w:val="16"/>
        </w:rPr>
        <w:t xml:space="preserve">        "selectionAnnotationPath": "com.sap.vocabularies.UI.v1.SelectionVariant#Params",</w:t>
      </w:r>
    </w:p>
    <w:p>
      <w:pPr>
        <w:pBdr>
          <w:left w:val="single" w:color="8EA9DB" w:sz="12" w:space="6"/>
        </w:pBdr>
        <w:shd w:fill="F7F7F7" w:val="clear"/>
        <w:spacing w:after="0" w:line="240"/>
        <w:ind w:left="120" w:right="120"/>
      </w:pPr>
      <w:r>
        <w:rPr>
          <w:rFonts w:ascii="Consolas" w:cs="Consolas" w:eastAsia="Consolas" w:hAnsi="Consolas"/>
          <w:sz w:val="16"/>
          <w:szCs w:val="16"/>
        </w:rPr>
        <w:t xml:space="preserve">        "defaultSpan": { "rows": 20, "cols": 1 }</w:t>
      </w:r>
    </w:p>
    <w:p>
      <w:pPr>
        <w:pBdr>
          <w:left w:val="single" w:color="8EA9DB" w:sz="12" w:space="6"/>
        </w:pBdr>
        <w:shd w:fill="F7F7F7" w:val="clear"/>
        <w:spacing w:after="0" w:line="240"/>
        <w:ind w:left="120" w:right="120"/>
      </w:pPr>
      <w:r>
        <w:rPr>
          <w:rFonts w:ascii="Consolas" w:cs="Consolas" w:eastAsia="Consolas" w:hAnsi="Consolas"/>
          <w:sz w:val="16"/>
          <w:szCs w:val="16"/>
        </w:rPr>
        <w:t xml:space="preserve">      }</w:t>
      </w:r>
    </w:p>
    <w:p>
      <w:pPr>
        <w:pBdr>
          <w:left w:val="single" w:color="8EA9DB" w:sz="12" w:space="6"/>
        </w:pBdr>
        <w:shd w:fill="F7F7F7" w:val="clear"/>
        <w:spacing w:after="0" w:line="240"/>
        <w:ind w:left="120" w:right="120"/>
      </w:pPr>
      <w:r>
        <w:rPr>
          <w:rFonts w:ascii="Consolas" w:cs="Consolas" w:eastAsia="Consolas" w:hAnsi="Consolas"/>
          <w:sz w:val="16"/>
          <w:szCs w:val="16"/>
        </w:rPr>
        <w:t xml:space="preserve">    },</w:t>
      </w:r>
    </w:p>
    <w:p>
      <w:pPr>
        <w:pBdr>
          <w:left w:val="single" w:color="8EA9DB" w:sz="12" w:space="6"/>
        </w:pBdr>
        <w:shd w:fill="F7F7F7" w:val="clear"/>
        <w:spacing w:after="0" w:line="240"/>
        <w:ind w:left="120" w:right="120"/>
      </w:pPr>
      <w:r>
        <w:rPr>
          <w:rFonts w:ascii="Consolas" w:cs="Consolas" w:eastAsia="Consolas" w:hAnsi="Consolas"/>
          <w:sz w:val="16"/>
          <w:szCs w:val="16"/>
        </w:rPr>
        <w:t xml:space="preserve">    "card06_records": {</w:t>
      </w:r>
    </w:p>
    <w:p>
      <w:pPr>
        <w:pBdr>
          <w:left w:val="single" w:color="8EA9DB" w:sz="12" w:space="6"/>
        </w:pBdr>
        <w:shd w:fill="F7F7F7" w:val="clear"/>
        <w:spacing w:after="0" w:line="240"/>
        <w:ind w:left="120" w:right="120"/>
      </w:pPr>
      <w:r>
        <w:rPr>
          <w:rFonts w:ascii="Consolas" w:cs="Consolas" w:eastAsia="Consolas" w:hAnsi="Consolas"/>
          <w:sz w:val="16"/>
          <w:szCs w:val="16"/>
        </w:rPr>
        <w:t xml:space="preserve">      "model": "prod",</w:t>
      </w:r>
    </w:p>
    <w:p>
      <w:pPr>
        <w:pBdr>
          <w:left w:val="single" w:color="8EA9DB" w:sz="12" w:space="6"/>
        </w:pBdr>
        <w:shd w:fill="F7F7F7" w:val="clear"/>
        <w:spacing w:after="0" w:line="240"/>
        <w:ind w:left="120" w:right="120"/>
      </w:pPr>
      <w:r>
        <w:rPr>
          <w:rFonts w:ascii="Consolas" w:cs="Consolas" w:eastAsia="Consolas" w:hAnsi="Consolas"/>
          <w:sz w:val="16"/>
          <w:szCs w:val="16"/>
        </w:rPr>
        <w:t xml:space="preserve">      "template": "sap.ovp.cards.list",</w:t>
      </w:r>
    </w:p>
    <w:p>
      <w:pPr>
        <w:pBdr>
          <w:left w:val="single" w:color="8EA9DB" w:sz="12" w:space="6"/>
        </w:pBdr>
        <w:shd w:fill="F7F7F7" w:val="clear"/>
        <w:spacing w:after="0" w:line="240"/>
        <w:ind w:left="120" w:right="120"/>
      </w:pPr>
      <w:r>
        <w:rPr>
          <w:rFonts w:ascii="Consolas" w:cs="Consolas" w:eastAsia="Consolas" w:hAnsi="Consolas"/>
          <w:sz w:val="16"/>
          <w:szCs w:val="16"/>
        </w:rPr>
        <w:t xml:space="preserve">      "settings": {</w:t>
      </w:r>
    </w:p>
    <w:p>
      <w:pPr>
        <w:pBdr>
          <w:left w:val="single" w:color="8EA9DB" w:sz="12" w:space="6"/>
        </w:pBdr>
        <w:shd w:fill="F7F7F7" w:val="clear"/>
        <w:spacing w:after="0" w:line="240"/>
        <w:ind w:left="120" w:right="120"/>
      </w:pPr>
      <w:r>
        <w:rPr>
          <w:rFonts w:ascii="Consolas" w:cs="Consolas" w:eastAsia="Consolas" w:hAnsi="Consolas"/>
          <w:sz w:val="16"/>
          <w:szCs w:val="16"/>
        </w:rPr>
        <w:t xml:space="preserve">        "title": "Production Records - Latest Day",</w:t>
      </w:r>
    </w:p>
    <w:p>
      <w:pPr>
        <w:pBdr>
          <w:left w:val="single" w:color="8EA9DB" w:sz="12" w:space="6"/>
        </w:pBdr>
        <w:shd w:fill="F7F7F7" w:val="clear"/>
        <w:spacing w:after="0" w:line="240"/>
        <w:ind w:left="120" w:right="120"/>
      </w:pPr>
      <w:r>
        <w:rPr>
          <w:rFonts w:ascii="Consolas" w:cs="Consolas" w:eastAsia="Consolas" w:hAnsi="Consolas"/>
          <w:sz w:val="16"/>
          <w:szCs w:val="16"/>
        </w:rPr>
        <w:t xml:space="preserve">        "entitySet": "ZDPR_Q_PROD_QUERYResults",</w:t>
      </w:r>
    </w:p>
    <w:p>
      <w:pPr>
        <w:pBdr>
          <w:left w:val="single" w:color="8EA9DB" w:sz="12" w:space="6"/>
        </w:pBdr>
        <w:shd w:fill="F7F7F7" w:val="clear"/>
        <w:spacing w:after="0" w:line="240"/>
        <w:ind w:left="120" w:right="120"/>
      </w:pPr>
      <w:r>
        <w:rPr>
          <w:rFonts w:ascii="Consolas" w:cs="Consolas" w:eastAsia="Consolas" w:hAnsi="Consolas"/>
          <w:sz w:val="16"/>
          <w:szCs w:val="16"/>
        </w:rPr>
        <w:t xml:space="preserve">        "annotationPath": "com.sap.vocabularies.UI.v1.LineItem",</w:t>
      </w:r>
    </w:p>
    <w:p>
      <w:pPr>
        <w:pBdr>
          <w:left w:val="single" w:color="8EA9DB" w:sz="12" w:space="6"/>
        </w:pBdr>
        <w:shd w:fill="F7F7F7" w:val="clear"/>
        <w:spacing w:after="0" w:line="240"/>
        <w:ind w:left="120" w:right="120"/>
      </w:pPr>
      <w:r>
        <w:rPr>
          <w:rFonts w:ascii="Consolas" w:cs="Consolas" w:eastAsia="Consolas" w:hAnsi="Consolas"/>
          <w:sz w:val="16"/>
          <w:szCs w:val="16"/>
        </w:rPr>
        <w:t xml:space="preserve">        "listType": "condensed",</w:t>
      </w:r>
    </w:p>
    <w:p>
      <w:pPr>
        <w:pBdr>
          <w:left w:val="single" w:color="8EA9DB" w:sz="12" w:space="6"/>
        </w:pBdr>
        <w:shd w:fill="F7F7F7" w:val="clear"/>
        <w:spacing w:after="0" w:line="240"/>
        <w:ind w:left="120" w:right="120"/>
      </w:pPr>
      <w:r>
        <w:rPr>
          <w:rFonts w:ascii="Consolas" w:cs="Consolas" w:eastAsia="Consolas" w:hAnsi="Consolas"/>
          <w:sz w:val="16"/>
          <w:szCs w:val="16"/>
        </w:rPr>
        <w:t xml:space="preserve">        "selectionAnnotationPath": "com.sap.vocabularies.UI.v1.SelectionVariant#Params",</w:t>
      </w:r>
    </w:p>
    <w:p>
      <w:pPr>
        <w:pBdr>
          <w:left w:val="single" w:color="8EA9DB" w:sz="12" w:space="6"/>
        </w:pBdr>
        <w:shd w:fill="F7F7F7" w:val="clear"/>
        <w:spacing w:after="0" w:line="240"/>
        <w:ind w:left="120" w:right="120"/>
      </w:pPr>
      <w:r>
        <w:rPr>
          <w:rFonts w:ascii="Consolas" w:cs="Consolas" w:eastAsia="Consolas" w:hAnsi="Consolas"/>
          <w:sz w:val="16"/>
          <w:szCs w:val="16"/>
        </w:rPr>
        <w:t xml:space="preserve">        "defaultSpan": { "rows": 20, "cols": 1 }</w:t>
      </w:r>
    </w:p>
    <w:p>
      <w:pPr>
        <w:pBdr>
          <w:left w:val="single" w:color="8EA9DB" w:sz="12" w:space="6"/>
        </w:pBdr>
        <w:shd w:fill="F7F7F7" w:val="clear"/>
        <w:spacing w:after="0" w:line="240"/>
        <w:ind w:left="120" w:right="120"/>
      </w:pPr>
      <w:r>
        <w:rPr>
          <w:rFonts w:ascii="Consolas" w:cs="Consolas" w:eastAsia="Consolas" w:hAnsi="Consolas"/>
          <w:sz w:val="16"/>
          <w:szCs w:val="16"/>
        </w:rPr>
        <w:t xml:space="preserve">      }</w:t>
      </w:r>
    </w:p>
    <w:p>
      <w:pPr>
        <w:pBdr>
          <w:left w:val="single" w:color="8EA9DB" w:sz="12" w:space="6"/>
        </w:pBdr>
        <w:shd w:fill="F7F7F7" w:val="clear"/>
        <w:spacing w:after="0" w:line="240"/>
        <w:ind w:left="120" w:right="120"/>
      </w:pPr>
      <w:r>
        <w:rPr>
          <w:rFonts w:ascii="Consolas" w:cs="Consolas" w:eastAsia="Consolas" w:hAnsi="Consolas"/>
          <w:sz w:val="16"/>
          <w:szCs w:val="16"/>
        </w:rPr>
        <w:t xml:space="preserve">    }</w:t>
      </w:r>
    </w:p>
    <w:p>
      <w:pPr>
        <w:pBdr>
          <w:left w:val="single" w:color="8EA9DB" w:sz="12" w:space="6"/>
        </w:pBdr>
        <w:shd w:fill="F7F7F7" w:val="clear"/>
        <w:spacing w:after="0" w:line="240"/>
        <w:ind w:left="120" w:right="120"/>
      </w:pPr>
      <w:r>
        <w:rPr>
          <w:rFonts w:ascii="Consolas" w:cs="Consolas" w:eastAsia="Consolas" w:hAnsi="Consolas"/>
          <w:sz w:val="16"/>
          <w:szCs w:val="16"/>
        </w:rPr>
        <w:t xml:space="preserve">  }</w:t>
      </w:r>
    </w:p>
    <w:p>
      <w:pPr>
        <w:pBdr>
          <w:left w:val="single" w:color="8EA9DB" w:sz="12" w:space="6"/>
        </w:pBdr>
        <w:shd w:fill="F7F7F7" w:val="clear"/>
        <w:spacing w:after="0" w:line="240"/>
        <w:ind w:left="120" w:right="120"/>
      </w:pPr>
      <w:r>
        <w:rPr>
          <w:rFonts w:ascii="Consolas" w:cs="Consolas" w:eastAsia="Consolas" w:hAnsi="Consolas"/>
          <w:sz w:val="16"/>
          <w:szCs w:val="16"/>
        </w:rPr>
        <w:t xml:space="preserve">}</w:t>
      </w:r>
    </w:p>
    <w:p>
      <w:pPr>
        <w:spacing w:after="140"/>
      </w:pPr>
    </w:p>
    <w:p>
      <w:pPr>
        <w:pStyle w:val="Heading2"/>
        <w:spacing w:after="120" w:before="260"/>
      </w:pPr>
      <w:r>
        <w:t xml:space="preserve">4.2 The two performance cards (YTD and Annual)</w:t>
      </w:r>
    </w:p>
    <w:p>
      <w:pPr>
        <w:spacing w:after="120"/>
      </w:pPr>
      <w:r>
        <w:rPr>
          <w:b w:val="false"/>
          <w:bCs w:val="false"/>
          <w:i w:val="false"/>
          <w:iCs w:val="false"/>
          <w:sz w:val="21"/>
          <w:szCs w:val="21"/>
        </w:rPr>
        <w:t xml:space="preserve">Both cards read ZDPR_Q_PROD_PERFResults. Each gets its own SelectionVariant in the local annotation file: the parameters plus a filter on ScopeType. The Annual card uses a second LineItem with qualifier Annual (BE target and BOEPD instead of actual and % achievement, because Annual rows have no actual). These qualifiers live in the app's annotation.xml, not in the back end:</w:t>
      </w:r>
    </w:p>
    <w:p>
      <w:pPr>
        <w:pBdr>
          <w:left w:val="single" w:color="8EA9DB" w:sz="12" w:space="6"/>
        </w:pBdr>
        <w:shd w:fill="F7F7F7" w:val="clear"/>
        <w:spacing w:after="0" w:line="240"/>
        <w:ind w:left="120" w:right="120"/>
      </w:pPr>
      <w:r>
        <w:rPr>
          <w:rFonts w:ascii="Consolas" w:cs="Consolas" w:eastAsia="Consolas" w:hAnsi="Consolas"/>
          <w:sz w:val="16"/>
          <w:szCs w:val="16"/>
        </w:rPr>
        <w:t xml:space="preserve">&lt;Annotations Target="ZDPR_Q_PROD_PERF_CDS.ZDPR_Q_PROD_PERFType"&gt;</w:t>
      </w:r>
    </w:p>
    <w:p>
      <w:pPr>
        <w:pBdr>
          <w:left w:val="single" w:color="8EA9DB" w:sz="12" w:space="6"/>
        </w:pBdr>
        <w:shd w:fill="F7F7F7" w:val="clear"/>
        <w:spacing w:after="0" w:line="240"/>
        <w:ind w:left="120" w:right="120"/>
      </w:pPr>
      <w:r>
        <w:rPr>
          <w:rFonts w:ascii="Consolas" w:cs="Consolas" w:eastAsia="Consolas" w:hAnsi="Consolas"/>
          <w:sz w:val="16"/>
          <w:szCs w:val="16"/>
        </w:rPr>
        <w:t xml:space="preserve">  &lt;Annotation Term="UI.SelectionVariant" Qualifier="YTD"&gt;</w:t>
      </w:r>
    </w:p>
    <w:p>
      <w:pPr>
        <w:pBdr>
          <w:left w:val="single" w:color="8EA9DB" w:sz="12" w:space="6"/>
        </w:pBdr>
        <w:shd w:fill="F7F7F7" w:val="clear"/>
        <w:spacing w:after="0" w:line="240"/>
        <w:ind w:left="120" w:right="120"/>
      </w:pPr>
      <w:r>
        <w:rPr>
          <w:rFonts w:ascii="Consolas" w:cs="Consolas" w:eastAsia="Consolas" w:hAnsi="Consolas"/>
          <w:sz w:val="16"/>
          <w:szCs w:val="16"/>
        </w:rPr>
        <w:t xml:space="preserve">    &lt;Record&gt;</w:t>
      </w:r>
    </w:p>
    <w:p>
      <w:pPr>
        <w:pBdr>
          <w:left w:val="single" w:color="8EA9DB" w:sz="12" w:space="6"/>
        </w:pBdr>
        <w:shd w:fill="F7F7F7" w:val="clear"/>
        <w:spacing w:after="0" w:line="240"/>
        <w:ind w:left="120" w:right="120"/>
      </w:pPr>
      <w:r>
        <w:rPr>
          <w:rFonts w:ascii="Consolas" w:cs="Consolas" w:eastAsia="Consolas" w:hAnsi="Consolas"/>
          <w:sz w:val="16"/>
          <w:szCs w:val="16"/>
        </w:rPr>
        <w:t xml:space="preserve">      &lt;PropertyValue Property="Parameters"&gt;</w:t>
      </w:r>
    </w:p>
    <w:p>
      <w:pPr>
        <w:pBdr>
          <w:left w:val="single" w:color="8EA9DB" w:sz="12" w:space="6"/>
        </w:pBdr>
        <w:shd w:fill="F7F7F7" w:val="clear"/>
        <w:spacing w:after="0" w:line="240"/>
        <w:ind w:left="120" w:right="120"/>
      </w:pPr>
      <w:r>
        <w:rPr>
          <w:rFonts w:ascii="Consolas" w:cs="Consolas" w:eastAsia="Consolas" w:hAnsi="Consolas"/>
          <w:sz w:val="16"/>
          <w:szCs w:val="16"/>
        </w:rPr>
        <w:t xml:space="preserve">        &lt;Collection&gt;</w:t>
      </w:r>
    </w:p>
    <w:p>
      <w:pPr>
        <w:pBdr>
          <w:left w:val="single" w:color="8EA9DB" w:sz="12" w:space="6"/>
        </w:pBdr>
        <w:shd w:fill="F7F7F7" w:val="clear"/>
        <w:spacing w:after="0" w:line="240"/>
        <w:ind w:left="120" w:right="120"/>
      </w:pPr>
      <w:r>
        <w:rPr>
          <w:rFonts w:ascii="Consolas" w:cs="Consolas" w:eastAsia="Consolas" w:hAnsi="Consolas"/>
          <w:sz w:val="16"/>
          <w:szCs w:val="16"/>
        </w:rPr>
        <w:t xml:space="preserve">          &lt;Record Type="UI.Parameter"&gt;&lt;PropertyValue Property="PropertyName" PropertyPath="P_DateFrom"/&gt;&lt;PropertyValue Property="PropertyValue" String="20250401"/&gt;&lt;/Record&gt;</w:t>
      </w:r>
    </w:p>
    <w:p>
      <w:pPr>
        <w:pBdr>
          <w:left w:val="single" w:color="8EA9DB" w:sz="12" w:space="6"/>
        </w:pBdr>
        <w:shd w:fill="F7F7F7" w:val="clear"/>
        <w:spacing w:after="0" w:line="240"/>
        <w:ind w:left="120" w:right="120"/>
      </w:pPr>
      <w:r>
        <w:rPr>
          <w:rFonts w:ascii="Consolas" w:cs="Consolas" w:eastAsia="Consolas" w:hAnsi="Consolas"/>
          <w:sz w:val="16"/>
          <w:szCs w:val="16"/>
        </w:rPr>
        <w:t xml:space="preserve">          &lt;Record Type="UI.Parameter"&gt;&lt;PropertyValue Property="PropertyName" PropertyPath="P_DateTo"/&gt;&lt;PropertyValue Property="PropertyValue" String="20250930"/&gt;&lt;/Record&gt;</w:t>
      </w:r>
    </w:p>
    <w:p>
      <w:pPr>
        <w:pBdr>
          <w:left w:val="single" w:color="8EA9DB" w:sz="12" w:space="6"/>
        </w:pBdr>
        <w:shd w:fill="F7F7F7" w:val="clear"/>
        <w:spacing w:after="0" w:line="240"/>
        <w:ind w:left="120" w:right="120"/>
      </w:pPr>
      <w:r>
        <w:rPr>
          <w:rFonts w:ascii="Consolas" w:cs="Consolas" w:eastAsia="Consolas" w:hAnsi="Consolas"/>
          <w:sz w:val="16"/>
          <w:szCs w:val="16"/>
        </w:rPr>
        <w:t xml:space="preserve">          &lt;Record Type="UI.Parameter"&gt;&lt;PropertyValue Property="PropertyName" PropertyPath="P_FiscalYear"/&gt;&lt;PropertyValue Property="PropertyValue" String="2025"/&gt;&lt;/Record&gt;</w:t>
      </w:r>
    </w:p>
    <w:p>
      <w:pPr>
        <w:pBdr>
          <w:left w:val="single" w:color="8EA9DB" w:sz="12" w:space="6"/>
        </w:pBdr>
        <w:shd w:fill="F7F7F7" w:val="clear"/>
        <w:spacing w:after="0" w:line="240"/>
        <w:ind w:left="120" w:right="120"/>
      </w:pPr>
      <w:r>
        <w:rPr>
          <w:rFonts w:ascii="Consolas" w:cs="Consolas" w:eastAsia="Consolas" w:hAnsi="Consolas"/>
          <w:sz w:val="16"/>
          <w:szCs w:val="16"/>
        </w:rPr>
        <w:t xml:space="preserve">        &lt;/Collection&gt;</w:t>
      </w:r>
    </w:p>
    <w:p>
      <w:pPr>
        <w:pBdr>
          <w:left w:val="single" w:color="8EA9DB" w:sz="12" w:space="6"/>
        </w:pBdr>
        <w:shd w:fill="F7F7F7" w:val="clear"/>
        <w:spacing w:after="0" w:line="240"/>
        <w:ind w:left="120" w:right="120"/>
      </w:pPr>
      <w:r>
        <w:rPr>
          <w:rFonts w:ascii="Consolas" w:cs="Consolas" w:eastAsia="Consolas" w:hAnsi="Consolas"/>
          <w:sz w:val="16"/>
          <w:szCs w:val="16"/>
        </w:rPr>
        <w:t xml:space="preserve">      &lt;/PropertyValue&gt;</w:t>
      </w:r>
    </w:p>
    <w:p>
      <w:pPr>
        <w:pBdr>
          <w:left w:val="single" w:color="8EA9DB" w:sz="12" w:space="6"/>
        </w:pBdr>
        <w:shd w:fill="F7F7F7" w:val="clear"/>
        <w:spacing w:after="0" w:line="240"/>
        <w:ind w:left="120" w:right="120"/>
      </w:pPr>
      <w:r>
        <w:rPr>
          <w:rFonts w:ascii="Consolas" w:cs="Consolas" w:eastAsia="Consolas" w:hAnsi="Consolas"/>
          <w:sz w:val="16"/>
          <w:szCs w:val="16"/>
        </w:rPr>
        <w:t xml:space="preserve">      &lt;PropertyValue Property="SelectOptions"&gt;</w:t>
      </w:r>
    </w:p>
    <w:p>
      <w:pPr>
        <w:pBdr>
          <w:left w:val="single" w:color="8EA9DB" w:sz="12" w:space="6"/>
        </w:pBdr>
        <w:shd w:fill="F7F7F7" w:val="clear"/>
        <w:spacing w:after="0" w:line="240"/>
        <w:ind w:left="120" w:right="120"/>
      </w:pPr>
      <w:r>
        <w:rPr>
          <w:rFonts w:ascii="Consolas" w:cs="Consolas" w:eastAsia="Consolas" w:hAnsi="Consolas"/>
          <w:sz w:val="16"/>
          <w:szCs w:val="16"/>
        </w:rPr>
        <w:t xml:space="preserve">        &lt;Collection&gt;</w:t>
      </w:r>
    </w:p>
    <w:p>
      <w:pPr>
        <w:pBdr>
          <w:left w:val="single" w:color="8EA9DB" w:sz="12" w:space="6"/>
        </w:pBdr>
        <w:shd w:fill="F7F7F7" w:val="clear"/>
        <w:spacing w:after="0" w:line="240"/>
        <w:ind w:left="120" w:right="120"/>
      </w:pPr>
      <w:r>
        <w:rPr>
          <w:rFonts w:ascii="Consolas" w:cs="Consolas" w:eastAsia="Consolas" w:hAnsi="Consolas"/>
          <w:sz w:val="16"/>
          <w:szCs w:val="16"/>
        </w:rPr>
        <w:t xml:space="preserve">          &lt;Record Type="UI.SelectOptionType"&gt;</w:t>
      </w:r>
    </w:p>
    <w:p>
      <w:pPr>
        <w:pBdr>
          <w:left w:val="single" w:color="8EA9DB" w:sz="12" w:space="6"/>
        </w:pBdr>
        <w:shd w:fill="F7F7F7" w:val="clear"/>
        <w:spacing w:after="0" w:line="240"/>
        <w:ind w:left="120" w:right="120"/>
      </w:pPr>
      <w:r>
        <w:rPr>
          <w:rFonts w:ascii="Consolas" w:cs="Consolas" w:eastAsia="Consolas" w:hAnsi="Consolas"/>
          <w:sz w:val="16"/>
          <w:szCs w:val="16"/>
        </w:rPr>
        <w:t xml:space="preserve">            &lt;PropertyValue Property="PropertyName" PropertyPath="ScopeType"/&gt;</w:t>
      </w:r>
    </w:p>
    <w:p>
      <w:pPr>
        <w:pBdr>
          <w:left w:val="single" w:color="8EA9DB" w:sz="12" w:space="6"/>
        </w:pBdr>
        <w:shd w:fill="F7F7F7" w:val="clear"/>
        <w:spacing w:after="0" w:line="240"/>
        <w:ind w:left="120" w:right="120"/>
      </w:pPr>
      <w:r>
        <w:rPr>
          <w:rFonts w:ascii="Consolas" w:cs="Consolas" w:eastAsia="Consolas" w:hAnsi="Consolas"/>
          <w:sz w:val="16"/>
          <w:szCs w:val="16"/>
        </w:rPr>
        <w:t xml:space="preserve">            &lt;PropertyValue Property="Ranges"&gt;</w:t>
      </w:r>
    </w:p>
    <w:p>
      <w:pPr>
        <w:pBdr>
          <w:left w:val="single" w:color="8EA9DB" w:sz="12" w:space="6"/>
        </w:pBdr>
        <w:shd w:fill="F7F7F7" w:val="clear"/>
        <w:spacing w:after="0" w:line="240"/>
        <w:ind w:left="120" w:right="120"/>
      </w:pPr>
      <w:r>
        <w:rPr>
          <w:rFonts w:ascii="Consolas" w:cs="Consolas" w:eastAsia="Consolas" w:hAnsi="Consolas"/>
          <w:sz w:val="16"/>
          <w:szCs w:val="16"/>
        </w:rPr>
        <w:t xml:space="preserve">              &lt;Collection&gt;</w:t>
      </w:r>
    </w:p>
    <w:p>
      <w:pPr>
        <w:pBdr>
          <w:left w:val="single" w:color="8EA9DB" w:sz="12" w:space="6"/>
        </w:pBdr>
        <w:shd w:fill="F7F7F7" w:val="clear"/>
        <w:spacing w:after="0" w:line="240"/>
        <w:ind w:left="120" w:right="120"/>
      </w:pPr>
      <w:r>
        <w:rPr>
          <w:rFonts w:ascii="Consolas" w:cs="Consolas" w:eastAsia="Consolas" w:hAnsi="Consolas"/>
          <w:sz w:val="16"/>
          <w:szCs w:val="16"/>
        </w:rPr>
        <w:t xml:space="preserve">                &lt;Record Type="UI.SelectionRangeType"&gt;</w:t>
      </w:r>
    </w:p>
    <w:p>
      <w:pPr>
        <w:pBdr>
          <w:left w:val="single" w:color="8EA9DB" w:sz="12" w:space="6"/>
        </w:pBdr>
        <w:shd w:fill="F7F7F7" w:val="clear"/>
        <w:spacing w:after="0" w:line="240"/>
        <w:ind w:left="120" w:right="120"/>
      </w:pPr>
      <w:r>
        <w:rPr>
          <w:rFonts w:ascii="Consolas" w:cs="Consolas" w:eastAsia="Consolas" w:hAnsi="Consolas"/>
          <w:sz w:val="16"/>
          <w:szCs w:val="16"/>
        </w:rPr>
        <w:t xml:space="preserve">                  &lt;PropertyValue Property="Sign" EnumMember="UI.SelectionRangeSignType/I"/&gt;</w:t>
      </w:r>
    </w:p>
    <w:p>
      <w:pPr>
        <w:pBdr>
          <w:left w:val="single" w:color="8EA9DB" w:sz="12" w:space="6"/>
        </w:pBdr>
        <w:shd w:fill="F7F7F7" w:val="clear"/>
        <w:spacing w:after="0" w:line="240"/>
        <w:ind w:left="120" w:right="120"/>
      </w:pPr>
      <w:r>
        <w:rPr>
          <w:rFonts w:ascii="Consolas" w:cs="Consolas" w:eastAsia="Consolas" w:hAnsi="Consolas"/>
          <w:sz w:val="16"/>
          <w:szCs w:val="16"/>
        </w:rPr>
        <w:t xml:space="preserve">                  &lt;PropertyValue Property="Option" EnumMember="UI.SelectionRangeOptionType/EQ"/&gt;</w:t>
      </w:r>
    </w:p>
    <w:p>
      <w:pPr>
        <w:pBdr>
          <w:left w:val="single" w:color="8EA9DB" w:sz="12" w:space="6"/>
        </w:pBdr>
        <w:shd w:fill="F7F7F7" w:val="clear"/>
        <w:spacing w:after="0" w:line="240"/>
        <w:ind w:left="120" w:right="120"/>
      </w:pPr>
      <w:r>
        <w:rPr>
          <w:rFonts w:ascii="Consolas" w:cs="Consolas" w:eastAsia="Consolas" w:hAnsi="Consolas"/>
          <w:sz w:val="16"/>
          <w:szCs w:val="16"/>
        </w:rPr>
        <w:t xml:space="preserve">                  &lt;PropertyValue Property="Low" String="YTD"/&gt;</w:t>
      </w:r>
    </w:p>
    <w:p>
      <w:pPr>
        <w:pBdr>
          <w:left w:val="single" w:color="8EA9DB" w:sz="12" w:space="6"/>
        </w:pBdr>
        <w:shd w:fill="F7F7F7" w:val="clear"/>
        <w:spacing w:after="0" w:line="240"/>
        <w:ind w:left="120" w:right="120"/>
      </w:pPr>
      <w:r>
        <w:rPr>
          <w:rFonts w:ascii="Consolas" w:cs="Consolas" w:eastAsia="Consolas" w:hAnsi="Consolas"/>
          <w:sz w:val="16"/>
          <w:szCs w:val="16"/>
        </w:rPr>
        <w:t xml:space="preserve">                &lt;/Record&gt;</w:t>
      </w:r>
    </w:p>
    <w:p>
      <w:pPr>
        <w:pBdr>
          <w:left w:val="single" w:color="8EA9DB" w:sz="12" w:space="6"/>
        </w:pBdr>
        <w:shd w:fill="F7F7F7" w:val="clear"/>
        <w:spacing w:after="0" w:line="240"/>
        <w:ind w:left="120" w:right="120"/>
      </w:pPr>
      <w:r>
        <w:rPr>
          <w:rFonts w:ascii="Consolas" w:cs="Consolas" w:eastAsia="Consolas" w:hAnsi="Consolas"/>
          <w:sz w:val="16"/>
          <w:szCs w:val="16"/>
        </w:rPr>
        <w:t xml:space="preserve">              &lt;/Collection&gt;</w:t>
      </w:r>
    </w:p>
    <w:p>
      <w:pPr>
        <w:pBdr>
          <w:left w:val="single" w:color="8EA9DB" w:sz="12" w:space="6"/>
        </w:pBdr>
        <w:shd w:fill="F7F7F7" w:val="clear"/>
        <w:spacing w:after="0" w:line="240"/>
        <w:ind w:left="120" w:right="120"/>
      </w:pPr>
      <w:r>
        <w:rPr>
          <w:rFonts w:ascii="Consolas" w:cs="Consolas" w:eastAsia="Consolas" w:hAnsi="Consolas"/>
          <w:sz w:val="16"/>
          <w:szCs w:val="16"/>
        </w:rPr>
        <w:t xml:space="preserve">            &lt;/PropertyValue&gt;</w:t>
      </w:r>
    </w:p>
    <w:p>
      <w:pPr>
        <w:pBdr>
          <w:left w:val="single" w:color="8EA9DB" w:sz="12" w:space="6"/>
        </w:pBdr>
        <w:shd w:fill="F7F7F7" w:val="clear"/>
        <w:spacing w:after="0" w:line="240"/>
        <w:ind w:left="120" w:right="120"/>
      </w:pPr>
      <w:r>
        <w:rPr>
          <w:rFonts w:ascii="Consolas" w:cs="Consolas" w:eastAsia="Consolas" w:hAnsi="Consolas"/>
          <w:sz w:val="16"/>
          <w:szCs w:val="16"/>
        </w:rPr>
        <w:t xml:space="preserve">          &lt;/Record&gt;</w:t>
      </w:r>
    </w:p>
    <w:p>
      <w:pPr>
        <w:pBdr>
          <w:left w:val="single" w:color="8EA9DB" w:sz="12" w:space="6"/>
        </w:pBdr>
        <w:shd w:fill="F7F7F7" w:val="clear"/>
        <w:spacing w:after="0" w:line="240"/>
        <w:ind w:left="120" w:right="120"/>
      </w:pPr>
      <w:r>
        <w:rPr>
          <w:rFonts w:ascii="Consolas" w:cs="Consolas" w:eastAsia="Consolas" w:hAnsi="Consolas"/>
          <w:sz w:val="16"/>
          <w:szCs w:val="16"/>
        </w:rPr>
        <w:t xml:space="preserve">        &lt;/Collection&gt;</w:t>
      </w:r>
    </w:p>
    <w:p>
      <w:pPr>
        <w:pBdr>
          <w:left w:val="single" w:color="8EA9DB" w:sz="12" w:space="6"/>
        </w:pBdr>
        <w:shd w:fill="F7F7F7" w:val="clear"/>
        <w:spacing w:after="0" w:line="240"/>
        <w:ind w:left="120" w:right="120"/>
      </w:pPr>
      <w:r>
        <w:rPr>
          <w:rFonts w:ascii="Consolas" w:cs="Consolas" w:eastAsia="Consolas" w:hAnsi="Consolas"/>
          <w:sz w:val="16"/>
          <w:szCs w:val="16"/>
        </w:rPr>
        <w:t xml:space="preserve">      &lt;/PropertyValue&gt;</w:t>
      </w:r>
    </w:p>
    <w:p>
      <w:pPr>
        <w:pBdr>
          <w:left w:val="single" w:color="8EA9DB" w:sz="12" w:space="6"/>
        </w:pBdr>
        <w:shd w:fill="F7F7F7" w:val="clear"/>
        <w:spacing w:after="0" w:line="240"/>
        <w:ind w:left="120" w:right="120"/>
      </w:pPr>
      <w:r>
        <w:rPr>
          <w:rFonts w:ascii="Consolas" w:cs="Consolas" w:eastAsia="Consolas" w:hAnsi="Consolas"/>
          <w:sz w:val="16"/>
          <w:szCs w:val="16"/>
        </w:rPr>
        <w:t xml:space="preserve">    &lt;/Record&gt;</w:t>
      </w:r>
    </w:p>
    <w:p>
      <w:pPr>
        <w:pBdr>
          <w:left w:val="single" w:color="8EA9DB" w:sz="12" w:space="6"/>
        </w:pBdr>
        <w:shd w:fill="F7F7F7" w:val="clear"/>
        <w:spacing w:after="0" w:line="240"/>
        <w:ind w:left="120" w:right="120"/>
      </w:pPr>
      <w:r>
        <w:rPr>
          <w:rFonts w:ascii="Consolas" w:cs="Consolas" w:eastAsia="Consolas" w:hAnsi="Consolas"/>
          <w:sz w:val="16"/>
          <w:szCs w:val="16"/>
        </w:rPr>
        <w:t xml:space="preserve">  &lt;/Annotation&gt;</w:t>
      </w:r>
    </w:p>
    <w:p>
      <w:pPr>
        <w:pBdr>
          <w:left w:val="single" w:color="8EA9DB" w:sz="12" w:space="6"/>
        </w:pBdr>
        <w:shd w:fill="F7F7F7" w:val="clear"/>
        <w:spacing w:after="0" w:line="240"/>
        <w:ind w:left="120" w:right="120"/>
      </w:pPr>
      <w:r>
        <w:rPr>
          <w:rFonts w:ascii="Consolas" w:cs="Consolas" w:eastAsia="Consolas" w:hAnsi="Consolas"/>
          <w:sz w:val="16"/>
          <w:szCs w:val="16"/>
        </w:rPr>
        <w:t xml:space="preserve">  &lt;!-- Qualifier "Annual": same, with Low = "ANNUAL" --&gt;</w:t>
      </w:r>
    </w:p>
    <w:p>
      <w:pPr>
        <w:pBdr>
          <w:left w:val="single" w:color="8EA9DB" w:sz="12" w:space="6"/>
        </w:pBdr>
        <w:shd w:fill="F7F7F7" w:val="clear"/>
        <w:spacing w:after="0" w:line="240"/>
        <w:ind w:left="120" w:right="120"/>
      </w:pPr>
      <w:r>
        <w:rPr>
          <w:rFonts w:ascii="Consolas" w:cs="Consolas" w:eastAsia="Consolas" w:hAnsi="Consolas"/>
          <w:sz w:val="16"/>
          <w:szCs w:val="16"/>
        </w:rPr>
        <w:t xml:space="preserve">  &lt;Annotation Term="UI.LineItem" Qualifier="Annual"&gt;</w:t>
      </w:r>
    </w:p>
    <w:p>
      <w:pPr>
        <w:pBdr>
          <w:left w:val="single" w:color="8EA9DB" w:sz="12" w:space="6"/>
        </w:pBdr>
        <w:shd w:fill="F7F7F7" w:val="clear"/>
        <w:spacing w:after="0" w:line="240"/>
        <w:ind w:left="120" w:right="120"/>
      </w:pPr>
      <w:r>
        <w:rPr>
          <w:rFonts w:ascii="Consolas" w:cs="Consolas" w:eastAsia="Consolas" w:hAnsi="Consolas"/>
          <w:sz w:val="16"/>
          <w:szCs w:val="16"/>
        </w:rPr>
        <w:t xml:space="preserve">    &lt;Collection&gt;</w:t>
      </w:r>
    </w:p>
    <w:p>
      <w:pPr>
        <w:pBdr>
          <w:left w:val="single" w:color="8EA9DB" w:sz="12" w:space="6"/>
        </w:pBdr>
        <w:shd w:fill="F7F7F7" w:val="clear"/>
        <w:spacing w:after="0" w:line="240"/>
        <w:ind w:left="120" w:right="120"/>
      </w:pPr>
      <w:r>
        <w:rPr>
          <w:rFonts w:ascii="Consolas" w:cs="Consolas" w:eastAsia="Consolas" w:hAnsi="Consolas"/>
          <w:sz w:val="16"/>
          <w:szCs w:val="16"/>
        </w:rPr>
        <w:t xml:space="preserve">      &lt;Record Type="UI.DataField"&gt;&lt;PropertyValue Property="Value" Path="RowLabel"/&gt;&lt;PropertyValue Property="Label" String="Row"/&gt;&lt;/Record&gt;</w:t>
      </w:r>
    </w:p>
    <w:p>
      <w:pPr>
        <w:pBdr>
          <w:left w:val="single" w:color="8EA9DB" w:sz="12" w:space="6"/>
        </w:pBdr>
        <w:shd w:fill="F7F7F7" w:val="clear"/>
        <w:spacing w:after="0" w:line="240"/>
        <w:ind w:left="120" w:right="120"/>
      </w:pPr>
      <w:r>
        <w:rPr>
          <w:rFonts w:ascii="Consolas" w:cs="Consolas" w:eastAsia="Consolas" w:hAnsi="Consolas"/>
          <w:sz w:val="16"/>
          <w:szCs w:val="16"/>
        </w:rPr>
        <w:t xml:space="preserve">      &lt;Record Type="UI.DataField"&gt;&lt;PropertyValue Property="Value" Path="TargetPerDay"/&gt;&lt;PropertyValue Property="Label" String="BE Target"/&gt;&lt;/Record&gt;</w:t>
      </w:r>
    </w:p>
    <w:p>
      <w:pPr>
        <w:pBdr>
          <w:left w:val="single" w:color="8EA9DB" w:sz="12" w:space="6"/>
        </w:pBdr>
        <w:shd w:fill="F7F7F7" w:val="clear"/>
        <w:spacing w:after="0" w:line="240"/>
        <w:ind w:left="120" w:right="120"/>
      </w:pPr>
      <w:r>
        <w:rPr>
          <w:rFonts w:ascii="Consolas" w:cs="Consolas" w:eastAsia="Consolas" w:hAnsi="Consolas"/>
          <w:sz w:val="16"/>
          <w:szCs w:val="16"/>
        </w:rPr>
        <w:t xml:space="preserve">      &lt;Record Type="UI.DataField"&gt;&lt;PropertyValue Property="Value" Path="TargetBoepdPerDay"/&gt;&lt;PropertyValue Property="Label" String="BOEPD"/&gt;&lt;/Record&gt;</w:t>
      </w:r>
    </w:p>
    <w:p>
      <w:pPr>
        <w:pBdr>
          <w:left w:val="single" w:color="8EA9DB" w:sz="12" w:space="6"/>
        </w:pBdr>
        <w:shd w:fill="F7F7F7" w:val="clear"/>
        <w:spacing w:after="0" w:line="240"/>
        <w:ind w:left="120" w:right="120"/>
      </w:pPr>
      <w:r>
        <w:rPr>
          <w:rFonts w:ascii="Consolas" w:cs="Consolas" w:eastAsia="Consolas" w:hAnsi="Consolas"/>
          <w:sz w:val="16"/>
          <w:szCs w:val="16"/>
        </w:rPr>
        <w:t xml:space="preserve">    &lt;/Collection&gt;</w:t>
      </w:r>
    </w:p>
    <w:p>
      <w:pPr>
        <w:pBdr>
          <w:left w:val="single" w:color="8EA9DB" w:sz="12" w:space="6"/>
        </w:pBdr>
        <w:shd w:fill="F7F7F7" w:val="clear"/>
        <w:spacing w:after="0" w:line="240"/>
        <w:ind w:left="120" w:right="120"/>
      </w:pPr>
      <w:r>
        <w:rPr>
          <w:rFonts w:ascii="Consolas" w:cs="Consolas" w:eastAsia="Consolas" w:hAnsi="Consolas"/>
          <w:sz w:val="16"/>
          <w:szCs w:val="16"/>
        </w:rPr>
        <w:t xml:space="preserve">  &lt;/Annotation&gt;</w:t>
      </w:r>
    </w:p>
    <w:p>
      <w:pPr>
        <w:pBdr>
          <w:left w:val="single" w:color="8EA9DB" w:sz="12" w:space="6"/>
        </w:pBdr>
        <w:shd w:fill="F7F7F7" w:val="clear"/>
        <w:spacing w:after="0" w:line="240"/>
        <w:ind w:left="120" w:right="120"/>
      </w:pPr>
      <w:r>
        <w:rPr>
          <w:rFonts w:ascii="Consolas" w:cs="Consolas" w:eastAsia="Consolas" w:hAnsi="Consolas"/>
          <w:sz w:val="16"/>
          <w:szCs w:val="16"/>
        </w:rPr>
        <w:t xml:space="preserve">&lt;/Annotations&gt;</w:t>
      </w:r>
    </w:p>
    <w:p>
      <w:pPr>
        <w:spacing w:after="140"/>
      </w:pPr>
    </w:p>
    <w:p>
      <w:pPr>
        <w:pStyle w:val="Heading2"/>
        <w:spacing w:after="120" w:before="260"/>
      </w:pPr>
      <w:r>
        <w:t xml:space="preserve">4.3 Optional KPI header on the BOEPD card</w:t>
      </w:r>
    </w:p>
    <w:p>
      <w:pPr>
        <w:spacing w:after="120"/>
      </w:pPr>
      <w:r>
        <w:rPr>
          <w:b w:val="false"/>
          <w:bCs w:val="false"/>
          <w:i w:val="false"/>
          <w:iCs w:val="false"/>
          <w:sz w:val="21"/>
          <w:szCs w:val="21"/>
        </w:rPr>
        <w:t xml:space="preserve">ZDPR_Q_BOEPD_TREND is an analytical query, so the service can aggregate it. A KPI header showing the total actual BOEPD of the selected range against the target is configured with a DataPoint and a PresentationVariant in the local annotation file and referenced in the card:</w:t>
      </w:r>
    </w:p>
    <w:p>
      <w:pPr>
        <w:pBdr>
          <w:left w:val="single" w:color="8EA9DB" w:sz="12" w:space="6"/>
        </w:pBdr>
        <w:shd w:fill="F7F7F7" w:val="clear"/>
        <w:spacing w:after="0" w:line="240"/>
        <w:ind w:left="120" w:right="120"/>
      </w:pPr>
      <w:r>
        <w:rPr>
          <w:rFonts w:ascii="Consolas" w:cs="Consolas" w:eastAsia="Consolas" w:hAnsi="Consolas"/>
          <w:sz w:val="16"/>
          <w:szCs w:val="16"/>
        </w:rPr>
        <w:t xml:space="preserve">"dataPointAnnotationPath": "com.sap.vocabularies.UI.v1.DataPoint#ActualKpi",</w:t>
      </w:r>
    </w:p>
    <w:p>
      <w:pPr>
        <w:pBdr>
          <w:left w:val="single" w:color="8EA9DB" w:sz="12" w:space="6"/>
        </w:pBdr>
        <w:shd w:fill="F7F7F7" w:val="clear"/>
        <w:spacing w:after="0" w:line="240"/>
        <w:ind w:left="120" w:right="120"/>
      </w:pPr>
      <w:r>
        <w:rPr>
          <w:rFonts w:ascii="Consolas" w:cs="Consolas" w:eastAsia="Consolas" w:hAnsi="Consolas"/>
          <w:sz w:val="16"/>
          <w:szCs w:val="16"/>
        </w:rPr>
        <w:t xml:space="preserve">"kpiAnnotationPath": "com.sap.vocabularies.UI.v1.KPI#ActualKpi"</w:t>
      </w:r>
    </w:p>
    <w:p>
      <w:pPr>
        <w:pBdr>
          <w:left w:val="single" w:color="8EA9DB" w:sz="12" w:space="6"/>
        </w:pBdr>
        <w:shd w:fill="F7F7F7" w:val="clear"/>
        <w:spacing w:after="0" w:line="240"/>
        <w:ind w:left="120" w:right="120"/>
      </w:pPr>
      <w:r>
        <w:rPr>
          <w:rFonts w:ascii="Consolas" w:cs="Consolas" w:eastAsia="Consolas" w:hAnsi="Consolas"/>
          <w:sz w:val="16"/>
          <w:szCs w:val="16"/>
        </w:rPr>
        <w:t xml:space="preserve"> </w:t>
      </w:r>
    </w:p>
    <w:p>
      <w:pPr>
        <w:pBdr>
          <w:left w:val="single" w:color="8EA9DB" w:sz="12" w:space="6"/>
        </w:pBdr>
        <w:shd w:fill="F7F7F7" w:val="clear"/>
        <w:spacing w:after="0" w:line="240"/>
        <w:ind w:left="120" w:right="120"/>
      </w:pPr>
      <w:r>
        <w:rPr>
          <w:rFonts w:ascii="Consolas" w:cs="Consolas" w:eastAsia="Consolas" w:hAnsi="Consolas"/>
          <w:sz w:val="16"/>
          <w:szCs w:val="16"/>
        </w:rPr>
        <w:t xml:space="preserve">&lt;Annotation Term="UI.DataPoint" Qualifier="ActualKpi"&gt;</w:t>
      </w:r>
    </w:p>
    <w:p>
      <w:pPr>
        <w:pBdr>
          <w:left w:val="single" w:color="8EA9DB" w:sz="12" w:space="6"/>
        </w:pBdr>
        <w:shd w:fill="F7F7F7" w:val="clear"/>
        <w:spacing w:after="0" w:line="240"/>
        <w:ind w:left="120" w:right="120"/>
      </w:pPr>
      <w:r>
        <w:rPr>
          <w:rFonts w:ascii="Consolas" w:cs="Consolas" w:eastAsia="Consolas" w:hAnsi="Consolas"/>
          <w:sz w:val="16"/>
          <w:szCs w:val="16"/>
        </w:rPr>
        <w:t xml:space="preserve">  &lt;Record&gt;</w:t>
      </w:r>
    </w:p>
    <w:p>
      <w:pPr>
        <w:pBdr>
          <w:left w:val="single" w:color="8EA9DB" w:sz="12" w:space="6"/>
        </w:pBdr>
        <w:shd w:fill="F7F7F7" w:val="clear"/>
        <w:spacing w:after="0" w:line="240"/>
        <w:ind w:left="120" w:right="120"/>
      </w:pPr>
      <w:r>
        <w:rPr>
          <w:rFonts w:ascii="Consolas" w:cs="Consolas" w:eastAsia="Consolas" w:hAnsi="Consolas"/>
          <w:sz w:val="16"/>
          <w:szCs w:val="16"/>
        </w:rPr>
        <w:t xml:space="preserve">    &lt;PropertyValue Property="Title" String="Actual (BOEPD)"/&gt;</w:t>
      </w:r>
    </w:p>
    <w:p>
      <w:pPr>
        <w:pBdr>
          <w:left w:val="single" w:color="8EA9DB" w:sz="12" w:space="6"/>
        </w:pBdr>
        <w:shd w:fill="F7F7F7" w:val="clear"/>
        <w:spacing w:after="0" w:line="240"/>
        <w:ind w:left="120" w:right="120"/>
      </w:pPr>
      <w:r>
        <w:rPr>
          <w:rFonts w:ascii="Consolas" w:cs="Consolas" w:eastAsia="Consolas" w:hAnsi="Consolas"/>
          <w:sz w:val="16"/>
          <w:szCs w:val="16"/>
        </w:rPr>
        <w:t xml:space="preserve">    &lt;PropertyValue Property="Value" Path="ActualBoepdOvl"/&gt;</w:t>
      </w:r>
    </w:p>
    <w:p>
      <w:pPr>
        <w:pBdr>
          <w:left w:val="single" w:color="8EA9DB" w:sz="12" w:space="6"/>
        </w:pBdr>
        <w:shd w:fill="F7F7F7" w:val="clear"/>
        <w:spacing w:after="0" w:line="240"/>
        <w:ind w:left="120" w:right="120"/>
      </w:pPr>
      <w:r>
        <w:rPr>
          <w:rFonts w:ascii="Consolas" w:cs="Consolas" w:eastAsia="Consolas" w:hAnsi="Consolas"/>
          <w:sz w:val="16"/>
          <w:szCs w:val="16"/>
        </w:rPr>
        <w:t xml:space="preserve">    &lt;PropertyValue Property="TargetValue" Path="TargetBoepd"/&gt;</w:t>
      </w:r>
    </w:p>
    <w:p>
      <w:pPr>
        <w:pBdr>
          <w:left w:val="single" w:color="8EA9DB" w:sz="12" w:space="6"/>
        </w:pBdr>
        <w:shd w:fill="F7F7F7" w:val="clear"/>
        <w:spacing w:after="0" w:line="240"/>
        <w:ind w:left="120" w:right="120"/>
      </w:pPr>
      <w:r>
        <w:rPr>
          <w:rFonts w:ascii="Consolas" w:cs="Consolas" w:eastAsia="Consolas" w:hAnsi="Consolas"/>
          <w:sz w:val="16"/>
          <w:szCs w:val="16"/>
        </w:rPr>
        <w:t xml:space="preserve">    &lt;PropertyValue Property="Criticality" Path="Criticality"/&gt;</w:t>
      </w:r>
    </w:p>
    <w:p>
      <w:pPr>
        <w:pBdr>
          <w:left w:val="single" w:color="8EA9DB" w:sz="12" w:space="6"/>
        </w:pBdr>
        <w:shd w:fill="F7F7F7" w:val="clear"/>
        <w:spacing w:after="0" w:line="240"/>
        <w:ind w:left="120" w:right="120"/>
      </w:pPr>
      <w:r>
        <w:rPr>
          <w:rFonts w:ascii="Consolas" w:cs="Consolas" w:eastAsia="Consolas" w:hAnsi="Consolas"/>
          <w:sz w:val="16"/>
          <w:szCs w:val="16"/>
        </w:rPr>
        <w:t xml:space="preserve">  &lt;/Record&gt;</w:t>
      </w:r>
    </w:p>
    <w:p>
      <w:pPr>
        <w:pBdr>
          <w:left w:val="single" w:color="8EA9DB" w:sz="12" w:space="6"/>
        </w:pBdr>
        <w:shd w:fill="F7F7F7" w:val="clear"/>
        <w:spacing w:after="0" w:line="240"/>
        <w:ind w:left="120" w:right="120"/>
      </w:pPr>
      <w:r>
        <w:rPr>
          <w:rFonts w:ascii="Consolas" w:cs="Consolas" w:eastAsia="Consolas" w:hAnsi="Consolas"/>
          <w:sz w:val="16"/>
          <w:szCs w:val="16"/>
        </w:rPr>
        <w:t xml:space="preserve">&lt;/Annotation&gt;</w:t>
      </w:r>
    </w:p>
    <w:p>
      <w:pPr>
        <w:spacing w:after="120"/>
      </w:pPr>
      <w:r>
        <w:rPr>
          <w:b w:val="false"/>
          <w:bCs w:val="false"/>
          <w:i/>
          <w:iCs/>
          <w:sz w:val="21"/>
          <w:szCs w:val="21"/>
        </w:rPr>
        <w:t xml:space="preserve">The value is the sum over all rows of the card's selection, i.e. over the days — divide by the number of days if a per-day figure is wanted; that division needs a further query element and is not built yet. Leave the KPI header out for the first version.</w:t>
      </w:r>
    </w:p>
    <w:p>
      <w:pPr>
        <w:pStyle w:val="Heading2"/>
        <w:spacing w:after="120" w:before="260"/>
      </w:pPr>
      <w:r>
        <w:t xml:space="preserve">4.4 Checks in the preview</w:t>
      </w:r>
    </w:p>
    <w:p>
      <w:pPr>
        <w:pStyle w:val="ListParagraph"/>
        <w:numPr>
          <w:ilvl w:val="0"/>
          <w:numId w:val="3"/>
        </w:numPr>
        <w:spacing w:after="100"/>
      </w:pPr>
      <w:r>
        <w:rPr>
          <w:sz w:val="21"/>
          <w:szCs w:val="21"/>
        </w:rPr>
        <w:t xml:space="preserve">Filter 01.09.2025–30.09.2025, fiscal year 2025, Go. Card 1: two lines, x-axis labelled 2025-09-01 … 2025-09-30, BE Target flat.</w:t>
      </w:r>
    </w:p>
    <w:p>
      <w:pPr>
        <w:pStyle w:val="ListParagraph"/>
        <w:numPr>
          <w:ilvl w:val="0"/>
          <w:numId w:val="3"/>
        </w:numPr>
        <w:spacing w:after="100"/>
      </w:pPr>
      <w:r>
        <w:rPr>
          <w:sz w:val="21"/>
          <w:szCs w:val="21"/>
        </w:rPr>
        <w:t xml:space="preserve">Card 2 shows two rows (YTD Oil, YTD Gas) with a green/orange/red % cell; card 3 shows the two Annual rows with BE target values.</w:t>
      </w:r>
    </w:p>
    <w:p>
      <w:pPr>
        <w:pStyle w:val="ListParagraph"/>
        <w:numPr>
          <w:ilvl w:val="0"/>
          <w:numId w:val="3"/>
        </w:numPr>
        <w:spacing w:after="100"/>
      </w:pPr>
      <w:r>
        <w:rPr>
          <w:sz w:val="21"/>
          <w:szCs w:val="21"/>
        </w:rPr>
        <w:t xml:space="preserve">Widen card 2 by one column: the BE Target column appears (fourth line item).</w:t>
      </w:r>
    </w:p>
    <w:p>
      <w:pPr>
        <w:pStyle w:val="ListParagraph"/>
        <w:numPr>
          <w:ilvl w:val="0"/>
          <w:numId w:val="3"/>
        </w:numPr>
        <w:spacing w:after="100"/>
      </w:pPr>
      <w:r>
        <w:rPr>
          <w:sz w:val="21"/>
          <w:szCs w:val="21"/>
        </w:rPr>
        <w:t xml:space="preserve">Click a card header: the target app (Analytical List Page of the query, if deployed) opens with the same filter values.</w:t>
      </w:r>
    </w:p>
    <w:p>
      <w:r>
        <w:br w:type="page"/>
      </w:r>
    </w:p>
    <w:p>
      <w:pPr>
        <w:pStyle w:val="Heading1"/>
        <w:spacing w:after="160" w:before="320"/>
      </w:pPr>
      <w:r>
        <w:t xml:space="preserve">5. If the standard cards are not enough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3400"/>
        <w:gridCol w:w="3360"/>
      </w:tblGrid>
      <w:tr>
        <w:trPr>
          <w:tblHeader/>
        </w:trPr>
        <w:tc>
          <w:tcPr>
            <w:tcW w:type="dxa" w:w="2600"/>
            <w:shd w:fill="1F4E79" w:val="clear"/>
            <w:tcMar>
              <w:top w:type="dxa" w:w="70"/>
              <w:left w:type="dxa" w:w="110"/>
              <w:bottom w:type="dxa" w:w="70"/>
              <w:right w:type="dxa" w:w="110"/>
            </w:tcMar>
          </w:tcPr>
          <w:p>
            <w:pPr>
              <w:spacing w:after="0"/>
            </w:pPr>
            <w:r>
              <w:rPr>
                <w:b/>
                <w:bCs/>
                <w:color w:val="FFFFFF"/>
                <w:sz w:val="19"/>
                <w:szCs w:val="19"/>
              </w:rPr>
              <w:t xml:space="preserve">Option</w:t>
            </w:r>
          </w:p>
        </w:tc>
        <w:tc>
          <w:tcPr>
            <w:tcW w:type="dxa" w:w="3400"/>
            <w:shd w:fill="1F4E79" w:val="clear"/>
            <w:tcMar>
              <w:top w:type="dxa" w:w="70"/>
              <w:left w:type="dxa" w:w="110"/>
              <w:bottom w:type="dxa" w:w="70"/>
              <w:right w:type="dxa" w:w="110"/>
            </w:tcMar>
          </w:tcPr>
          <w:p>
            <w:pPr>
              <w:spacing w:after="0"/>
            </w:pPr>
            <w:r>
              <w:rPr>
                <w:b/>
                <w:bCs/>
                <w:color w:val="FFFFFF"/>
                <w:sz w:val="19"/>
                <w:szCs w:val="19"/>
              </w:rPr>
              <w:t xml:space="preserve">What it gives</w:t>
            </w:r>
          </w:p>
        </w:tc>
        <w:tc>
          <w:tcPr>
            <w:tcW w:type="dxa" w:w="3360"/>
            <w:shd w:fill="1F4E79" w:val="clear"/>
            <w:tcMar>
              <w:top w:type="dxa" w:w="70"/>
              <w:left w:type="dxa" w:w="110"/>
              <w:bottom w:type="dxa" w:w="70"/>
              <w:right w:type="dxa" w:w="110"/>
            </w:tcMar>
          </w:tcPr>
          <w:p>
            <w:pPr>
              <w:spacing w:after="0"/>
            </w:pPr>
            <w:r>
              <w:rPr>
                <w:b/>
                <w:bCs/>
                <w:color w:val="FFFFFF"/>
                <w:sz w:val="19"/>
                <w:szCs w:val="19"/>
              </w:rPr>
              <w:t xml:space="preserve">Effort / remark</w:t>
            </w:r>
          </w:p>
        </w:tc>
      </w:tr>
      <w:tr>
        <w:tc>
          <w:tcPr>
            <w:tcW w:type="dxa" w:w="2600"/>
            <w:shd w:fill="FFFFFF" w:val="clear"/>
            <w:tcMar>
              <w:top w:type="dxa" w:w="70"/>
              <w:left w:type="dxa" w:w="110"/>
              <w:bottom w:type="dxa" w:w="70"/>
              <w:right w:type="dxa" w:w="110"/>
            </w:tcMar>
          </w:tcPr>
          <w:p>
            <w:pPr>
              <w:spacing w:after="0"/>
            </w:pPr>
            <w:r>
              <w:rPr>
                <w:b w:val="false"/>
                <w:bCs w:val="false"/>
                <w:sz w:val="19"/>
                <w:szCs w:val="19"/>
              </w:rPr>
              <w:t xml:space="preserve">A. Overview Page with standard cards (this document)</w:t>
            </w:r>
          </w:p>
        </w:tc>
        <w:tc>
          <w:tcPr>
            <w:tcW w:type="dxa" w:w="3400"/>
            <w:shd w:fill="FFFFFF" w:val="clear"/>
            <w:tcMar>
              <w:top w:type="dxa" w:w="70"/>
              <w:left w:type="dxa" w:w="110"/>
              <w:bottom w:type="dxa" w:w="70"/>
              <w:right w:type="dxa" w:w="110"/>
            </w:tcMar>
          </w:tcPr>
          <w:p>
            <w:pPr>
              <w:spacing w:after="0"/>
            </w:pPr>
            <w:r>
              <w:rPr>
                <w:b w:val="false"/>
                <w:bCs w:val="false"/>
                <w:sz w:val="19"/>
                <w:szCs w:val="19"/>
              </w:rPr>
              <w:t xml:space="preserve">One tile, one filter bar, small standard cards, drill-down to the target apps</w:t>
            </w:r>
          </w:p>
        </w:tc>
        <w:tc>
          <w:tcPr>
            <w:tcW w:type="dxa" w:w="3360"/>
            <w:shd w:fill="FFFFFF" w:val="clear"/>
            <w:tcMar>
              <w:top w:type="dxa" w:w="70"/>
              <w:left w:type="dxa" w:w="110"/>
              <w:bottom w:type="dxa" w:w="70"/>
              <w:right w:type="dxa" w:w="110"/>
            </w:tcMar>
          </w:tcPr>
          <w:p>
            <w:pPr>
              <w:spacing w:after="0"/>
            </w:pPr>
            <w:r>
              <w:rPr>
                <w:b w:val="false"/>
                <w:bCs w:val="false"/>
                <w:sz w:val="19"/>
                <w:szCs w:val="19"/>
              </w:rPr>
              <w:t xml:space="preserve">No UI5 coding; annotations and manifest only. Recommended first version.</w:t>
            </w:r>
          </w:p>
        </w:tc>
      </w:tr>
      <w:tr>
        <w:tc>
          <w:tcPr>
            <w:tcW w:type="dxa" w:w="2600"/>
            <w:shd w:fill="F2F2F2" w:val="clear"/>
            <w:tcMar>
              <w:top w:type="dxa" w:w="70"/>
              <w:left w:type="dxa" w:w="110"/>
              <w:bottom w:type="dxa" w:w="70"/>
              <w:right w:type="dxa" w:w="110"/>
            </w:tcMar>
          </w:tcPr>
          <w:p>
            <w:pPr>
              <w:spacing w:after="0"/>
            </w:pPr>
            <w:r>
              <w:rPr>
                <w:b w:val="false"/>
                <w:bCs w:val="false"/>
                <w:sz w:val="19"/>
                <w:szCs w:val="19"/>
              </w:rPr>
              <w:t xml:space="preserve">B. Custom card in the Overview Page</w:t>
            </w:r>
          </w:p>
        </w:tc>
        <w:tc>
          <w:tcPr>
            <w:tcW w:type="dxa" w:w="3400"/>
            <w:shd w:fill="F2F2F2" w:val="clear"/>
            <w:tcMar>
              <w:top w:type="dxa" w:w="70"/>
              <w:left w:type="dxa" w:w="110"/>
              <w:bottom w:type="dxa" w:w="70"/>
              <w:right w:type="dxa" w:w="110"/>
            </w:tcMar>
          </w:tcPr>
          <w:p>
            <w:pPr>
              <w:spacing w:after="0"/>
            </w:pPr>
            <w:r>
              <w:rPr>
                <w:b w:val="false"/>
                <w:bCs w:val="false"/>
                <w:sz w:val="19"/>
                <w:szCs w:val="19"/>
              </w:rPr>
              <w:t xml:space="preserve">A card with its own XML view: the Excel-like performance table with all columns, a large chart with chosen colours</w:t>
            </w:r>
          </w:p>
        </w:tc>
        <w:tc>
          <w:tcPr>
            <w:tcW w:type="dxa" w:w="3360"/>
            <w:shd w:fill="F2F2F2" w:val="clear"/>
            <w:tcMar>
              <w:top w:type="dxa" w:w="70"/>
              <w:left w:type="dxa" w:w="110"/>
              <w:bottom w:type="dxa" w:w="70"/>
              <w:right w:type="dxa" w:w="110"/>
            </w:tcMar>
          </w:tcPr>
          <w:p>
            <w:pPr>
              <w:spacing w:after="0"/>
            </w:pPr>
            <w:r>
              <w:rPr>
                <w:b w:val="false"/>
                <w:bCs w:val="false"/>
                <w:sz w:val="19"/>
                <w:szCs w:val="19"/>
              </w:rPr>
              <w:t xml:space="preserve">UI5 development (sap.ovp custom card: component + view + controller). Keeps the single tile and the global filter.</w:t>
            </w:r>
          </w:p>
        </w:tc>
      </w:tr>
      <w:tr>
        <w:tc>
          <w:tcPr>
            <w:tcW w:type="dxa" w:w="2600"/>
            <w:shd w:fill="FFFFFF" w:val="clear"/>
            <w:tcMar>
              <w:top w:type="dxa" w:w="70"/>
              <w:left w:type="dxa" w:w="110"/>
              <w:bottom w:type="dxa" w:w="70"/>
              <w:right w:type="dxa" w:w="110"/>
            </w:tcMar>
          </w:tcPr>
          <w:p>
            <w:pPr>
              <w:spacing w:after="0"/>
            </w:pPr>
            <w:r>
              <w:rPr>
                <w:b w:val="false"/>
                <w:bCs w:val="false"/>
                <w:sz w:val="19"/>
                <w:szCs w:val="19"/>
              </w:rPr>
              <w:t xml:space="preserve">C. Analytical List Page for the graph</w:t>
            </w:r>
          </w:p>
        </w:tc>
        <w:tc>
          <w:tcPr>
            <w:tcW w:type="dxa" w:w="3400"/>
            <w:shd w:fill="FFFFFF" w:val="clear"/>
            <w:tcMar>
              <w:top w:type="dxa" w:w="70"/>
              <w:left w:type="dxa" w:w="110"/>
              <w:bottom w:type="dxa" w:w="70"/>
              <w:right w:type="dxa" w:w="110"/>
            </w:tcMar>
          </w:tcPr>
          <w:p>
            <w:pPr>
              <w:spacing w:after="0"/>
            </w:pPr>
            <w:r>
              <w:rPr>
                <w:b w:val="false"/>
                <w:bCs w:val="false"/>
                <w:sz w:val="19"/>
                <w:szCs w:val="19"/>
              </w:rPr>
              <w:t xml:space="preserve">Large chart plus table on one screen with a filter bar, table with all columns</w:t>
            </w:r>
          </w:p>
        </w:tc>
        <w:tc>
          <w:tcPr>
            <w:tcW w:type="dxa" w:w="3360"/>
            <w:shd w:fill="FFFFFF" w:val="clear"/>
            <w:tcMar>
              <w:top w:type="dxa" w:w="70"/>
              <w:left w:type="dxa" w:w="110"/>
              <w:bottom w:type="dxa" w:w="70"/>
              <w:right w:type="dxa" w:w="110"/>
            </w:tcMar>
          </w:tcPr>
          <w:p>
            <w:pPr>
              <w:spacing w:after="0"/>
            </w:pPr>
            <w:r>
              <w:rPr>
                <w:b w:val="false"/>
                <w:bCs w:val="false"/>
                <w:sz w:val="19"/>
                <w:szCs w:val="19"/>
              </w:rPr>
              <w:t xml:space="preserve">No coding, but it is one app per query; the other views become separate tiles.</w:t>
            </w:r>
          </w:p>
        </w:tc>
      </w:tr>
      <w:tr>
        <w:tc>
          <w:tcPr>
            <w:tcW w:type="dxa" w:w="2600"/>
            <w:shd w:fill="F2F2F2" w:val="clear"/>
            <w:tcMar>
              <w:top w:type="dxa" w:w="70"/>
              <w:left w:type="dxa" w:w="110"/>
              <w:bottom w:type="dxa" w:w="70"/>
              <w:right w:type="dxa" w:w="110"/>
            </w:tcMar>
          </w:tcPr>
          <w:p>
            <w:pPr>
              <w:spacing w:after="0"/>
            </w:pPr>
            <w:r>
              <w:rPr>
                <w:b w:val="false"/>
                <w:bCs w:val="false"/>
                <w:sz w:val="19"/>
                <w:szCs w:val="19"/>
              </w:rPr>
              <w:t xml:space="preserve">D. SAP Analytics Cloud story</w:t>
            </w:r>
          </w:p>
        </w:tc>
        <w:tc>
          <w:tcPr>
            <w:tcW w:type="dxa" w:w="3400"/>
            <w:shd w:fill="F2F2F2" w:val="clear"/>
            <w:tcMar>
              <w:top w:type="dxa" w:w="70"/>
              <w:left w:type="dxa" w:w="110"/>
              <w:bottom w:type="dxa" w:w="70"/>
              <w:right w:type="dxa" w:w="110"/>
            </w:tcMar>
          </w:tcPr>
          <w:p>
            <w:pPr>
              <w:spacing w:after="0"/>
            </w:pPr>
            <w:r>
              <w:rPr>
                <w:b w:val="false"/>
                <w:bCs w:val="false"/>
                <w:sz w:val="19"/>
                <w:szCs w:val="19"/>
              </w:rPr>
              <w:t xml:space="preserve">Free layout, colours, KPI tiles, multiple charts per page — closest to the mockup</w:t>
            </w:r>
          </w:p>
        </w:tc>
        <w:tc>
          <w:tcPr>
            <w:tcW w:type="dxa" w:w="3360"/>
            <w:shd w:fill="F2F2F2" w:val="clear"/>
            <w:tcMar>
              <w:top w:type="dxa" w:w="70"/>
              <w:left w:type="dxa" w:w="110"/>
              <w:bottom w:type="dxa" w:w="70"/>
              <w:right w:type="dxa" w:w="110"/>
            </w:tcMar>
          </w:tcPr>
          <w:p>
            <w:pPr>
              <w:spacing w:after="0"/>
            </w:pPr>
            <w:r>
              <w:rPr>
                <w:b w:val="false"/>
                <w:bCs w:val="false"/>
                <w:sz w:val="19"/>
                <w:szCs w:val="19"/>
              </w:rPr>
              <w:t xml:space="preserve">Needs an SAC tenant and a live connection to the CDS queries; users open SAC, not the Fiori tile.</w:t>
            </w:r>
          </w:p>
        </w:tc>
      </w:tr>
      <w:tr>
        <w:tc>
          <w:tcPr>
            <w:tcW w:type="dxa" w:w="2600"/>
            <w:shd w:fill="FFFFFF" w:val="clear"/>
            <w:tcMar>
              <w:top w:type="dxa" w:w="70"/>
              <w:left w:type="dxa" w:w="110"/>
              <w:bottom w:type="dxa" w:w="70"/>
              <w:right w:type="dxa" w:w="110"/>
            </w:tcMar>
          </w:tcPr>
          <w:p>
            <w:pPr>
              <w:spacing w:after="0"/>
            </w:pPr>
            <w:r>
              <w:rPr>
                <w:b w:val="false"/>
                <w:bCs w:val="false"/>
                <w:sz w:val="19"/>
                <w:szCs w:val="19"/>
              </w:rPr>
              <w:t xml:space="preserve">E. Freestyle SAPUI5 app</w:t>
            </w:r>
          </w:p>
        </w:tc>
        <w:tc>
          <w:tcPr>
            <w:tcW w:type="dxa" w:w="3400"/>
            <w:shd w:fill="FFFFFF" w:val="clear"/>
            <w:tcMar>
              <w:top w:type="dxa" w:w="70"/>
              <w:left w:type="dxa" w:w="110"/>
              <w:bottom w:type="dxa" w:w="70"/>
              <w:right w:type="dxa" w:w="110"/>
            </w:tcMar>
          </w:tcPr>
          <w:p>
            <w:pPr>
              <w:spacing w:after="0"/>
            </w:pPr>
            <w:r>
              <w:rPr>
                <w:b w:val="false"/>
                <w:bCs w:val="false"/>
                <w:sz w:val="19"/>
                <w:szCs w:val="19"/>
              </w:rPr>
              <w:t xml:space="preserve">Anything</w:t>
            </w:r>
          </w:p>
        </w:tc>
        <w:tc>
          <w:tcPr>
            <w:tcW w:type="dxa" w:w="3360"/>
            <w:shd w:fill="FFFFFF" w:val="clear"/>
            <w:tcMar>
              <w:top w:type="dxa" w:w="70"/>
              <w:left w:type="dxa" w:w="110"/>
              <w:bottom w:type="dxa" w:w="70"/>
              <w:right w:type="dxa" w:w="110"/>
            </w:tcMar>
          </w:tcPr>
          <w:p>
            <w:pPr>
              <w:spacing w:after="0"/>
            </w:pPr>
            <w:r>
              <w:rPr>
                <w:b w:val="false"/>
                <w:bCs w:val="false"/>
                <w:sz w:val="19"/>
                <w:szCs w:val="19"/>
              </w:rPr>
              <w:t xml:space="preserve">Full development and maintenance; not recommended for this scope.</w:t>
            </w:r>
          </w:p>
        </w:tc>
      </w:tr>
    </w:tbl>
    <w:p>
      <w:pPr>
        <w:spacing w:after="140"/>
      </w:pPr>
    </w:p>
    <w:p>
      <w:pPr>
        <w:spacing w:after="120"/>
      </w:pPr>
      <w:r>
        <w:rPr>
          <w:b w:val="false"/>
          <w:bCs w:val="false"/>
          <w:i w:val="false"/>
          <w:iCs w:val="false"/>
          <w:sz w:val="21"/>
          <w:szCs w:val="21"/>
        </w:rPr>
        <w:t xml:space="preserve">Recommendation: deliver A now, and if the performance table must look exactly like the Excel, add a single custom card (B) for that table later. Everything in the back end stays as it is.</w:t>
      </w:r>
    </w:p>
    <w:sectPr>
      <w:footerReference w:type="default" r:id="rId7"/>
      <w:pgSz w:w="11906" w:h="16838" w:orient="portrait"/>
      <w:pgMar w:top="1200" w:right="1300" w:bottom="1200" w:left="13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08080"/>
        <w:sz w:val="16"/>
        <w:szCs w:val="16"/>
      </w:rPr>
      <w:t xml:space="preserve">ONGC Videsh — DPR Analytical RAP — Fiori Overview Page limits and layout — page </w:t>
    </w:r>
    <w:r>
      <w:rPr>
        <w:color w:val="808080"/>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abstractNum w:abstractNumId="3" w15:restartNumberingAfterBreak="0">
    <w:multiLevelType w:val="hybridMultilevel"/>
    <w:lvl w:ilvl="0" w15:tentative="1">
      <w:start w:val="1"/>
      <w:numFmt w:val="decimal"/>
      <w:lvlText w:val="%1."/>
      <w:lvlJc w:val="left"/>
      <w:pPr>
        <w:ind w:left="540" w:hanging="30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p2l7ftuqnbbprzpojutda" Type="http://schemas.openxmlformats.org/officeDocument/2006/relationships/hyperlink" Target="https://www.sap.com/design-system/fiori-design-web/v1-84/page-types/floorplans/overview-page-ovp/cards/overview-page-table-card" TargetMode="External"/><Relationship Id="rIdh5ylfgcqbmenloqjg3mua" Type="http://schemas.openxmlformats.org/officeDocument/2006/relationships/hyperlink" Target="https://www.sap.com/design-system/fiori-design-web/v1-84/page-types/floorplans/overview-page-ovp/resizable-card-layout-overview-page/usage" TargetMode="External"/><Relationship Id="rIdndwjbdoc1elkxcho_adrg" Type="http://schemas.openxmlformats.org/officeDocument/2006/relationships/hyperlink" Target="https://www.sap.com/design-system/fiori-design-web/v1-84/page-types/floorplans/overview-page-ovp/overview-page-fixed-card-layout/usage" TargetMode="External"/><Relationship Id="rIdlbimsuluvpjboss1pidzk" Type="http://schemas.openxmlformats.org/officeDocument/2006/relationships/hyperlink" Target="https://www.sap.com/design-system/fiori-design-web/v1-71/ui-elements/analytical-card/usage" TargetMode="External"/><Relationship Id="rId4hz_noov4hgciswmrvexx" Type="http://schemas.openxmlformats.org/officeDocument/2006/relationships/hyperlink" Target="https://github.com/SAP-docs/sapui5/blob/main/docs/06_SAP_Fiori_Elements/overview-page-card-74332d5.md" TargetMode="External"/><Relationship Id="rIdimhyb3upsi47d1pus98sg" Type="http://schemas.openxmlformats.org/officeDocument/2006/relationships/hyperlink" Target="https://community.sap.com/t5/technology-blog-posts-by-sap/sap-fiori-overview-page-table-cards-in-detail/ba-p/13381313" TargetMode="External"/><Relationship Id="rIdasoiewuohxplthrfxjlyo" Type="http://schemas.openxmlformats.org/officeDocument/2006/relationships/hyperlink" Target="https://community.sap.com/t5/technology-blog-posts-by-sap/basics-of-fiori-elements-annotations-for-analytical-cards-on-overview-page/ba-p/13439808" TargetMode="External"/><Relationship Id="rIdz-dnr7bnghwbwnl68ky9j" Type="http://schemas.openxmlformats.org/officeDocument/2006/relationships/hyperlink" Target="https://blogs.sap.com/2018/01/24/sap-fiori-elements-overview-page-kpi-header/" TargetMode="External"/><Relationship Id="rId8" Type="http://schemas.openxmlformats.org/officeDocument/2006/relationships/image" Target="media/121aa1ee99d360d95655ba0b74d29f5f5de7ff6c.png"/><Relationship Id="rId1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2026-09-16T08:12:58.082Z</dcterms:created>
  <dcterms:modified xsi:type="dcterms:W3CDTF">2026-09-16T08:12:58.082Z</dcterms:modified>
</cp:coreProperties>
</file>

<file path=docProps/custom.xml><?xml version="1.0" encoding="utf-8"?>
<Properties xmlns="http://schemas.openxmlformats.org/officeDocument/2006/custom-properties" xmlns:vt="http://schemas.openxmlformats.org/officeDocument/2006/docPropsVTypes"/>
</file>