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F4E79"/>
          <w:sz w:val="44"/>
          <w:szCs w:val="44"/>
        </w:rPr>
        <w:t xml:space="preserve">ONGC Videsh — DPR Analytical RAP</w:t>
      </w:r>
    </w:p>
    <w:p>
      <w:pPr>
        <w:spacing w:before="160"/>
        <w:jc w:val="center"/>
      </w:pPr>
      <w:r>
        <w:rPr>
          <w:b/>
          <w:bCs/>
          <w:color w:val="404040"/>
          <w:sz w:val="32"/>
          <w:szCs w:val="32"/>
        </w:rPr>
        <w:t xml:space="preserve">One Dashboard: the DPR Overview Page</w:t>
      </w:r>
    </w:p>
    <w:p>
      <w:pPr>
        <w:spacing w:before="500"/>
        <w:jc w:val="center"/>
      </w:pPr>
      <w:r>
        <w:rPr>
          <w:i/>
          <w:iCs/>
          <w:color w:val="606060"/>
          <w:sz w:val="22"/>
          <w:szCs w:val="22"/>
        </w:rPr>
        <w:t xml:space="preserve">A single Fiori tile showing the graph, the performance table and the detail cards together</w:t>
      </w:r>
    </w:p>
    <w:p>
      <w:r>
        <w:br w:type="page"/>
      </w:r>
    </w:p>
    <w:p>
      <w:pPr>
        <w:pStyle w:val="Heading1"/>
        <w:spacing w:after="160" w:before="32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Why an Overview Page</w:t>
      </w:r>
    </w:p>
    <w:p>
      <w:pPr>
        <w:spacing w:after="120"/>
      </w:pPr>
      <w:r>
        <w:rPr>
          <w:b w:val="false"/>
          <w:bCs w:val="false"/>
          <w:i w:val="false"/>
          <w:iCs w:val="false"/>
          <w:sz w:val="21"/>
          <w:szCs w:val="21"/>
        </w:rPr>
        <w:t xml:space="preserve">The requirement is one dashboard, not four separate applications. In SAP Fiori elements the floorplan built for exactly this is the Overview Page (OVP): a single application, opened from a single tile, that shows several cards side by side. Each card is bound to its own OData entity set — so the tab-2 graph, the tab-3 performance table, the daily trend and the target-vs-actual view all live on one page, filtered together by one global filter bar at the top.</w:t>
      </w:r>
    </w:p>
    <w:p>
      <w:pPr>
        <w:spacing w:after="120"/>
      </w:pPr>
      <w:r>
        <w:rPr>
          <w:b w:val="false"/>
          <w:bCs w:val="false"/>
          <w:i w:val="false"/>
          <w:iCs w:val="false"/>
          <w:sz w:val="21"/>
          <w:szCs w:val="21"/>
        </w:rPr>
        <w:t xml:space="preserve">Nothing in the backend logic changes for this. The same analytical queries that were built for the individual apps become the cards of the Overview Page. One backend adjustment was required: the Production Performance query (ZDPR_Q_PROD_PERF) is now also published as an OData V2 service, because an Overview Page works on one protocol and the other queries are on OData V2.</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2EFDA" w:val="clear"/>
            <w:tcMar>
              <w:top w:type="dxa" w:w="100"/>
              <w:left w:type="dxa" w:w="140"/>
              <w:bottom w:type="dxa" w:w="100"/>
              <w:right w:type="dxa" w:w="140"/>
            </w:tcMar>
          </w:tcPr>
          <w:p>
            <w:pPr>
              <w:spacing w:after="0"/>
            </w:pPr>
            <w:r>
              <w:rPr>
                <w:b/>
                <w:bCs/>
                <w:sz w:val="21"/>
                <w:szCs w:val="21"/>
              </w:rPr>
              <w:t xml:space="preserve">What the user sees:  </w:t>
            </w:r>
            <w:r>
              <w:rPr>
                <w:sz w:val="21"/>
                <w:szCs w:val="21"/>
              </w:rPr>
              <w:t xml:space="preserve">One tile “DPR Production Dashboard”. Opening it shows a filter bar (production date range, fiscal year, target code) and, below it, cards: the Actual-vs-BE-Target line chart, the Production Performance table with % achievement, a daily trend chart, a target-vs-actual bar chart, and KPI tiles for the headline figures. Clicking a card can navigate to the detailed Analytical List Page of that query if those apps are also deployed.</w:t>
            </w:r>
          </w:p>
        </w:tc>
      </w:tr>
    </w:tbl>
    <w:p>
      <w:r>
        <w:br w:type="page"/>
      </w:r>
    </w:p>
    <w:p>
      <w:pPr>
        <w:pStyle w:val="Heading1"/>
        <w:spacing w:after="160" w:before="320"/>
      </w:pPr>
      <w:r>
        <w:t xml:space="preserve">2. Dashboard Design</w:t>
      </w:r>
    </w:p>
    <w:p>
      <w:pPr>
        <w:pStyle w:val="Heading2"/>
        <w:spacing w:after="120" w:before="260"/>
      </w:pPr>
      <w:r>
        <w:t xml:space="preserve">2.1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900"/>
        <w:gridCol w:w="2800"/>
        <w:gridCol w:w="2260"/>
      </w:tblGrid>
      <w:tr>
        <w:trPr>
          <w:tblHeader/>
        </w:trPr>
        <w:tc>
          <w:tcPr>
            <w:tcW w:type="dxa" w:w="400"/>
            <w:shd w:fill="1F4E79" w:val="clear"/>
            <w:tcMar>
              <w:top w:type="dxa" w:w="70"/>
              <w:left w:type="dxa" w:w="110"/>
              <w:bottom w:type="dxa" w:w="70"/>
              <w:right w:type="dxa" w:w="110"/>
            </w:tcMar>
          </w:tcPr>
          <w:p>
            <w:pPr>
              <w:spacing w:after="0"/>
            </w:pPr>
            <w:r>
              <w:rPr>
                <w:b/>
                <w:bCs/>
                <w:color w:val="FFFFFF"/>
                <w:sz w:val="19"/>
                <w:szCs w:val="19"/>
              </w:rPr>
              <w:t xml:space="preserve">#</w:t>
            </w:r>
          </w:p>
        </w:tc>
        <w:tc>
          <w:tcPr>
            <w:tcW w:type="dxa" w:w="2000"/>
            <w:shd w:fill="1F4E79" w:val="clear"/>
            <w:tcMar>
              <w:top w:type="dxa" w:w="70"/>
              <w:left w:type="dxa" w:w="110"/>
              <w:bottom w:type="dxa" w:w="70"/>
              <w:right w:type="dxa" w:w="110"/>
            </w:tcMar>
          </w:tcPr>
          <w:p>
            <w:pPr>
              <w:spacing w:after="0"/>
            </w:pPr>
            <w:r>
              <w:rPr>
                <w:b/>
                <w:bCs/>
                <w:color w:val="FFFFFF"/>
                <w:sz w:val="19"/>
                <w:szCs w:val="19"/>
              </w:rPr>
              <w:t xml:space="preserve">Card</w:t>
            </w:r>
          </w:p>
        </w:tc>
        <w:tc>
          <w:tcPr>
            <w:tcW w:type="dxa" w:w="1900"/>
            <w:shd w:fill="1F4E79" w:val="clear"/>
            <w:tcMar>
              <w:top w:type="dxa" w:w="70"/>
              <w:left w:type="dxa" w:w="110"/>
              <w:bottom w:type="dxa" w:w="70"/>
              <w:right w:type="dxa" w:w="110"/>
            </w:tcMar>
          </w:tcPr>
          <w:p>
            <w:pPr>
              <w:spacing w:after="0"/>
            </w:pPr>
            <w:r>
              <w:rPr>
                <w:b/>
                <w:bCs/>
                <w:color w:val="FFFFFF"/>
                <w:sz w:val="19"/>
                <w:szCs w:val="19"/>
              </w:rPr>
              <w:t xml:space="preserve">Card type</w:t>
            </w:r>
          </w:p>
        </w:tc>
        <w:tc>
          <w:tcPr>
            <w:tcW w:type="dxa" w:w="2800"/>
            <w:shd w:fill="1F4E79" w:val="clear"/>
            <w:tcMar>
              <w:top w:type="dxa" w:w="70"/>
              <w:left w:type="dxa" w:w="110"/>
              <w:bottom w:type="dxa" w:w="70"/>
              <w:right w:type="dxa" w:w="110"/>
            </w:tcMar>
          </w:tcPr>
          <w:p>
            <w:pPr>
              <w:spacing w:after="0"/>
            </w:pPr>
            <w:r>
              <w:rPr>
                <w:b/>
                <w:bCs/>
                <w:color w:val="FFFFFF"/>
                <w:sz w:val="19"/>
                <w:szCs w:val="19"/>
              </w:rPr>
              <w:t xml:space="preserve">Service / entity set</w:t>
            </w:r>
          </w:p>
        </w:tc>
        <w:tc>
          <w:tcPr>
            <w:tcW w:type="dxa" w:w="2260"/>
            <w:shd w:fill="1F4E79" w:val="clear"/>
            <w:tcMar>
              <w:top w:type="dxa" w:w="70"/>
              <w:left w:type="dxa" w:w="110"/>
              <w:bottom w:type="dxa" w:w="70"/>
              <w:right w:type="dxa" w:w="110"/>
            </w:tcMar>
          </w:tcPr>
          <w:p>
            <w:pPr>
              <w:spacing w:after="0"/>
            </w:pPr>
            <w:r>
              <w:rPr>
                <w:b/>
                <w:bCs/>
                <w:color w:val="FFFFFF"/>
                <w:sz w:val="19"/>
                <w:szCs w:val="19"/>
              </w:rPr>
              <w:t xml:space="preserve">Content</w:t>
            </w:r>
          </w:p>
        </w:tc>
      </w:tr>
      <w:tr>
        <w:tc>
          <w:tcPr>
            <w:tcW w:type="dxa" w:w="400"/>
            <w:shd w:fill="FFFFFF" w:val="clear"/>
            <w:tcMar>
              <w:top w:type="dxa" w:w="70"/>
              <w:left w:type="dxa" w:w="110"/>
              <w:bottom w:type="dxa" w:w="70"/>
              <w:right w:type="dxa" w:w="110"/>
            </w:tcMar>
          </w:tcPr>
          <w:p>
            <w:pPr>
              <w:spacing w:after="0"/>
            </w:pPr>
            <w:r>
              <w:rPr>
                <w:b w:val="false"/>
                <w:bCs w:val="false"/>
                <w:sz w:val="19"/>
                <w:szCs w:val="19"/>
              </w:rPr>
              <w:t xml:space="preserve">1</w:t>
            </w:r>
          </w:p>
        </w:tc>
        <w:tc>
          <w:tcPr>
            <w:tcW w:type="dxa" w:w="2000"/>
            <w:shd w:fill="FFFFFF" w:val="clear"/>
            <w:tcMar>
              <w:top w:type="dxa" w:w="70"/>
              <w:left w:type="dxa" w:w="110"/>
              <w:bottom w:type="dxa" w:w="70"/>
              <w:right w:type="dxa" w:w="110"/>
            </w:tcMar>
          </w:tcPr>
          <w:p>
            <w:pPr>
              <w:spacing w:after="0"/>
            </w:pPr>
            <w:r>
              <w:rPr>
                <w:b w:val="false"/>
                <w:bCs w:val="false"/>
                <w:sz w:val="19"/>
                <w:szCs w:val="19"/>
              </w:rPr>
              <w:t xml:space="preserve">Actual vs BE Target (BOEPD)</w:t>
            </w:r>
          </w:p>
        </w:tc>
        <w:tc>
          <w:tcPr>
            <w:tcW w:type="dxa" w:w="1900"/>
            <w:shd w:fill="FFFFFF" w:val="clear"/>
            <w:tcMar>
              <w:top w:type="dxa" w:w="70"/>
              <w:left w:type="dxa" w:w="110"/>
              <w:bottom w:type="dxa" w:w="70"/>
              <w:right w:type="dxa" w:w="110"/>
            </w:tcMar>
          </w:tcPr>
          <w:p>
            <w:pPr>
              <w:spacing w:after="0"/>
            </w:pPr>
            <w:r>
              <w:rPr>
                <w:b w:val="false"/>
                <w:bCs w:val="false"/>
                <w:sz w:val="19"/>
                <w:szCs w:val="19"/>
              </w:rPr>
              <w:t xml:space="preserve">Analytical card — line chart</w:t>
            </w:r>
          </w:p>
        </w:tc>
        <w:tc>
          <w:tcPr>
            <w:tcW w:type="dxa" w:w="2800"/>
            <w:shd w:fill="FFFFFF" w:val="clear"/>
            <w:tcMar>
              <w:top w:type="dxa" w:w="70"/>
              <w:left w:type="dxa" w:w="110"/>
              <w:bottom w:type="dxa" w:w="70"/>
              <w:right w:type="dxa" w:w="110"/>
            </w:tcMar>
          </w:tcPr>
          <w:p>
            <w:pPr>
              <w:spacing w:after="0"/>
            </w:pPr>
            <w:r>
              <w:rPr>
                <w:b w:val="false"/>
                <w:bCs w:val="false"/>
                <w:sz w:val="19"/>
                <w:szCs w:val="19"/>
              </w:rPr>
              <w:t xml:space="preserve">ZDPR_Q_BOEPD_TREND_CDS / ZDPR_Q_BOEPD_TRENDResults</w:t>
            </w:r>
          </w:p>
        </w:tc>
        <w:tc>
          <w:tcPr>
            <w:tcW w:type="dxa" w:w="2260"/>
            <w:shd w:fill="FFFFFF" w:val="clear"/>
            <w:tcMar>
              <w:top w:type="dxa" w:w="70"/>
              <w:left w:type="dxa" w:w="110"/>
              <w:bottom w:type="dxa" w:w="70"/>
              <w:right w:type="dxa" w:w="110"/>
            </w:tcMar>
          </w:tcPr>
          <w:p>
            <w:pPr>
              <w:spacing w:after="0"/>
            </w:pPr>
            <w:r>
              <w:rPr>
                <w:b w:val="false"/>
                <w:bCs w:val="false"/>
                <w:sz w:val="19"/>
                <w:szCs w:val="19"/>
              </w:rPr>
              <w:t xml:space="preserve">The Excel tab-2 graph: two lines over production date</w:t>
            </w:r>
          </w:p>
        </w:tc>
      </w:tr>
      <w:tr>
        <w:tc>
          <w:tcPr>
            <w:tcW w:type="dxa" w:w="400"/>
            <w:shd w:fill="F2F2F2" w:val="clear"/>
            <w:tcMar>
              <w:top w:type="dxa" w:w="70"/>
              <w:left w:type="dxa" w:w="110"/>
              <w:bottom w:type="dxa" w:w="70"/>
              <w:right w:type="dxa" w:w="110"/>
            </w:tcMar>
          </w:tcPr>
          <w:p>
            <w:pPr>
              <w:spacing w:after="0"/>
            </w:pPr>
            <w:r>
              <w:rPr>
                <w:b w:val="false"/>
                <w:bCs w:val="false"/>
                <w:sz w:val="19"/>
                <w:szCs w:val="19"/>
              </w:rPr>
              <w:t xml:space="preserve">2</w:t>
            </w:r>
          </w:p>
        </w:tc>
        <w:tc>
          <w:tcPr>
            <w:tcW w:type="dxa" w:w="2000"/>
            <w:shd w:fill="F2F2F2" w:val="clear"/>
            <w:tcMar>
              <w:top w:type="dxa" w:w="70"/>
              <w:left w:type="dxa" w:w="110"/>
              <w:bottom w:type="dxa" w:w="70"/>
              <w:right w:type="dxa" w:w="110"/>
            </w:tcMar>
          </w:tcPr>
          <w:p>
            <w:pPr>
              <w:spacing w:after="0"/>
            </w:pPr>
            <w:r>
              <w:rPr>
                <w:b w:val="false"/>
                <w:bCs w:val="false"/>
                <w:sz w:val="19"/>
                <w:szCs w:val="19"/>
              </w:rPr>
              <w:t xml:space="preserve">Production Performance</w:t>
            </w:r>
          </w:p>
        </w:tc>
        <w:tc>
          <w:tcPr>
            <w:tcW w:type="dxa" w:w="1900"/>
            <w:shd w:fill="F2F2F2" w:val="clear"/>
            <w:tcMar>
              <w:top w:type="dxa" w:w="70"/>
              <w:left w:type="dxa" w:w="110"/>
              <w:bottom w:type="dxa" w:w="70"/>
              <w:right w:type="dxa" w:w="110"/>
            </w:tcMar>
          </w:tcPr>
          <w:p>
            <w:pPr>
              <w:spacing w:after="0"/>
            </w:pPr>
            <w:r>
              <w:rPr>
                <w:b w:val="false"/>
                <w:bCs w:val="false"/>
                <w:sz w:val="19"/>
                <w:szCs w:val="19"/>
              </w:rPr>
              <w:t xml:space="preserve">Table card</w:t>
            </w:r>
          </w:p>
        </w:tc>
        <w:tc>
          <w:tcPr>
            <w:tcW w:type="dxa" w:w="2800"/>
            <w:shd w:fill="F2F2F2" w:val="clear"/>
            <w:tcMar>
              <w:top w:type="dxa" w:w="70"/>
              <w:left w:type="dxa" w:w="110"/>
              <w:bottom w:type="dxa" w:w="70"/>
              <w:right w:type="dxa" w:w="110"/>
            </w:tcMar>
          </w:tcPr>
          <w:p>
            <w:pPr>
              <w:spacing w:after="0"/>
            </w:pPr>
            <w:r>
              <w:rPr>
                <w:b w:val="false"/>
                <w:bCs w:val="false"/>
                <w:sz w:val="19"/>
                <w:szCs w:val="19"/>
              </w:rPr>
              <w:t xml:space="preserve">ZDPR_Q_PROD_PERF_CDS / ZDPR_Q_PROD_PERFResults</w:t>
            </w:r>
          </w:p>
        </w:tc>
        <w:tc>
          <w:tcPr>
            <w:tcW w:type="dxa" w:w="2260"/>
            <w:shd w:fill="F2F2F2" w:val="clear"/>
            <w:tcMar>
              <w:top w:type="dxa" w:w="70"/>
              <w:left w:type="dxa" w:w="110"/>
              <w:bottom w:type="dxa" w:w="70"/>
              <w:right w:type="dxa" w:w="110"/>
            </w:tcMar>
          </w:tcPr>
          <w:p>
            <w:pPr>
              <w:spacing w:after="0"/>
            </w:pPr>
            <w:r>
              <w:rPr>
                <w:b w:val="false"/>
                <w:bCs w:val="false"/>
                <w:sz w:val="19"/>
                <w:szCs w:val="19"/>
              </w:rPr>
              <w:t xml:space="preserve">Excel tab 3: YTD and Annual rows × Oil / Gas with % achievement and colour criticality</w:t>
            </w:r>
          </w:p>
        </w:tc>
      </w:tr>
      <w:tr>
        <w:tc>
          <w:tcPr>
            <w:tcW w:type="dxa" w:w="400"/>
            <w:shd w:fill="FFFFFF" w:val="clear"/>
            <w:tcMar>
              <w:top w:type="dxa" w:w="70"/>
              <w:left w:type="dxa" w:w="110"/>
              <w:bottom w:type="dxa" w:w="70"/>
              <w:right w:type="dxa" w:w="110"/>
            </w:tcMar>
          </w:tcPr>
          <w:p>
            <w:pPr>
              <w:spacing w:after="0"/>
            </w:pPr>
            <w:r>
              <w:rPr>
                <w:b w:val="false"/>
                <w:bCs w:val="false"/>
                <w:sz w:val="19"/>
                <w:szCs w:val="19"/>
              </w:rPr>
              <w:t xml:space="preserve">3</w:t>
            </w:r>
          </w:p>
        </w:tc>
        <w:tc>
          <w:tcPr>
            <w:tcW w:type="dxa" w:w="2000"/>
            <w:shd w:fill="FFFFFF" w:val="clear"/>
            <w:tcMar>
              <w:top w:type="dxa" w:w="70"/>
              <w:left w:type="dxa" w:w="110"/>
              <w:bottom w:type="dxa" w:w="70"/>
              <w:right w:type="dxa" w:w="110"/>
            </w:tcMar>
          </w:tcPr>
          <w:p>
            <w:pPr>
              <w:spacing w:after="0"/>
            </w:pPr>
            <w:r>
              <w:rPr>
                <w:b w:val="false"/>
                <w:bCs w:val="false"/>
                <w:sz w:val="19"/>
                <w:szCs w:val="19"/>
              </w:rPr>
              <w:t xml:space="preserve">Total O+OEG (BOEPD)</w:t>
            </w:r>
          </w:p>
        </w:tc>
        <w:tc>
          <w:tcPr>
            <w:tcW w:type="dxa" w:w="1900"/>
            <w:shd w:fill="FFFFFF" w:val="clear"/>
            <w:tcMar>
              <w:top w:type="dxa" w:w="70"/>
              <w:left w:type="dxa" w:w="110"/>
              <w:bottom w:type="dxa" w:w="70"/>
              <w:right w:type="dxa" w:w="110"/>
            </w:tcMar>
          </w:tcPr>
          <w:p>
            <w:pPr>
              <w:spacing w:after="0"/>
            </w:pPr>
            <w:r>
              <w:rPr>
                <w:b w:val="false"/>
                <w:bCs w:val="false"/>
                <w:sz w:val="19"/>
                <w:szCs w:val="19"/>
              </w:rPr>
              <w:t xml:space="preserve">KPI / analytical card — column</w:t>
            </w:r>
          </w:p>
        </w:tc>
        <w:tc>
          <w:tcPr>
            <w:tcW w:type="dxa" w:w="2800"/>
            <w:shd w:fill="FFFFFF" w:val="clear"/>
            <w:tcMar>
              <w:top w:type="dxa" w:w="70"/>
              <w:left w:type="dxa" w:w="110"/>
              <w:bottom w:type="dxa" w:w="70"/>
              <w:right w:type="dxa" w:w="110"/>
            </w:tcMar>
          </w:tcPr>
          <w:p>
            <w:pPr>
              <w:spacing w:after="0"/>
            </w:pPr>
            <w:r>
              <w:rPr>
                <w:b w:val="false"/>
                <w:bCs w:val="false"/>
                <w:sz w:val="19"/>
                <w:szCs w:val="19"/>
              </w:rPr>
              <w:t xml:space="preserve">ZDPR_Q_PROD_PERF_CDS</w:t>
            </w:r>
          </w:p>
        </w:tc>
        <w:tc>
          <w:tcPr>
            <w:tcW w:type="dxa" w:w="2260"/>
            <w:shd w:fill="FFFFFF" w:val="clear"/>
            <w:tcMar>
              <w:top w:type="dxa" w:w="70"/>
              <w:left w:type="dxa" w:w="110"/>
              <w:bottom w:type="dxa" w:w="70"/>
              <w:right w:type="dxa" w:w="110"/>
            </w:tcMar>
          </w:tcPr>
          <w:p>
            <w:pPr>
              <w:spacing w:after="0"/>
            </w:pPr>
            <w:r>
              <w:rPr>
                <w:b w:val="false"/>
                <w:bCs w:val="false"/>
                <w:sz w:val="19"/>
                <w:szCs w:val="19"/>
              </w:rPr>
              <w:t xml:space="preserve">Headline actual vs target BOEPD</w:t>
            </w:r>
          </w:p>
        </w:tc>
      </w:tr>
      <w:tr>
        <w:tc>
          <w:tcPr>
            <w:tcW w:type="dxa" w:w="400"/>
            <w:shd w:fill="F2F2F2" w:val="clear"/>
            <w:tcMar>
              <w:top w:type="dxa" w:w="70"/>
              <w:left w:type="dxa" w:w="110"/>
              <w:bottom w:type="dxa" w:w="70"/>
              <w:right w:type="dxa" w:w="110"/>
            </w:tcMar>
          </w:tcPr>
          <w:p>
            <w:pPr>
              <w:spacing w:after="0"/>
            </w:pPr>
            <w:r>
              <w:rPr>
                <w:b w:val="false"/>
                <w:bCs w:val="false"/>
                <w:sz w:val="19"/>
                <w:szCs w:val="19"/>
              </w:rPr>
              <w:t xml:space="preserve">4</w:t>
            </w:r>
          </w:p>
        </w:tc>
        <w:tc>
          <w:tcPr>
            <w:tcW w:type="dxa" w:w="2000"/>
            <w:shd w:fill="F2F2F2" w:val="clear"/>
            <w:tcMar>
              <w:top w:type="dxa" w:w="70"/>
              <w:left w:type="dxa" w:w="110"/>
              <w:bottom w:type="dxa" w:w="70"/>
              <w:right w:type="dxa" w:w="110"/>
            </w:tcMar>
          </w:tcPr>
          <w:p>
            <w:pPr>
              <w:spacing w:after="0"/>
            </w:pPr>
            <w:r>
              <w:rPr>
                <w:b w:val="false"/>
                <w:bCs w:val="false"/>
                <w:sz w:val="19"/>
                <w:szCs w:val="19"/>
              </w:rPr>
              <w:t xml:space="preserve">Daily Production Trend</w:t>
            </w:r>
          </w:p>
        </w:tc>
        <w:tc>
          <w:tcPr>
            <w:tcW w:type="dxa" w:w="1900"/>
            <w:shd w:fill="F2F2F2" w:val="clear"/>
            <w:tcMar>
              <w:top w:type="dxa" w:w="70"/>
              <w:left w:type="dxa" w:w="110"/>
              <w:bottom w:type="dxa" w:w="70"/>
              <w:right w:type="dxa" w:w="110"/>
            </w:tcMar>
          </w:tcPr>
          <w:p>
            <w:pPr>
              <w:spacing w:after="0"/>
            </w:pPr>
            <w:r>
              <w:rPr>
                <w:b w:val="false"/>
                <w:bCs w:val="false"/>
                <w:sz w:val="19"/>
                <w:szCs w:val="19"/>
              </w:rPr>
              <w:t xml:space="preserve">Analytical card — line chart</w:t>
            </w:r>
          </w:p>
        </w:tc>
        <w:tc>
          <w:tcPr>
            <w:tcW w:type="dxa" w:w="2800"/>
            <w:shd w:fill="F2F2F2" w:val="clear"/>
            <w:tcMar>
              <w:top w:type="dxa" w:w="70"/>
              <w:left w:type="dxa" w:w="110"/>
              <w:bottom w:type="dxa" w:w="70"/>
              <w:right w:type="dxa" w:w="110"/>
            </w:tcMar>
          </w:tcPr>
          <w:p>
            <w:pPr>
              <w:spacing w:after="0"/>
            </w:pPr>
            <w:r>
              <w:rPr>
                <w:b w:val="false"/>
                <w:bCs w:val="false"/>
                <w:sz w:val="19"/>
                <w:szCs w:val="19"/>
              </w:rPr>
              <w:t xml:space="preserve">ZDPR_Q_DAILY_TREND_CDS / ZDPR_Q_DAILY_TRENDResults</w:t>
            </w:r>
          </w:p>
        </w:tc>
        <w:tc>
          <w:tcPr>
            <w:tcW w:type="dxa" w:w="2260"/>
            <w:shd w:fill="F2F2F2" w:val="clear"/>
            <w:tcMar>
              <w:top w:type="dxa" w:w="70"/>
              <w:left w:type="dxa" w:w="110"/>
              <w:bottom w:type="dxa" w:w="70"/>
              <w:right w:type="dxa" w:w="110"/>
            </w:tcMar>
          </w:tcPr>
          <w:p>
            <w:pPr>
              <w:spacing w:after="0"/>
            </w:pPr>
            <w:r>
              <w:rPr>
                <w:b w:val="false"/>
                <w:bCs w:val="false"/>
                <w:sz w:val="19"/>
                <w:szCs w:val="19"/>
              </w:rPr>
              <w:t xml:space="preserve">JV and OVL production by date and product</w:t>
            </w:r>
          </w:p>
        </w:tc>
      </w:tr>
      <w:tr>
        <w:tc>
          <w:tcPr>
            <w:tcW w:type="dxa" w:w="400"/>
            <w:shd w:fill="FFFFFF" w:val="clear"/>
            <w:tcMar>
              <w:top w:type="dxa" w:w="70"/>
              <w:left w:type="dxa" w:w="110"/>
              <w:bottom w:type="dxa" w:w="70"/>
              <w:right w:type="dxa" w:w="110"/>
            </w:tcMar>
          </w:tcPr>
          <w:p>
            <w:pPr>
              <w:spacing w:after="0"/>
            </w:pPr>
            <w:r>
              <w:rPr>
                <w:b w:val="false"/>
                <w:bCs w:val="false"/>
                <w:sz w:val="19"/>
                <w:szCs w:val="19"/>
              </w:rPr>
              <w:t xml:space="preserve">5</w:t>
            </w:r>
          </w:p>
        </w:tc>
        <w:tc>
          <w:tcPr>
            <w:tcW w:type="dxa" w:w="2000"/>
            <w:shd w:fill="FFFFFF" w:val="clear"/>
            <w:tcMar>
              <w:top w:type="dxa" w:w="70"/>
              <w:left w:type="dxa" w:w="110"/>
              <w:bottom w:type="dxa" w:w="70"/>
              <w:right w:type="dxa" w:w="110"/>
            </w:tcMar>
          </w:tcPr>
          <w:p>
            <w:pPr>
              <w:spacing w:after="0"/>
            </w:pPr>
            <w:r>
              <w:rPr>
                <w:b w:val="false"/>
                <w:bCs w:val="false"/>
                <w:sz w:val="19"/>
                <w:szCs w:val="19"/>
              </w:rPr>
              <w:t xml:space="preserve">Target vs Actual by Product</w:t>
            </w:r>
          </w:p>
        </w:tc>
        <w:tc>
          <w:tcPr>
            <w:tcW w:type="dxa" w:w="1900"/>
            <w:shd w:fill="FFFFFF" w:val="clear"/>
            <w:tcMar>
              <w:top w:type="dxa" w:w="70"/>
              <w:left w:type="dxa" w:w="110"/>
              <w:bottom w:type="dxa" w:w="70"/>
              <w:right w:type="dxa" w:w="110"/>
            </w:tcMar>
          </w:tcPr>
          <w:p>
            <w:pPr>
              <w:spacing w:after="0"/>
            </w:pPr>
            <w:r>
              <w:rPr>
                <w:b w:val="false"/>
                <w:bCs w:val="false"/>
                <w:sz w:val="19"/>
                <w:szCs w:val="19"/>
              </w:rPr>
              <w:t xml:space="preserve">Analytical card — bar chart</w:t>
            </w:r>
          </w:p>
        </w:tc>
        <w:tc>
          <w:tcPr>
            <w:tcW w:type="dxa" w:w="2800"/>
            <w:shd w:fill="FFFFFF" w:val="clear"/>
            <w:tcMar>
              <w:top w:type="dxa" w:w="70"/>
              <w:left w:type="dxa" w:w="110"/>
              <w:bottom w:type="dxa" w:w="70"/>
              <w:right w:type="dxa" w:w="110"/>
            </w:tcMar>
          </w:tcPr>
          <w:p>
            <w:pPr>
              <w:spacing w:after="0"/>
            </w:pPr>
            <w:r>
              <w:rPr>
                <w:b w:val="false"/>
                <w:bCs w:val="false"/>
                <w:sz w:val="19"/>
                <w:szCs w:val="19"/>
              </w:rPr>
              <w:t xml:space="preserve">ZDPR_Q_TARGET_QUERY_CDS / ZDPR_Q_TARGET_QUERYResults</w:t>
            </w:r>
          </w:p>
        </w:tc>
        <w:tc>
          <w:tcPr>
            <w:tcW w:type="dxa" w:w="2260"/>
            <w:shd w:fill="FFFFFF" w:val="clear"/>
            <w:tcMar>
              <w:top w:type="dxa" w:w="70"/>
              <w:left w:type="dxa" w:w="110"/>
              <w:bottom w:type="dxa" w:w="70"/>
              <w:right w:type="dxa" w:w="110"/>
            </w:tcMar>
          </w:tcPr>
          <w:p>
            <w:pPr>
              <w:spacing w:after="0"/>
            </w:pPr>
            <w:r>
              <w:rPr>
                <w:b w:val="false"/>
                <w:bCs w:val="false"/>
                <w:sz w:val="19"/>
                <w:szCs w:val="19"/>
              </w:rPr>
              <w:t xml:space="preserve">Monthly actual vs target per product with Achievement %</w:t>
            </w:r>
          </w:p>
        </w:tc>
      </w:tr>
      <w:tr>
        <w:tc>
          <w:tcPr>
            <w:tcW w:type="dxa" w:w="400"/>
            <w:shd w:fill="F2F2F2" w:val="clear"/>
            <w:tcMar>
              <w:top w:type="dxa" w:w="70"/>
              <w:left w:type="dxa" w:w="110"/>
              <w:bottom w:type="dxa" w:w="70"/>
              <w:right w:type="dxa" w:w="110"/>
            </w:tcMar>
          </w:tcPr>
          <w:p>
            <w:pPr>
              <w:spacing w:after="0"/>
            </w:pPr>
            <w:r>
              <w:rPr>
                <w:b w:val="false"/>
                <w:bCs w:val="false"/>
                <w:sz w:val="19"/>
                <w:szCs w:val="19"/>
              </w:rPr>
              <w:t xml:space="preserve">6</w:t>
            </w:r>
          </w:p>
        </w:tc>
        <w:tc>
          <w:tcPr>
            <w:tcW w:type="dxa" w:w="2000"/>
            <w:shd w:fill="F2F2F2" w:val="clear"/>
            <w:tcMar>
              <w:top w:type="dxa" w:w="70"/>
              <w:left w:type="dxa" w:w="110"/>
              <w:bottom w:type="dxa" w:w="70"/>
              <w:right w:type="dxa" w:w="110"/>
            </w:tcMar>
          </w:tcPr>
          <w:p>
            <w:pPr>
              <w:spacing w:after="0"/>
            </w:pPr>
            <w:r>
              <w:rPr>
                <w:b w:val="false"/>
                <w:bCs w:val="false"/>
                <w:sz w:val="19"/>
                <w:szCs w:val="19"/>
              </w:rPr>
              <w:t xml:space="preserve">Production Records</w:t>
            </w:r>
          </w:p>
        </w:tc>
        <w:tc>
          <w:tcPr>
            <w:tcW w:type="dxa" w:w="1900"/>
            <w:shd w:fill="F2F2F2" w:val="clear"/>
            <w:tcMar>
              <w:top w:type="dxa" w:w="70"/>
              <w:left w:type="dxa" w:w="110"/>
              <w:bottom w:type="dxa" w:w="70"/>
              <w:right w:type="dxa" w:w="110"/>
            </w:tcMar>
          </w:tcPr>
          <w:p>
            <w:pPr>
              <w:spacing w:after="0"/>
            </w:pPr>
            <w:r>
              <w:rPr>
                <w:b w:val="false"/>
                <w:bCs w:val="false"/>
                <w:sz w:val="19"/>
                <w:szCs w:val="19"/>
              </w:rPr>
              <w:t xml:space="preserve">Table / list card</w:t>
            </w:r>
          </w:p>
        </w:tc>
        <w:tc>
          <w:tcPr>
            <w:tcW w:type="dxa" w:w="2800"/>
            <w:shd w:fill="F2F2F2" w:val="clear"/>
            <w:tcMar>
              <w:top w:type="dxa" w:w="70"/>
              <w:left w:type="dxa" w:w="110"/>
              <w:bottom w:type="dxa" w:w="70"/>
              <w:right w:type="dxa" w:w="110"/>
            </w:tcMar>
          </w:tcPr>
          <w:p>
            <w:pPr>
              <w:spacing w:after="0"/>
            </w:pPr>
            <w:r>
              <w:rPr>
                <w:b w:val="false"/>
                <w:bCs w:val="false"/>
                <w:sz w:val="19"/>
                <w:szCs w:val="19"/>
              </w:rPr>
              <w:t xml:space="preserve">ZDPR_Q_PROD_QUERY_CDS / ZDPR_Q_PROD_QUERYResults</w:t>
            </w:r>
          </w:p>
        </w:tc>
        <w:tc>
          <w:tcPr>
            <w:tcW w:type="dxa" w:w="2260"/>
            <w:shd w:fill="F2F2F2" w:val="clear"/>
            <w:tcMar>
              <w:top w:type="dxa" w:w="70"/>
              <w:left w:type="dxa" w:w="110"/>
              <w:bottom w:type="dxa" w:w="70"/>
              <w:right w:type="dxa" w:w="110"/>
            </w:tcMar>
          </w:tcPr>
          <w:p>
            <w:pPr>
              <w:spacing w:after="0"/>
            </w:pPr>
            <w:r>
              <w:rPr>
                <w:b w:val="false"/>
                <w:bCs w:val="false"/>
                <w:sz w:val="19"/>
                <w:szCs w:val="19"/>
              </w:rPr>
              <w:t xml:space="preserve">Latest daily records by asset</w:t>
            </w:r>
          </w:p>
        </w:tc>
      </w:tr>
    </w:tbl>
    <w:p>
      <w:pPr>
        <w:spacing w:after="140"/>
      </w:pPr>
    </w:p>
    <w:p>
      <w:pPr>
        <w:spacing w:after="120"/>
      </w:pPr>
      <w:r>
        <w:rPr>
          <w:b w:val="false"/>
          <w:bCs w:val="false"/>
          <w:i/>
          <w:iCs/>
          <w:sz w:val="21"/>
          <w:szCs w:val="21"/>
        </w:rPr>
        <w:t xml:space="preserve">Cards 1 and 2 are the customer's two must-haves (the Excel graph and the performance table). Cards 3–6 are optional and can be added later without touching the backend.</w:t>
      </w:r>
    </w:p>
    <w:p>
      <w:pPr>
        <w:pStyle w:val="Heading2"/>
        <w:spacing w:after="120" w:before="260"/>
      </w:pPr>
      <w:r>
        <w:t xml:space="preserve">2.2 Global filter bar and parameters</w:t>
      </w:r>
    </w:p>
    <w:p>
      <w:pPr>
        <w:spacing w:after="120"/>
      </w:pPr>
      <w:r>
        <w:rPr>
          <w:b w:val="false"/>
          <w:bCs w:val="false"/>
          <w:i w:val="false"/>
          <w:iCs w:val="false"/>
          <w:sz w:val="21"/>
          <w:szCs w:val="21"/>
        </w:rPr>
        <w:t xml:space="preserve">The Overview Page has one filter bar for the whole page. The parameters of the queries are mapped to it by name, which is why the parameters were given identical names across the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shd w:fill="1F4E79" w:val="clear"/>
            <w:tcMar>
              <w:top w:type="dxa" w:w="70"/>
              <w:left w:type="dxa" w:w="110"/>
              <w:bottom w:type="dxa" w:w="70"/>
              <w:right w:type="dxa" w:w="110"/>
            </w:tcMar>
          </w:tcPr>
          <w:p>
            <w:pPr>
              <w:spacing w:after="0"/>
            </w:pPr>
            <w:r>
              <w:rPr>
                <w:b/>
                <w:bCs/>
                <w:color w:val="FFFFFF"/>
                <w:sz w:val="19"/>
                <w:szCs w:val="19"/>
              </w:rPr>
              <w:t xml:space="preserve">Filter field</w:t>
            </w:r>
          </w:p>
        </w:tc>
        <w:tc>
          <w:tcPr>
            <w:tcW w:type="dxa" w:w="2400"/>
            <w:shd w:fill="1F4E79" w:val="clear"/>
            <w:tcMar>
              <w:top w:type="dxa" w:w="70"/>
              <w:left w:type="dxa" w:w="110"/>
              <w:bottom w:type="dxa" w:w="70"/>
              <w:right w:type="dxa" w:w="110"/>
            </w:tcMar>
          </w:tcPr>
          <w:p>
            <w:pPr>
              <w:spacing w:after="0"/>
            </w:pPr>
            <w:r>
              <w:rPr>
                <w:b/>
                <w:bCs/>
                <w:color w:val="FFFFFF"/>
                <w:sz w:val="19"/>
                <w:szCs w:val="19"/>
              </w:rPr>
              <w:t xml:space="preserve">Feeds parameter of</w:t>
            </w:r>
          </w:p>
        </w:tc>
        <w:tc>
          <w:tcPr>
            <w:tcW w:type="dxa" w:w="3360"/>
            <w:shd w:fill="1F4E79" w:val="clear"/>
            <w:tcMar>
              <w:top w:type="dxa" w:w="70"/>
              <w:left w:type="dxa" w:w="110"/>
              <w:bottom w:type="dxa" w:w="70"/>
              <w:right w:type="dxa" w:w="110"/>
            </w:tcMar>
          </w:tcPr>
          <w:p>
            <w:pPr>
              <w:spacing w:after="0"/>
            </w:pPr>
            <w:r>
              <w:rPr>
                <w:b/>
                <w:bCs/>
                <w:color w:val="FFFFFF"/>
                <w:sz w:val="19"/>
                <w:szCs w:val="19"/>
              </w:rPr>
              <w:t xml:space="preserve">Default for testing</w:t>
            </w:r>
          </w:p>
        </w:tc>
      </w:tr>
      <w:tr>
        <w:tc>
          <w:tcPr>
            <w:tcW w:type="dxa" w:w="3600"/>
            <w:shd w:fill="FFFFFF" w:val="clear"/>
            <w:tcMar>
              <w:top w:type="dxa" w:w="70"/>
              <w:left w:type="dxa" w:w="110"/>
              <w:bottom w:type="dxa" w:w="70"/>
              <w:right w:type="dxa" w:w="110"/>
            </w:tcMar>
          </w:tcPr>
          <w:p>
            <w:pPr>
              <w:spacing w:after="0"/>
            </w:pPr>
            <w:r>
              <w:rPr>
                <w:b w:val="false"/>
                <w:bCs w:val="false"/>
                <w:sz w:val="19"/>
                <w:szCs w:val="19"/>
              </w:rPr>
              <w:t xml:space="preserve">Production date from / to (P_DateFrom, P_DateTo)</w:t>
            </w:r>
          </w:p>
        </w:tc>
        <w:tc>
          <w:tcPr>
            <w:tcW w:type="dxa" w:w="2400"/>
            <w:shd w:fill="FFFFFF" w:val="clear"/>
            <w:tcMar>
              <w:top w:type="dxa" w:w="70"/>
              <w:left w:type="dxa" w:w="110"/>
              <w:bottom w:type="dxa" w:w="70"/>
              <w:right w:type="dxa" w:w="110"/>
            </w:tcMar>
          </w:tcPr>
          <w:p>
            <w:pPr>
              <w:spacing w:after="0"/>
            </w:pPr>
            <w:r>
              <w:rPr>
                <w:b w:val="false"/>
                <w:bCs w:val="false"/>
                <w:sz w:val="19"/>
                <w:szCs w:val="19"/>
              </w:rPr>
              <w:t xml:space="preserve">Cards 1, 2, 3, 4, 6</w:t>
            </w:r>
          </w:p>
        </w:tc>
        <w:tc>
          <w:tcPr>
            <w:tcW w:type="dxa" w:w="3360"/>
            <w:shd w:fill="FFFFFF" w:val="clear"/>
            <w:tcMar>
              <w:top w:type="dxa" w:w="70"/>
              <w:left w:type="dxa" w:w="110"/>
              <w:bottom w:type="dxa" w:w="70"/>
              <w:right w:type="dxa" w:w="110"/>
            </w:tcMar>
          </w:tcPr>
          <w:p>
            <w:pPr>
              <w:spacing w:after="0"/>
            </w:pPr>
            <w:r>
              <w:rPr>
                <w:b w:val="false"/>
                <w:bCs w:val="false"/>
                <w:sz w:val="19"/>
                <w:szCs w:val="19"/>
              </w:rPr>
              <w:t xml:space="preserve">01.04.2024 – 14.04.2024 (FY 2024-25 has targets loaded)</w:t>
            </w:r>
          </w:p>
        </w:tc>
      </w:tr>
      <w:tr>
        <w:tc>
          <w:tcPr>
            <w:tcW w:type="dxa" w:w="3600"/>
            <w:shd w:fill="F2F2F2" w:val="clear"/>
            <w:tcMar>
              <w:top w:type="dxa" w:w="70"/>
              <w:left w:type="dxa" w:w="110"/>
              <w:bottom w:type="dxa" w:w="70"/>
              <w:right w:type="dxa" w:w="110"/>
            </w:tcMar>
          </w:tcPr>
          <w:p>
            <w:pPr>
              <w:spacing w:after="0"/>
            </w:pPr>
            <w:r>
              <w:rPr>
                <w:b w:val="false"/>
                <w:bCs w:val="false"/>
                <w:sz w:val="19"/>
                <w:szCs w:val="19"/>
              </w:rPr>
              <w:t xml:space="preserve">Fiscal year (P_FiscalYear)</w:t>
            </w:r>
          </w:p>
        </w:tc>
        <w:tc>
          <w:tcPr>
            <w:tcW w:type="dxa" w:w="2400"/>
            <w:shd w:fill="F2F2F2" w:val="clear"/>
            <w:tcMar>
              <w:top w:type="dxa" w:w="70"/>
              <w:left w:type="dxa" w:w="110"/>
              <w:bottom w:type="dxa" w:w="70"/>
              <w:right w:type="dxa" w:w="110"/>
            </w:tcMar>
          </w:tcPr>
          <w:p>
            <w:pPr>
              <w:spacing w:after="0"/>
            </w:pPr>
            <w:r>
              <w:rPr>
                <w:b w:val="false"/>
                <w:bCs w:val="false"/>
                <w:sz w:val="19"/>
                <w:szCs w:val="19"/>
              </w:rPr>
              <w:t xml:space="preserve">Cards 2, 3, 5</w:t>
            </w:r>
          </w:p>
        </w:tc>
        <w:tc>
          <w:tcPr>
            <w:tcW w:type="dxa" w:w="3360"/>
            <w:shd w:fill="F2F2F2" w:val="clear"/>
            <w:tcMar>
              <w:top w:type="dxa" w:w="70"/>
              <w:left w:type="dxa" w:w="110"/>
              <w:bottom w:type="dxa" w:w="70"/>
              <w:right w:type="dxa" w:w="110"/>
            </w:tcMar>
          </w:tcPr>
          <w:p>
            <w:pPr>
              <w:spacing w:after="0"/>
            </w:pPr>
            <w:r>
              <w:rPr>
                <w:b w:val="false"/>
                <w:bCs w:val="false"/>
                <w:sz w:val="19"/>
                <w:szCs w:val="19"/>
              </w:rPr>
              <w:t xml:space="preserve">2024</w:t>
            </w:r>
          </w:p>
        </w:tc>
      </w:tr>
      <w:tr>
        <w:tc>
          <w:tcPr>
            <w:tcW w:type="dxa" w:w="3600"/>
            <w:shd w:fill="FFFFFF" w:val="clear"/>
            <w:tcMar>
              <w:top w:type="dxa" w:w="70"/>
              <w:left w:type="dxa" w:w="110"/>
              <w:bottom w:type="dxa" w:w="70"/>
              <w:right w:type="dxa" w:w="110"/>
            </w:tcMar>
          </w:tcPr>
          <w:p>
            <w:pPr>
              <w:spacing w:after="0"/>
            </w:pPr>
            <w:r>
              <w:rPr>
                <w:b w:val="false"/>
                <w:bCs w:val="false"/>
                <w:sz w:val="19"/>
                <w:szCs w:val="19"/>
              </w:rPr>
              <w:t xml:space="preserve">Target code (P_TargetCode)</w:t>
            </w:r>
          </w:p>
        </w:tc>
        <w:tc>
          <w:tcPr>
            <w:tcW w:type="dxa" w:w="2400"/>
            <w:shd w:fill="FFFFFF" w:val="clear"/>
            <w:tcMar>
              <w:top w:type="dxa" w:w="70"/>
              <w:left w:type="dxa" w:w="110"/>
              <w:bottom w:type="dxa" w:w="70"/>
              <w:right w:type="dxa" w:w="110"/>
            </w:tcMar>
          </w:tcPr>
          <w:p>
            <w:pPr>
              <w:spacing w:after="0"/>
            </w:pPr>
            <w:r>
              <w:rPr>
                <w:b w:val="false"/>
                <w:bCs w:val="false"/>
                <w:sz w:val="19"/>
                <w:szCs w:val="19"/>
              </w:rPr>
              <w:t xml:space="preserve">Card 5</w:t>
            </w:r>
          </w:p>
        </w:tc>
        <w:tc>
          <w:tcPr>
            <w:tcW w:type="dxa" w:w="3360"/>
            <w:shd w:fill="FFFFFF" w:val="clear"/>
            <w:tcMar>
              <w:top w:type="dxa" w:w="70"/>
              <w:left w:type="dxa" w:w="110"/>
              <w:bottom w:type="dxa" w:w="70"/>
              <w:right w:type="dxa" w:w="110"/>
            </w:tcMar>
          </w:tcPr>
          <w:p>
            <w:pPr>
              <w:spacing w:after="0"/>
            </w:pPr>
            <w:r>
              <w:rPr>
                <w:b w:val="false"/>
                <w:bCs w:val="false"/>
                <w:sz w:val="19"/>
                <w:szCs w:val="19"/>
              </w:rPr>
              <w:t xml:space="preserve">TAR_BE</w:t>
            </w:r>
          </w:p>
        </w:tc>
      </w:tr>
    </w:tbl>
    <w:p>
      <w:pPr>
        <w:spacing w:after="140"/>
      </w:pPr>
    </w:p>
    <w:p>
      <w:pPr>
        <w:spacing w:after="120"/>
      </w:pPr>
      <w:r>
        <w:rPr>
          <w:b w:val="false"/>
          <w:bCs w:val="false"/>
          <w:i w:val="false"/>
          <w:iCs w:val="false"/>
          <w:sz w:val="21"/>
          <w:szCs w:val="21"/>
        </w:rPr>
        <w:t xml:space="preserve">Technically the global filter entity of the page is the parameter entity set of one of the queries (ZDPR_Q_PROD_PERF, which carries three of the four parameters). The fourth parameter, P_TargetCode, is supplied to card 5 through a SelectionVariant annotation with a parameter default (see 4.3), which the user can still change through the card's own filter.</w:t>
      </w:r>
    </w:p>
    <w:p>
      <w:r>
        <w:br w:type="page"/>
      </w:r>
    </w:p>
    <w:p>
      <w:pPr>
        <w:pStyle w:val="Heading1"/>
        <w:spacing w:after="160" w:before="320"/>
      </w:pPr>
      <w:r>
        <w:t xml:space="preserve">3. Backend Change (already in the repository)</w:t>
      </w:r>
    </w:p>
    <w:p>
      <w:pPr>
        <w:spacing w:after="120"/>
      </w:pPr>
      <w:r>
        <w:rPr>
          <w:b w:val="false"/>
          <w:bCs w:val="false"/>
          <w:i w:val="false"/>
          <w:iCs w:val="false"/>
          <w:sz w:val="21"/>
          <w:szCs w:val="21"/>
        </w:rPr>
        <w:t xml:space="preserve">ZDPR_Q_PROD_PERF was a view entity exposed only through the OData V4 service definition. It is now a classic DDIC-based view with @OData.publish: true, like the four analytical queries, generating the OData V2 service ZDPR_Q_PROD_PERF_CDS. The three ratio calculations use division( a, b, decimals ) because classic views allow the '/' operator for floats only. The V4 exposure in ZDPR_SD_ANALYTICS is unchanged.</w:t>
      </w:r>
    </w:p>
    <w:p>
      <w:pPr>
        <w:pStyle w:val="ListParagraph"/>
        <w:numPr>
          <w:ilvl w:val="0"/>
          <w:numId w:val="2"/>
        </w:numPr>
        <w:spacing w:after="100"/>
      </w:pPr>
      <w:r>
        <w:rPr>
          <w:sz w:val="21"/>
          <w:szCs w:val="21"/>
        </w:rPr>
        <w:t xml:space="preserve">Pull the updated ZIP (deploy/ZPR_DPR_RAP_abapgit.zip) in ZABAPGIT_STANDALONE; one object changes: ZDPR_Q_PROD_PERF. Activate.</w:t>
      </w:r>
    </w:p>
    <w:p>
      <w:pPr>
        <w:pStyle w:val="ListParagraph"/>
        <w:numPr>
          <w:ilvl w:val="0"/>
          <w:numId w:val="2"/>
        </w:numPr>
        <w:spacing w:after="100"/>
      </w:pPr>
      <w:r>
        <w:rPr>
          <w:sz w:val="21"/>
          <w:szCs w:val="21"/>
        </w:rPr>
        <w:t xml:space="preserve">Register the new service in /IWFND/MAINT_SERVICE: Add Service → alias LOCAL → ZDPR_Q_PROD_PERF_CDS → Add Selected Services → package ZPR_DPR_RAP.</w:t>
      </w:r>
    </w:p>
    <w:p>
      <w:pPr>
        <w:pStyle w:val="ListParagraph"/>
        <w:numPr>
          <w:ilvl w:val="0"/>
          <w:numId w:val="2"/>
        </w:numPr>
        <w:spacing w:after="100"/>
      </w:pPr>
      <w:r>
        <w:rPr>
          <w:sz w:val="21"/>
          <w:szCs w:val="21"/>
        </w:rPr>
        <w:t xml:space="preserve">Confirm all five V2 services answer:</w:t>
      </w:r>
    </w:p>
    <w:p>
      <w:pPr>
        <w:pBdr>
          <w:left w:val="single" w:color="8EA9DB" w:sz="12" w:space="6"/>
        </w:pBdr>
        <w:shd w:fill="F7F7F7" w:val="clear"/>
        <w:spacing w:after="0" w:line="240"/>
        <w:ind w:left="120" w:right="120"/>
      </w:pPr>
      <w:r>
        <w:rPr>
          <w:rFonts w:ascii="Consolas" w:cs="Consolas" w:eastAsia="Consolas" w:hAnsi="Consolas"/>
          <w:sz w:val="16"/>
          <w:szCs w:val="16"/>
        </w:rPr>
        <w:t xml:space="preserve">/sap/opu/odata/sap/ZDPR_Q_BOEPD_TREND_CDS/$metadata</w:t>
      </w:r>
    </w:p>
    <w:p>
      <w:pPr>
        <w:pBdr>
          <w:left w:val="single" w:color="8EA9DB" w:sz="12" w:space="6"/>
        </w:pBdr>
        <w:shd w:fill="F7F7F7" w:val="clear"/>
        <w:spacing w:after="0" w:line="240"/>
        <w:ind w:left="120" w:right="120"/>
      </w:pPr>
      <w:r>
        <w:rPr>
          <w:rFonts w:ascii="Consolas" w:cs="Consolas" w:eastAsia="Consolas" w:hAnsi="Consolas"/>
          <w:sz w:val="16"/>
          <w:szCs w:val="16"/>
        </w:rPr>
        <w:t xml:space="preserve">/sap/opu/odata/sap/ZDPR_Q_PROD_PERF_CDS/$metadata</w:t>
      </w:r>
    </w:p>
    <w:p>
      <w:pPr>
        <w:pBdr>
          <w:left w:val="single" w:color="8EA9DB" w:sz="12" w:space="6"/>
        </w:pBdr>
        <w:shd w:fill="F7F7F7" w:val="clear"/>
        <w:spacing w:after="0" w:line="240"/>
        <w:ind w:left="120" w:right="120"/>
      </w:pPr>
      <w:r>
        <w:rPr>
          <w:rFonts w:ascii="Consolas" w:cs="Consolas" w:eastAsia="Consolas" w:hAnsi="Consolas"/>
          <w:sz w:val="16"/>
          <w:szCs w:val="16"/>
        </w:rPr>
        <w:t xml:space="preserve">/sap/opu/odata/sap/ZDPR_Q_DAILY_TREND_CDS/$metadata</w:t>
      </w:r>
    </w:p>
    <w:p>
      <w:pPr>
        <w:pBdr>
          <w:left w:val="single" w:color="8EA9DB" w:sz="12" w:space="6"/>
        </w:pBdr>
        <w:shd w:fill="F7F7F7" w:val="clear"/>
        <w:spacing w:after="0" w:line="240"/>
        <w:ind w:left="120" w:right="120"/>
      </w:pPr>
      <w:r>
        <w:rPr>
          <w:rFonts w:ascii="Consolas" w:cs="Consolas" w:eastAsia="Consolas" w:hAnsi="Consolas"/>
          <w:sz w:val="16"/>
          <w:szCs w:val="16"/>
        </w:rPr>
        <w:t xml:space="preserve">/sap/opu/odata/sap/ZDPR_Q_TARGET_QUERY_CDS/$metadata</w:t>
      </w:r>
    </w:p>
    <w:p>
      <w:pPr>
        <w:pBdr>
          <w:left w:val="single" w:color="8EA9DB" w:sz="12" w:space="6"/>
        </w:pBdr>
        <w:shd w:fill="F7F7F7" w:val="clear"/>
        <w:spacing w:after="0" w:line="240"/>
        <w:ind w:left="120" w:right="120"/>
      </w:pPr>
      <w:r>
        <w:rPr>
          <w:rFonts w:ascii="Consolas" w:cs="Consolas" w:eastAsia="Consolas" w:hAnsi="Consolas"/>
          <w:sz w:val="16"/>
          <w:szCs w:val="16"/>
        </w:rPr>
        <w:t xml:space="preserve">/sap/opu/odata/sap/ZDPR_Q_PROD_QUERY_CDS/$metadata</w:t>
      </w:r>
    </w:p>
    <w:p>
      <w:pPr>
        <w:spacing w:after="140"/>
      </w:pPr>
    </w:p>
    <w:p>
      <w:pPr>
        <w:pStyle w:val="ListParagraph"/>
        <w:numPr>
          <w:ilvl w:val="0"/>
          <w:numId w:val="2"/>
        </w:numPr>
        <w:spacing w:after="100"/>
      </w:pPr>
      <w:r>
        <w:rPr>
          <w:sz w:val="21"/>
          <w:szCs w:val="21"/>
        </w:rPr>
        <w:t xml:space="preserve">The metadata extension ZDPR_Q_PROD_PERF (unchanged) must be active — it provides the table columns and the chart for cards 2 and 3.</w:t>
      </w:r>
    </w:p>
    <w:p>
      <w:r>
        <w:br w:type="page"/>
      </w:r>
    </w:p>
    <w:p>
      <w:pPr>
        <w:pStyle w:val="Heading1"/>
        <w:spacing w:after="160" w:before="320"/>
      </w:pPr>
      <w:r>
        <w:t xml:space="preserve">4. Building the Overview Page in Business Application Studio</w:t>
      </w:r>
    </w:p>
    <w:p>
      <w:pPr>
        <w:spacing w:after="120"/>
      </w:pPr>
      <w:r>
        <w:rPr>
          <w:b w:val="false"/>
          <w:bCs w:val="false"/>
          <w:i w:val="false"/>
          <w:iCs w:val="false"/>
          <w:sz w:val="21"/>
          <w:szCs w:val="21"/>
        </w:rPr>
        <w:t xml:space="preserve">Prerequisites are the same as for any BTP deployment: Cloud Connector exposing /sap/opu/odata/, and the destination ZDPR_S4_BACKEND with the WebIDE properties (see the BTP guide). The steps below replace Step 3 of the Fiori generator walkthrough.</w:t>
      </w:r>
    </w:p>
    <w:p>
      <w:pPr>
        <w:pStyle w:val="Heading2"/>
        <w:spacing w:after="120" w:before="260"/>
      </w:pPr>
      <w:r>
        <w:t xml:space="preserve">4.1 Generate the application</w:t>
      </w:r>
    </w:p>
    <w:p>
      <w:pPr>
        <w:pStyle w:val="ListParagraph"/>
        <w:numPr>
          <w:ilvl w:val="0"/>
          <w:numId w:val="2"/>
        </w:numPr>
        <w:spacing w:after="100"/>
      </w:pPr>
      <w:r>
        <w:rPr>
          <w:sz w:val="21"/>
          <w:szCs w:val="21"/>
        </w:rPr>
        <w:t xml:space="preserve">Dev Space of type SAP Fiori → New Project from Template → SAP Fiori generator.</w:t>
      </w:r>
    </w:p>
    <w:p>
      <w:pPr>
        <w:pStyle w:val="ListParagraph"/>
        <w:numPr>
          <w:ilvl w:val="0"/>
          <w:numId w:val="2"/>
        </w:numPr>
        <w:spacing w:after="100"/>
      </w:pPr>
      <w:r>
        <w:rPr>
          <w:sz w:val="21"/>
          <w:szCs w:val="21"/>
        </w:rPr>
        <w:t xml:space="preserve">Template: Overview Page.</w:t>
      </w:r>
    </w:p>
    <w:p>
      <w:pPr>
        <w:pStyle w:val="ListParagraph"/>
        <w:numPr>
          <w:ilvl w:val="0"/>
          <w:numId w:val="2"/>
        </w:numPr>
        <w:spacing w:after="100"/>
      </w:pPr>
      <w:r>
        <w:rPr>
          <w:sz w:val="21"/>
          <w:szCs w:val="21"/>
        </w:rPr>
        <w:t xml:space="preserve">Data source: Connect to a System → destination ZDPR_S4_BACKEND → service ZDPR_Q_PROD_PERF_CDS. This becomes the main (default) OData model of the page.</w:t>
      </w:r>
    </w:p>
    <w:p>
      <w:pPr>
        <w:pStyle w:val="ListParagraph"/>
        <w:numPr>
          <w:ilvl w:val="0"/>
          <w:numId w:val="2"/>
        </w:numPr>
        <w:spacing w:after="100"/>
      </w:pPr>
      <w:r>
        <w:rPr>
          <w:sz w:val="21"/>
          <w:szCs w:val="21"/>
        </w:rPr>
        <w:t xml:space="preserve">Filter entity: ZDPR_Q_PROD_PERF (the parameter entity set). Its parameters P_DateFrom, P_DateTo and P_FiscalYear become the global filter fields.</w:t>
      </w:r>
    </w:p>
    <w:p>
      <w:pPr>
        <w:pStyle w:val="ListParagraph"/>
        <w:numPr>
          <w:ilvl w:val="0"/>
          <w:numId w:val="2"/>
        </w:numPr>
        <w:spacing w:after="100"/>
      </w:pPr>
      <w:r>
        <w:rPr>
          <w:sz w:val="21"/>
          <w:szCs w:val="21"/>
        </w:rPr>
        <w:t xml:space="preserve">Project attributes: module name zdprdashboard, title DPR Production Dashboard. Add deployment configuration (Cloud Foundry, destination ZDPR_S4_BACKEND) and FLP configuration (semantic object DPRDashboard, action display).</w:t>
      </w:r>
    </w:p>
    <w:p>
      <w:pPr>
        <w:pStyle w:val="ListParagraph"/>
        <w:numPr>
          <w:ilvl w:val="0"/>
          <w:numId w:val="2"/>
        </w:numPr>
        <w:spacing w:after="100"/>
      </w:pPr>
      <w:r>
        <w:rPr>
          <w:sz w:val="21"/>
          <w:szCs w:val="21"/>
        </w:rPr>
        <w:t xml:space="preserve">Finish. The generator creates the app with an empty card list.</w:t>
      </w:r>
    </w:p>
    <w:p>
      <w:pPr>
        <w:pStyle w:val="Heading2"/>
        <w:spacing w:after="120" w:before="260"/>
      </w:pPr>
      <w:r>
        <w:t xml:space="preserve">4.2 Add the other services as additional data sources</w:t>
      </w:r>
    </w:p>
    <w:p>
      <w:pPr>
        <w:spacing w:after="120"/>
      </w:pPr>
      <w:r>
        <w:rPr>
          <w:b w:val="false"/>
          <w:bCs w:val="false"/>
          <w:i w:val="false"/>
          <w:iCs w:val="false"/>
          <w:sz w:val="21"/>
          <w:szCs w:val="21"/>
        </w:rPr>
        <w:t xml:space="preserve">Each card that uses a different service needs that service registered as a data source and model in manifest.json. In Business Application Studio use Application Info → Add Data Source (or Fiori tools: Application Modeler → Data Sources → Add), and add: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ZDPR_Q_BOEPD_TREND_CDS   -&gt; model name  boepd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ZDPR_Q_DAILY_TREND_CDS   -&gt; model name  daily</w:t>
      </w:r>
    </w:p>
    <w:p>
      <w:pPr>
        <w:pBdr>
          <w:left w:val="single" w:color="8EA9DB" w:sz="12" w:space="6"/>
        </w:pBdr>
        <w:shd w:fill="F7F7F7" w:val="clear"/>
        <w:spacing w:after="0" w:line="240"/>
        <w:ind w:left="120" w:right="120"/>
      </w:pPr>
      <w:r>
        <w:rPr>
          <w:rFonts w:ascii="Consolas" w:cs="Consolas" w:eastAsia="Consolas" w:hAnsi="Consolas"/>
          <w:sz w:val="16"/>
          <w:szCs w:val="16"/>
        </w:rPr>
        <w:t xml:space="preserve">ZDPR_Q_TARGET_QUERY_CDS  -&gt; model name  target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ZDPR_Q_PROD_QUERY_CDS    -&gt; model name  prod</w:t>
      </w:r>
    </w:p>
    <w:p>
      <w:pPr>
        <w:spacing w:after="140"/>
      </w:pPr>
    </w:p>
    <w:p>
      <w:pPr>
        <w:spacing w:after="120"/>
      </w:pPr>
      <w:r>
        <w:rPr>
          <w:b w:val="false"/>
          <w:bCs w:val="false"/>
          <w:i w:val="false"/>
          <w:iCs w:val="false"/>
          <w:sz w:val="21"/>
          <w:szCs w:val="21"/>
        </w:rPr>
        <w:t xml:space="preserve">The resulting manifest section looks like this (paths as generated by the tool, destination routing handled by xs-app.json):</w:t>
      </w:r>
    </w:p>
    <w:p>
      <w:pPr>
        <w:pBdr>
          <w:left w:val="single" w:color="8EA9DB" w:sz="12" w:space="6"/>
        </w:pBdr>
        <w:shd w:fill="F7F7F7" w:val="clear"/>
        <w:spacing w:after="0" w:line="240"/>
        <w:ind w:left="120" w:right="120"/>
      </w:pPr>
      <w:r>
        <w:rPr>
          <w:rFonts w:ascii="Consolas" w:cs="Consolas" w:eastAsia="Consolas" w:hAnsi="Consolas"/>
          <w:sz w:val="16"/>
          <w:szCs w:val="16"/>
        </w:rPr>
        <w:t xml:space="preserve">"sap.app":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"dataSources":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"mainService": { "uri": "/sap/opu/odata/sap/ZDPR_Q_PROD_PERF_CDS/",  "type": "OData",</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"settings": { "odataVersion": "2.0", "localUri": "localService/metadata.xml" }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"boepd":       { "uri": "/sap/opu/odata/sap/ZDPR_Q_BOEPD_TREND_CDS/", "type": "OData",</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"settings": { "odataVersion": "2.0", "localUri": "localService/boepd/metadata.xml" }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"daily":       { "uri": "/sap/opu/odata/sap/ZDPR_Q_DAILY_TREND_CDS/", "type": "OData",</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"settings": { "odataVersion": "2.0" }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"target":      { "uri": "/sap/opu/odata/sap/ZDPR_Q_TARGET_QUERY_CDS/","type": "OData",</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"settings": { "odataVersion": "2.0" }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"prod":        { "uri": "/sap/opu/odata/sap/ZDPR_Q_PROD_QUERY_CDS/",  "type": "OData",</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"settings": { "odataVersion": "2.0" }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"sap.ui5":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"models":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       { "dataSource": "mainService", "preload": true, "settings": { "defaultCountMode": "Inline" }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"boepd":  { "dataSource": "boepd",  "preload": true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"daily":  { "dataSource": "daily",  "preload": true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"target": { "dataSource": "target", "preload": true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"prod":   { "dataSource": "prod",   "preload": true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r>
        <w:br w:type="page"/>
      </w:r>
    </w:p>
    <w:p>
      <w:pPr>
        <w:pStyle w:val="Heading2"/>
        <w:spacing w:after="120" w:before="260"/>
      </w:pPr>
      <w:r>
        <w:t xml:space="preserve">4.3 Define the cards</w:t>
      </w:r>
    </w:p>
    <w:p>
      <w:pPr>
        <w:spacing w:after="120"/>
      </w:pPr>
      <w:r>
        <w:rPr>
          <w:b w:val="false"/>
          <w:bCs w:val="false"/>
          <w:i w:val="false"/>
          <w:iCs w:val="false"/>
          <w:sz w:val="21"/>
          <w:szCs w:val="21"/>
        </w:rPr>
        <w:t xml:space="preserve">Use the Fiori tools Page Map (Application Modeler → Page Map → Overview Page → Add Card), or add the cards directly under sap.ovp → cards in manifest.json. The annotations they reference (UI.Chart, UI.LineItem, UI.SelectionVariant) already come from the metadata extensions in the backend. Minimal definitions for the two mandatory cards and the target card: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"sap.ovp":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"globalFilterModel":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"globalFilterEntityType": "ZDPR_Q_PROD_PERFType",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"containerLayout": "resizable",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"enableLiveFilter": true,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"cards":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"card01_boepdTrend":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"model": "boepd",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"template": "sap.ovp.cards.charts.analytical",</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"settings":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"title": "Actual Production vs BE Target (BOEPD)",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"entitySet": "ZDPR_Q_BOEPD_TRENDResults",</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"chartAnnotationPath": "com.sap.vocabularies.UI.v1.Chart#BoepdVsTarget",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"selectionAnnotationPath": "com.sap.vocabularies.UI.v1.SelectionVariant#Params",</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"defaultSpan": { "rows": 20, "cols": 2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"card02_prodPerf":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"model":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"template": "sap.ovp.cards.table",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"settings":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"title": "Production Performance",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"subTitle": "YTD and Annual vs BE Target",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"entitySet": "ZDPR_Q_PROD_PERFResults",</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"annotationPath": "com.sap.vocabularies.UI.v1.LineItem",</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"selectionAnnotationPath": "com.sap.vocabularies.UI.v1.SelectionVariant#Params"</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"card05_targetVsActual":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"model": "target",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"template": "sap.ovp.cards.charts.analytical",</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"settings":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"title": "Target vs Actual by Product",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"entitySet": "ZDPR_Q_TARGET_QUERYResults",</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"chartAnnotationPath": "com.sap.vocabularies.UI.v1.Chart#ActualVsTarget",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"selectionAnnotationPath": "com.sap.vocabularies.UI.v1.SelectionVariant#Params"</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00"/>
              <w:left w:type="dxa" w:w="140"/>
              <w:bottom w:type="dxa" w:w="100"/>
              <w:right w:type="dxa" w:w="140"/>
            </w:tcMar>
          </w:tcPr>
          <w:p>
            <w:pPr>
              <w:spacing w:after="0"/>
            </w:pPr>
            <w:r>
              <w:rPr>
                <w:b/>
                <w:bCs/>
                <w:sz w:val="21"/>
                <w:szCs w:val="21"/>
              </w:rPr>
              <w:t xml:space="preserve">Entity set for cards:  </w:t>
            </w:r>
            <w:r>
              <w:rPr>
                <w:sz w:val="21"/>
                <w:szCs w:val="21"/>
              </w:rPr>
              <w:t xml:space="preserve">For a parameterised OData V2 entity set, an Overview Page card is bound to the ...Results entity set, and the parameters are passed through a UI.SelectionVariant annotation with a Parameters section. This is SAP's documented pattern for parameterised cards and is the opposite of the Analytical List Page, which is bound to the parameter entity set.</w:t>
            </w:r>
          </w:p>
        </w:tc>
      </w:tr>
    </w:tbl>
    <w:p>
      <w:pPr>
        <w:spacing w:after="140"/>
      </w:pPr>
    </w:p>
    <w:p>
      <w:pPr>
        <w:spacing w:after="120"/>
      </w:pPr>
      <w:r>
        <w:rPr>
          <w:b w:val="false"/>
          <w:bCs w:val="false"/>
          <w:i w:val="false"/>
          <w:iCs w:val="false"/>
          <w:sz w:val="21"/>
          <w:szCs w:val="21"/>
        </w:rPr>
        <w:t xml:space="preserve">The SelectionVariant#Params annotation is declared per card in the application's local annotation file (webapp/annotations/annotation.xml — create it with the Fiori tools Annotation Modeler, or paste). Example for the BOEPD card; the global filter overrides these values at runtime when the user changes the filter bar:</w:t>
      </w:r>
    </w:p>
    <w:p>
      <w:pPr>
        <w:pBdr>
          <w:left w:val="single" w:color="8EA9DB" w:sz="12" w:space="6"/>
        </w:pBdr>
        <w:shd w:fill="F7F7F7" w:val="clear"/>
        <w:spacing w:after="0" w:line="240"/>
        <w:ind w:left="120" w:right="120"/>
      </w:pPr>
      <w:r>
        <w:rPr>
          <w:rFonts w:ascii="Consolas" w:cs="Consolas" w:eastAsia="Consolas" w:hAnsi="Consolas"/>
          <w:sz w:val="16"/>
          <w:szCs w:val="16"/>
        </w:rPr>
        <w:t xml:space="preserve">&lt;Annotations Target="ZDPR_Q_BOEPD_TREND_CDS.ZDPR_Q_BOEPD_TRENDType"&gt;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&lt;Annotation Term="UI.SelectionVariant" Qualifier="Params"&gt;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&lt;Record&gt;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&lt;PropertyValue Property="Parameters"&gt;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&lt;Collection&gt;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&lt;Record Type="UI.Parameter"&gt;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&lt;PropertyValue Property="PropertyName" PropertyPath="P_DateFrom"/&gt;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&lt;PropertyValue Property="PropertyValue" String="20240401"/&gt;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&lt;/Record&gt;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&lt;Record Type="UI.Parameter"&gt;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&lt;PropertyValue Property="PropertyName" PropertyPath="P_DateTo"/&gt;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&lt;PropertyValue Property="PropertyValue" String="20240414"/&gt;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&lt;/Record&gt;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&lt;/Collection&gt;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&lt;/PropertyValue&gt;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&lt;/Record&gt;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&lt;/Annotation&gt;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&lt;/Annotations&gt;</w:t>
      </w:r>
    </w:p>
    <w:p>
      <w:pPr>
        <w:spacing w:after="140"/>
      </w:pPr>
    </w:p>
    <w:p>
      <w:pPr>
        <w:spacing w:after="120"/>
      </w:pPr>
      <w:r>
        <w:rPr>
          <w:b w:val="false"/>
          <w:bCs w:val="false"/>
          <w:i/>
          <w:iCs/>
          <w:sz w:val="21"/>
          <w:szCs w:val="21"/>
        </w:rPr>
        <w:t xml:space="preserve">For the target card the parameters are P_FiscalYear (default 2024) and P_TargetCode (default TAR_BE); for the performance card P_DateFrom, P_DateTo and P_FiscalYear.</w:t>
      </w:r>
    </w:p>
    <w:p>
      <w:pPr>
        <w:pStyle w:val="Heading2"/>
        <w:spacing w:after="120" w:before="260"/>
      </w:pPr>
      <w:r>
        <w:t xml:space="preserve">4.4 Test locally, deploy, publish the tile</w:t>
      </w:r>
    </w:p>
    <w:p>
      <w:pPr>
        <w:pStyle w:val="ListParagraph"/>
        <w:numPr>
          <w:ilvl w:val="0"/>
          <w:numId w:val="2"/>
        </w:numPr>
        <w:spacing w:after="100"/>
      </w:pPr>
      <w:r>
        <w:rPr>
          <w:sz w:val="21"/>
          <w:szCs w:val="21"/>
        </w:rPr>
        <w:t xml:space="preserve">Preview Application. Enter the date range 01.04.2024–14.04.2024 and fiscal year 2024 in the global filter. Card 1 must show two lines; card 2 must show the YTD and Annual rows for Oil and Gas.</w:t>
      </w:r>
    </w:p>
    <w:p>
      <w:pPr>
        <w:pStyle w:val="ListParagraph"/>
        <w:numPr>
          <w:ilvl w:val="0"/>
          <w:numId w:val="2"/>
        </w:numPr>
        <w:spacing w:after="100"/>
      </w:pPr>
      <w:r>
        <w:rPr>
          <w:sz w:val="21"/>
          <w:szCs w:val="21"/>
        </w:rPr>
        <w:t xml:space="preserve">Build MTA Project → Deploy MTA Archive to the Cloud Foundry space.</w:t>
      </w:r>
    </w:p>
    <w:p>
      <w:pPr>
        <w:pStyle w:val="ListParagraph"/>
        <w:numPr>
          <w:ilvl w:val="0"/>
          <w:numId w:val="2"/>
        </w:numPr>
        <w:spacing w:after="100"/>
      </w:pPr>
      <w:r>
        <w:rPr>
          <w:sz w:val="21"/>
          <w:szCs w:val="21"/>
        </w:rPr>
        <w:t xml:space="preserve">SAP Build Work Zone: refresh the HTML5 content channel, add the application to the group DPR Reporting and to the role, assign the role collection to the users.</w:t>
      </w:r>
    </w:p>
    <w:p>
      <w:pPr>
        <w:pStyle w:val="ListParagraph"/>
        <w:numPr>
          <w:ilvl w:val="0"/>
          <w:numId w:val="2"/>
        </w:numPr>
        <w:spacing w:after="100"/>
      </w:pPr>
      <w:r>
        <w:rPr>
          <w:sz w:val="21"/>
          <w:szCs w:val="21"/>
        </w:rPr>
        <w:t xml:space="preserve">Open the site: one tile — DPR Production Dashboard.</w:t>
      </w:r>
    </w:p>
    <w:p>
      <w:r>
        <w:br w:type="page"/>
      </w:r>
    </w:p>
    <w:p>
      <w:pPr>
        <w:pStyle w:val="Heading1"/>
        <w:spacing w:after="160" w:before="320"/>
      </w:pPr>
      <w:r>
        <w:t xml:space="preserve">5. Alternative Without Development: SAP Analytics Cloud</w:t>
      </w:r>
    </w:p>
    <w:p>
      <w:pPr>
        <w:spacing w:after="120"/>
      </w:pPr>
      <w:r>
        <w:rPr>
          <w:b w:val="false"/>
          <w:bCs w:val="false"/>
          <w:i w:val="false"/>
          <w:iCs w:val="false"/>
          <w:sz w:val="21"/>
          <w:szCs w:val="21"/>
        </w:rPr>
        <w:t xml:space="preserve">If an SAP Analytics Cloud tenant is available, the same one-page dashboard can be built without any Fiori development: one SAC story with a page containing the line chart (ZDPR_Q_BOEPD_TREND), the performance table (ZDPR_Q_PROD_PERF is a plain view, so use ZDPR_C_BOEPD_DAY or the query models) and the target chart, all driven by one set of story filters. The BTP deployment guide, section 6, describes the live-connection setup. Choose this route if the dashboard audience is management rather than operations, or if the Fiori development capacity is the bottleneck.</w:t>
      </w:r>
    </w:p>
    <w:p>
      <w:pPr>
        <w:pStyle w:val="Heading1"/>
        <w:spacing w:after="160" w:before="320"/>
      </w:pPr>
      <w:r>
        <w:t xml:space="preserve">6.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500"/>
        <w:gridCol w:w="2960"/>
      </w:tblGrid>
      <w:tr>
        <w:trPr>
          <w:tblHeader/>
        </w:trPr>
        <w:tc>
          <w:tcPr>
            <w:tcW w:type="dxa" w:w="2900"/>
            <w:shd w:fill="1F4E79" w:val="clear"/>
            <w:tcMar>
              <w:top w:type="dxa" w:w="70"/>
              <w:left w:type="dxa" w:w="110"/>
              <w:bottom w:type="dxa" w:w="70"/>
              <w:right w:type="dxa" w:w="110"/>
            </w:tcMar>
          </w:tcPr>
          <w:p>
            <w:pPr>
              <w:spacing w:after="0"/>
            </w:pPr>
            <w:r>
              <w:rPr>
                <w:b/>
                <w:bCs/>
                <w:color w:val="FFFFFF"/>
                <w:sz w:val="19"/>
                <w:szCs w:val="19"/>
              </w:rPr>
              <w:t xml:space="preserve">Symptom</w:t>
            </w:r>
          </w:p>
        </w:tc>
        <w:tc>
          <w:tcPr>
            <w:tcW w:type="dxa" w:w="3500"/>
            <w:shd w:fill="1F4E79" w:val="clear"/>
            <w:tcMar>
              <w:top w:type="dxa" w:w="70"/>
              <w:left w:type="dxa" w:w="110"/>
              <w:bottom w:type="dxa" w:w="70"/>
              <w:right w:type="dxa" w:w="110"/>
            </w:tcMar>
          </w:tcPr>
          <w:p>
            <w:pPr>
              <w:spacing w:after="0"/>
            </w:pPr>
            <w:r>
              <w:rPr>
                <w:b/>
                <w:bCs/>
                <w:color w:val="FFFFFF"/>
                <w:sz w:val="19"/>
                <w:szCs w:val="19"/>
              </w:rPr>
              <w:t xml:space="preserve">Cause</w:t>
            </w:r>
          </w:p>
        </w:tc>
        <w:tc>
          <w:tcPr>
            <w:tcW w:type="dxa" w:w="2960"/>
            <w:shd w:fill="1F4E79" w:val="clear"/>
            <w:tcMar>
              <w:top w:type="dxa" w:w="70"/>
              <w:left w:type="dxa" w:w="110"/>
              <w:bottom w:type="dxa" w:w="70"/>
              <w:right w:type="dxa" w:w="110"/>
            </w:tcMar>
          </w:tcPr>
          <w:p>
            <w:pPr>
              <w:spacing w:after="0"/>
            </w:pPr>
            <w:r>
              <w:rPr>
                <w:b/>
                <w:bCs/>
                <w:color w:val="FFFFFF"/>
                <w:sz w:val="19"/>
                <w:szCs w:val="19"/>
              </w:rPr>
              <w:t xml:space="preserve">Fix</w:t>
            </w:r>
          </w:p>
        </w:tc>
      </w:tr>
      <w:tr>
        <w:tc>
          <w:tcPr>
            <w:tcW w:type="dxa" w:w="2900"/>
            <w:shd w:fill="FFFFFF" w:val="clear"/>
            <w:tcMar>
              <w:top w:type="dxa" w:w="70"/>
              <w:left w:type="dxa" w:w="110"/>
              <w:bottom w:type="dxa" w:w="70"/>
              <w:right w:type="dxa" w:w="110"/>
            </w:tcMar>
          </w:tcPr>
          <w:p>
            <w:pPr>
              <w:spacing w:after="0"/>
            </w:pPr>
            <w:r>
              <w:rPr>
                <w:b w:val="false"/>
                <w:bCs w:val="false"/>
                <w:sz w:val="19"/>
                <w:szCs w:val="19"/>
              </w:rPr>
              <w:t xml:space="preserve">Card shows “Cannot load card”</w:t>
            </w:r>
          </w:p>
        </w:tc>
        <w:tc>
          <w:tcPr>
            <w:tcW w:type="dxa" w:w="3500"/>
            <w:shd w:fill="FFFFFF" w:val="clear"/>
            <w:tcMar>
              <w:top w:type="dxa" w:w="70"/>
              <w:left w:type="dxa" w:w="110"/>
              <w:bottom w:type="dxa" w:w="70"/>
              <w:right w:type="dxa" w:w="110"/>
            </w:tcMar>
          </w:tcPr>
          <w:p>
            <w:pPr>
              <w:spacing w:after="0"/>
            </w:pPr>
            <w:r>
              <w:rPr>
                <w:b w:val="false"/>
                <w:bCs w:val="false"/>
                <w:sz w:val="19"/>
                <w:szCs w:val="19"/>
              </w:rPr>
              <w:t xml:space="preserve">Model name in the card does not match sap.ui5 → models, or the service is not registered in /IWFND/MAINT_SERVICE</w:t>
            </w:r>
          </w:p>
        </w:tc>
        <w:tc>
          <w:tcPr>
            <w:tcW w:type="dxa" w:w="2960"/>
            <w:shd w:fill="FFFFFF" w:val="clear"/>
            <w:tcMar>
              <w:top w:type="dxa" w:w="70"/>
              <w:left w:type="dxa" w:w="110"/>
              <w:bottom w:type="dxa" w:w="70"/>
              <w:right w:type="dxa" w:w="110"/>
            </w:tcMar>
          </w:tcPr>
          <w:p>
            <w:pPr>
              <w:spacing w:after="0"/>
            </w:pPr>
            <w:r>
              <w:rPr>
                <w:b w:val="false"/>
                <w:bCs w:val="false"/>
                <w:sz w:val="19"/>
                <w:szCs w:val="19"/>
              </w:rPr>
              <w:t xml:space="preserve">Section 4.2 / Section 3 step 2</w:t>
            </w:r>
          </w:p>
        </w:tc>
      </w:tr>
      <w:tr>
        <w:tc>
          <w:tcPr>
            <w:tcW w:type="dxa" w:w="2900"/>
            <w:shd w:fill="F2F2F2" w:val="clear"/>
            <w:tcMar>
              <w:top w:type="dxa" w:w="70"/>
              <w:left w:type="dxa" w:w="110"/>
              <w:bottom w:type="dxa" w:w="70"/>
              <w:right w:type="dxa" w:w="110"/>
            </w:tcMar>
          </w:tcPr>
          <w:p>
            <w:pPr>
              <w:spacing w:after="0"/>
            </w:pPr>
            <w:r>
              <w:rPr>
                <w:b w:val="false"/>
                <w:bCs w:val="false"/>
                <w:sz w:val="19"/>
                <w:szCs w:val="19"/>
              </w:rPr>
              <w:t xml:space="preserve">Card is empty although the service works</w:t>
            </w:r>
          </w:p>
        </w:tc>
        <w:tc>
          <w:tcPr>
            <w:tcW w:type="dxa" w:w="3500"/>
            <w:shd w:fill="F2F2F2" w:val="clear"/>
            <w:tcMar>
              <w:top w:type="dxa" w:w="70"/>
              <w:left w:type="dxa" w:w="110"/>
              <w:bottom w:type="dxa" w:w="70"/>
              <w:right w:type="dxa" w:w="110"/>
            </w:tcMar>
          </w:tcPr>
          <w:p>
            <w:pPr>
              <w:spacing w:after="0"/>
            </w:pPr>
            <w:r>
              <w:rPr>
                <w:b w:val="false"/>
                <w:bCs w:val="false"/>
                <w:sz w:val="19"/>
                <w:szCs w:val="19"/>
              </w:rPr>
              <w:t xml:space="preserve">Parameters not supplied — SelectionVariant#Params missing for that card, or names differ from the global filter fields</w:t>
            </w:r>
          </w:p>
        </w:tc>
        <w:tc>
          <w:tcPr>
            <w:tcW w:type="dxa" w:w="2960"/>
            <w:shd w:fill="F2F2F2" w:val="clear"/>
            <w:tcMar>
              <w:top w:type="dxa" w:w="70"/>
              <w:left w:type="dxa" w:w="110"/>
              <w:bottom w:type="dxa" w:w="70"/>
              <w:right w:type="dxa" w:w="110"/>
            </w:tcMar>
          </w:tcPr>
          <w:p>
            <w:pPr>
              <w:spacing w:after="0"/>
            </w:pPr>
            <w:r>
              <w:rPr>
                <w:b w:val="false"/>
                <w:bCs w:val="false"/>
                <w:sz w:val="19"/>
                <w:szCs w:val="19"/>
              </w:rPr>
              <w:t xml:space="preserve">Section 4.3</w:t>
            </w:r>
          </w:p>
        </w:tc>
      </w:tr>
      <w:tr>
        <w:tc>
          <w:tcPr>
            <w:tcW w:type="dxa" w:w="2900"/>
            <w:shd w:fill="FFFFFF" w:val="clear"/>
            <w:tcMar>
              <w:top w:type="dxa" w:w="70"/>
              <w:left w:type="dxa" w:w="110"/>
              <w:bottom w:type="dxa" w:w="70"/>
              <w:right w:type="dxa" w:w="110"/>
            </w:tcMar>
          </w:tcPr>
          <w:p>
            <w:pPr>
              <w:spacing w:after="0"/>
            </w:pPr>
            <w:r>
              <w:rPr>
                <w:b w:val="false"/>
                <w:bCs w:val="false"/>
                <w:sz w:val="19"/>
                <w:szCs w:val="19"/>
              </w:rPr>
              <w:t xml:space="preserve">Chart card has no chart definition</w:t>
            </w:r>
          </w:p>
        </w:tc>
        <w:tc>
          <w:tcPr>
            <w:tcW w:type="dxa" w:w="3500"/>
            <w:shd w:fill="FFFFFF" w:val="clear"/>
            <w:tcMar>
              <w:top w:type="dxa" w:w="70"/>
              <w:left w:type="dxa" w:w="110"/>
              <w:bottom w:type="dxa" w:w="70"/>
              <w:right w:type="dxa" w:w="110"/>
            </w:tcMar>
          </w:tcPr>
          <w:p>
            <w:pPr>
              <w:spacing w:after="0"/>
            </w:pPr>
            <w:r>
              <w:rPr>
                <w:b w:val="false"/>
                <w:bCs w:val="false"/>
                <w:sz w:val="19"/>
                <w:szCs w:val="19"/>
              </w:rPr>
              <w:t xml:space="preserve">Metadata extension of that query not active, or wrong chart qualifier in chartAnnotationPath</w:t>
            </w:r>
          </w:p>
        </w:tc>
        <w:tc>
          <w:tcPr>
            <w:tcW w:type="dxa" w:w="2960"/>
            <w:shd w:fill="FFFFFF" w:val="clear"/>
            <w:tcMar>
              <w:top w:type="dxa" w:w="70"/>
              <w:left w:type="dxa" w:w="110"/>
              <w:bottom w:type="dxa" w:w="70"/>
              <w:right w:type="dxa" w:w="110"/>
            </w:tcMar>
          </w:tcPr>
          <w:p>
            <w:pPr>
              <w:spacing w:after="0"/>
            </w:pPr>
            <w:r>
              <w:rPr>
                <w:b w:val="false"/>
                <w:bCs w:val="false"/>
                <w:sz w:val="19"/>
                <w:szCs w:val="19"/>
              </w:rPr>
              <w:t xml:space="preserve">Activate DDLX; qualifiers: BoepdVsTarget, TrendLine, ActualVsTarget, PerfByGroup, ByDate</w:t>
            </w:r>
          </w:p>
        </w:tc>
      </w:tr>
      <w:tr>
        <w:tc>
          <w:tcPr>
            <w:tcW w:type="dxa" w:w="2900"/>
            <w:shd w:fill="F2F2F2" w:val="clear"/>
            <w:tcMar>
              <w:top w:type="dxa" w:w="70"/>
              <w:left w:type="dxa" w:w="110"/>
              <w:bottom w:type="dxa" w:w="70"/>
              <w:right w:type="dxa" w:w="110"/>
            </w:tcMar>
          </w:tcPr>
          <w:p>
            <w:pPr>
              <w:spacing w:after="0"/>
            </w:pPr>
            <w:r>
              <w:rPr>
                <w:b w:val="false"/>
                <w:bCs w:val="false"/>
                <w:sz w:val="19"/>
                <w:szCs w:val="19"/>
              </w:rPr>
              <w:t xml:space="preserve">Global filter fields missing</w:t>
            </w:r>
          </w:p>
        </w:tc>
        <w:tc>
          <w:tcPr>
            <w:tcW w:type="dxa" w:w="3500"/>
            <w:shd w:fill="F2F2F2" w:val="clear"/>
            <w:tcMar>
              <w:top w:type="dxa" w:w="70"/>
              <w:left w:type="dxa" w:w="110"/>
              <w:bottom w:type="dxa" w:w="70"/>
              <w:right w:type="dxa" w:w="110"/>
            </w:tcMar>
          </w:tcPr>
          <w:p>
            <w:pPr>
              <w:spacing w:after="0"/>
            </w:pPr>
            <w:r>
              <w:rPr>
                <w:b w:val="false"/>
                <w:bCs w:val="false"/>
                <w:sz w:val="19"/>
                <w:szCs w:val="19"/>
              </w:rPr>
              <w:t xml:space="preserve">globalFilterEntityType not the parameter entity type</w:t>
            </w:r>
          </w:p>
        </w:tc>
        <w:tc>
          <w:tcPr>
            <w:tcW w:type="dxa" w:w="2960"/>
            <w:shd w:fill="F2F2F2" w:val="clear"/>
            <w:tcMar>
              <w:top w:type="dxa" w:w="70"/>
              <w:left w:type="dxa" w:w="110"/>
              <w:bottom w:type="dxa" w:w="70"/>
              <w:right w:type="dxa" w:w="110"/>
            </w:tcMar>
          </w:tcPr>
          <w:p>
            <w:pPr>
              <w:spacing w:after="0"/>
            </w:pPr>
            <w:r>
              <w:rPr>
                <w:b w:val="false"/>
                <w:bCs w:val="false"/>
                <w:sz w:val="19"/>
                <w:szCs w:val="19"/>
              </w:rPr>
              <w:t xml:space="preserve">Set to ZDPR_Q_PROD_PERFType</w:t>
            </w:r>
          </w:p>
        </w:tc>
      </w:tr>
      <w:tr>
        <w:tc>
          <w:tcPr>
            <w:tcW w:type="dxa" w:w="2900"/>
            <w:shd w:fill="FFFFFF" w:val="clear"/>
            <w:tcMar>
              <w:top w:type="dxa" w:w="70"/>
              <w:left w:type="dxa" w:w="110"/>
              <w:bottom w:type="dxa" w:w="70"/>
              <w:right w:type="dxa" w:w="110"/>
            </w:tcMar>
          </w:tcPr>
          <w:p>
            <w:pPr>
              <w:spacing w:after="0"/>
            </w:pPr>
            <w:r>
              <w:rPr>
                <w:b w:val="false"/>
                <w:bCs w:val="false"/>
                <w:sz w:val="19"/>
                <w:szCs w:val="19"/>
              </w:rPr>
              <w:t xml:space="preserve">Target line at zero</w:t>
            </w:r>
          </w:p>
        </w:tc>
        <w:tc>
          <w:tcPr>
            <w:tcW w:type="dxa" w:w="3500"/>
            <w:shd w:fill="FFFFFF" w:val="clear"/>
            <w:tcMar>
              <w:top w:type="dxa" w:w="70"/>
              <w:left w:type="dxa" w:w="110"/>
              <w:bottom w:type="dxa" w:w="70"/>
              <w:right w:type="dxa" w:w="110"/>
            </w:tcMar>
          </w:tcPr>
          <w:p>
            <w:pPr>
              <w:spacing w:after="0"/>
            </w:pPr>
            <w:r>
              <w:rPr>
                <w:b w:val="false"/>
                <w:bCs w:val="false"/>
                <w:sz w:val="19"/>
                <w:szCs w:val="19"/>
              </w:rPr>
              <w:t xml:space="preserve">FY 2025-26 targets not loaded</w:t>
            </w:r>
          </w:p>
        </w:tc>
        <w:tc>
          <w:tcPr>
            <w:tcW w:type="dxa" w:w="2960"/>
            <w:shd w:fill="FFFFFF" w:val="clear"/>
            <w:tcMar>
              <w:top w:type="dxa" w:w="70"/>
              <w:left w:type="dxa" w:w="110"/>
              <w:bottom w:type="dxa" w:w="70"/>
              <w:right w:type="dxa" w:w="110"/>
            </w:tcMar>
          </w:tcPr>
          <w:p>
            <w:pPr>
              <w:spacing w:after="0"/>
            </w:pPr>
            <w:r>
              <w:rPr>
                <w:b w:val="false"/>
                <w:bCs w:val="false"/>
                <w:sz w:val="19"/>
                <w:szCs w:val="19"/>
              </w:rPr>
              <w:t xml:space="preserve">Use FY 2024-25 for testing; load data</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DPR Analytical RAP — One Dashboard (Overview Page)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Light" w:cs="Calibri Light" w:eastAsia="Calibri Light" w:hAnsi="Calibri Light"/>
      <w:b/>
      <w:bCs/>
      <w:color w:val="1F4E79"/>
      <w:sz w:val="32"/>
      <w:szCs w:val="32"/>
    </w:rPr>
  </w:style>
  <w:style w:type="paragraph" w:styleId="Heading2">
    <w:name w:val="Heading 2"/>
    <w:basedOn w:val="Normal"/>
    <w:next w:val="Normal"/>
    <w:qFormat/>
    <w:rPr>
      <w:rFonts w:ascii="Calibri Light" w:cs="Calibri Light" w:eastAsia="Calibri Light" w:hAnsi="Calibri Light"/>
      <w:b/>
      <w:bCs/>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DPR Analytical RAP — One Dashboard (Overview Page)</dc:title>
  <dc:creator>ONGC Videsh DPR Project</dc:creator>
  <cp:lastModifiedBy>Un-named</cp:lastModifiedBy>
  <cp:revision>1</cp:revision>
  <dcterms:created xsi:type="dcterms:W3CDTF">2026-09-15T11:28:03.534Z</dcterms:created>
  <dcterms:modified xsi:type="dcterms:W3CDTF">2026-09-15T11:28:03.534Z</dcterms:modified>
</cp:coreProperties>
</file>

<file path=docProps/custom.xml><?xml version="1.0" encoding="utf-8"?>
<Properties xmlns="http://schemas.openxmlformats.org/officeDocument/2006/custom-properties" xmlns:vt="http://schemas.openxmlformats.org/officeDocument/2006/docPropsVTypes"/>
</file>