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79"/>
          <w:sz w:val="44"/>
          <w:szCs w:val="44"/>
        </w:rPr>
        <w:t xml:space="preserve">ONGC Videsh — Production Dashboard</w:t>
      </w:r>
    </w:p>
    <w:p>
      <w:pPr>
        <w:spacing w:before="160"/>
        <w:jc w:val="center"/>
      </w:pPr>
      <w:r>
        <w:rPr>
          <w:b/>
          <w:bCs/>
          <w:color w:val="404040"/>
          <w:sz w:val="28"/>
          <w:szCs w:val="28"/>
        </w:rPr>
        <w:t xml:space="preserve">Workbook Production_Dashboard FY27 (31.08.2026).xlsm</w:t>
      </w:r>
    </w:p>
    <w:p>
      <w:pPr>
        <w:spacing w:before="160"/>
        <w:jc w:val="center"/>
      </w:pPr>
      <w:r>
        <w:rPr>
          <w:b/>
          <w:bCs/>
          <w:color w:val="404040"/>
          <w:sz w:val="26"/>
          <w:szCs w:val="26"/>
        </w:rPr>
        <w:t xml:space="preserve">Which data comes from SAP, which is a rule, and which is not in SAP at all</w:t>
      </w:r>
    </w:p>
    <w:p>
      <w:pPr>
        <w:spacing w:before="500"/>
        <w:jc w:val="center"/>
      </w:pPr>
      <w:r>
        <w:rPr>
          <w:i/>
          <w:iCs/>
          <w:color w:val="606060"/>
          <w:sz w:val="22"/>
          <w:szCs w:val="22"/>
        </w:rPr>
        <w:t xml:space="preserve">Analysis of all 64 sheets — basis for the dashboard design and the customer discussion</w:t>
      </w:r>
    </w:p>
    <w:p>
      <w:r>
        <w:br w:type="page"/>
      </w:r>
    </w:p>
    <w:p>
      <w:pPr>
        <w:pStyle w:val="Heading1"/>
        <w:spacing w:after="160" w:before="3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Summary</w:t>
      </w:r>
    </w:p>
    <w:p>
      <w:pPr>
        <w:spacing w:after="120"/>
      </w:pPr>
      <w:r>
        <w:rPr>
          <w:b w:val="false"/>
          <w:bCs w:val="false"/>
          <w:i w:val="false"/>
          <w:iCs w:val="false"/>
          <w:sz w:val="21"/>
          <w:szCs w:val="21"/>
        </w:rPr>
        <w:t xml:space="preserve">The workbook is the customer's working tool for the daily production review and forward planning. It has 64 sheets (21 hidden), one dashboard page, roughly 90,000 formulas and about 60,000 typed values. Every sheet was read and every block of numbers was traced to its origin: typed by hand, computed from another sheet, or linked externally. The only external link points to last year's copy of the same workbook and is not used by any live formula.</w:t>
      </w:r>
    </w:p>
    <w:p>
      <w:pPr>
        <w:spacing w:after="120"/>
      </w:pPr>
      <w:r>
        <w:rPr>
          <w:b/>
          <w:bCs/>
          <w:i w:val="false"/>
          <w:iCs w:val="false"/>
          <w:sz w:val="21"/>
          <w:szCs w:val="21"/>
        </w:rPr>
        <w:t xml:space="preserve">Three classes are used throughout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shd w:fill="1F4E79" w:val="clear"/>
            <w:tcMar>
              <w:top w:type="dxa" w:w="60"/>
              <w:left w:type="dxa" w:w="100"/>
              <w:bottom w:type="dxa" w:w="60"/>
              <w:right w:type="dxa" w:w="100"/>
            </w:tcMar>
          </w:tcPr>
          <w:p>
            <w:pPr>
              <w:spacing w:after="0"/>
            </w:pPr>
            <w:r>
              <w:rPr>
                <w:b/>
                <w:bCs/>
                <w:color w:val="FFFFFF"/>
                <w:sz w:val="18"/>
                <w:szCs w:val="18"/>
              </w:rPr>
              <w:t xml:space="preserve">Class</w:t>
            </w:r>
          </w:p>
        </w:tc>
        <w:tc>
          <w:tcPr>
            <w:tcW w:type="dxa" w:w="4800"/>
            <w:shd w:fill="1F4E79" w:val="clear"/>
            <w:tcMar>
              <w:top w:type="dxa" w:w="60"/>
              <w:left w:type="dxa" w:w="100"/>
              <w:bottom w:type="dxa" w:w="60"/>
              <w:right w:type="dxa" w:w="100"/>
            </w:tcMar>
          </w:tcPr>
          <w:p>
            <w:pPr>
              <w:spacing w:after="0"/>
            </w:pPr>
            <w:r>
              <w:rPr>
                <w:b/>
                <w:bCs/>
                <w:color w:val="FFFFFF"/>
                <w:sz w:val="18"/>
                <w:szCs w:val="18"/>
              </w:rPr>
              <w:t xml:space="preserve">Meaning</w:t>
            </w:r>
          </w:p>
        </w:tc>
        <w:tc>
          <w:tcPr>
            <w:tcW w:type="dxa" w:w="2160"/>
            <w:shd w:fill="1F4E79" w:val="clear"/>
            <w:tcMar>
              <w:top w:type="dxa" w:w="60"/>
              <w:left w:type="dxa" w:w="100"/>
              <w:bottom w:type="dxa" w:w="60"/>
              <w:right w:type="dxa" w:w="100"/>
            </w:tcMar>
          </w:tcPr>
          <w:p>
            <w:pPr>
              <w:spacing w:after="0"/>
            </w:pPr>
            <w:r>
              <w:rPr>
                <w:b/>
                <w:bCs/>
                <w:color w:val="FFFFFF"/>
                <w:sz w:val="18"/>
                <w:szCs w:val="18"/>
              </w:rPr>
              <w:t xml:space="preserve">Share of the workbook</w:t>
            </w:r>
          </w:p>
        </w:tc>
      </w:tr>
      <w:tr>
        <w:tc>
          <w:tcPr>
            <w:tcW w:type="dxa" w:w="2400"/>
            <w:shd w:fill="E2EFDA" w:val="clear"/>
            <w:tcMar>
              <w:top w:type="dxa" w:w="60"/>
              <w:left w:type="dxa" w:w="100"/>
              <w:bottom w:type="dxa" w:w="60"/>
              <w:right w:type="dxa" w:w="100"/>
            </w:tcMar>
          </w:tcPr>
          <w:p>
            <w:pPr>
              <w:spacing w:after="0"/>
            </w:pPr>
            <w:r>
              <w:rPr>
                <w:b w:val="false"/>
                <w:bCs w:val="false"/>
                <w:sz w:val="18"/>
                <w:szCs w:val="18"/>
              </w:rPr>
              <w:t xml:space="preserve">A — SAP-available</w:t>
            </w:r>
          </w:p>
        </w:tc>
        <w:tc>
          <w:tcPr>
            <w:tcW w:type="dxa" w:w="4800"/>
            <w:shd w:fill="FFFFFF" w:val="clear"/>
            <w:tcMar>
              <w:top w:type="dxa" w:w="60"/>
              <w:left w:type="dxa" w:w="100"/>
              <w:bottom w:type="dxa" w:w="60"/>
              <w:right w:type="dxa" w:w="100"/>
            </w:tcMar>
          </w:tcPr>
          <w:p>
            <w:pPr>
              <w:spacing w:after="0"/>
            </w:pPr>
            <w:r>
              <w:rPr>
                <w:b w:val="false"/>
                <w:bCs w:val="false"/>
                <w:sz w:val="18"/>
                <w:szCs w:val="18"/>
              </w:rPr>
              <w:t xml:space="preserve">The figure exists in the SAP tables (daily production, monthly reconciled production, targets, participating interest, asset texts) and only needs unit conversion or aggregation.</w:t>
            </w:r>
          </w:p>
        </w:tc>
        <w:tc>
          <w:tcPr>
            <w:tcW w:type="dxa" w:w="2160"/>
            <w:shd w:fill="FFFFFF" w:val="clear"/>
            <w:tcMar>
              <w:top w:type="dxa" w:w="60"/>
              <w:left w:type="dxa" w:w="100"/>
              <w:bottom w:type="dxa" w:w="60"/>
              <w:right w:type="dxa" w:w="100"/>
            </w:tcMar>
          </w:tcPr>
          <w:p>
            <w:pPr>
              <w:spacing w:after="0"/>
            </w:pPr>
            <w:r>
              <w:rPr>
                <w:b w:val="false"/>
                <w:bCs w:val="false"/>
                <w:sz w:val="18"/>
                <w:szCs w:val="18"/>
              </w:rPr>
              <w:t xml:space="preserve">All production and target numbers: the bulk of the data volume.</w:t>
            </w:r>
          </w:p>
        </w:tc>
      </w:tr>
      <w:tr>
        <w:tc>
          <w:tcPr>
            <w:tcW w:type="dxa" w:w="2400"/>
            <w:shd w:fill="FFF2CC" w:val="clear"/>
            <w:tcMar>
              <w:top w:type="dxa" w:w="60"/>
              <w:left w:type="dxa" w:w="100"/>
              <w:bottom w:type="dxa" w:w="60"/>
              <w:right w:type="dxa" w:w="100"/>
            </w:tcMar>
          </w:tcPr>
          <w:p>
            <w:pPr>
              <w:spacing w:after="0"/>
            </w:pPr>
            <w:r>
              <w:rPr>
                <w:b w:val="false"/>
                <w:bCs w:val="false"/>
                <w:sz w:val="18"/>
                <w:szCs w:val="18"/>
              </w:rPr>
              <w:t xml:space="preserve">B — SAP-partly (a rule)</w:t>
            </w:r>
          </w:p>
        </w:tc>
        <w:tc>
          <w:tcPr>
            <w:tcW w:type="dxa" w:w="4800"/>
            <w:shd w:fill="F2F2F2" w:val="clear"/>
            <w:tcMar>
              <w:top w:type="dxa" w:w="60"/>
              <w:left w:type="dxa" w:w="100"/>
              <w:bottom w:type="dxa" w:w="60"/>
              <w:right w:type="dxa" w:w="100"/>
            </w:tcMar>
          </w:tcPr>
          <w:p>
            <w:pPr>
              <w:spacing w:after="0"/>
            </w:pPr>
            <w:r>
              <w:rPr>
                <w:b w:val="false"/>
                <w:bCs w:val="false"/>
                <w:sz w:val="18"/>
                <w:szCs w:val="18"/>
              </w:rPr>
              <w:t xml:space="preserve">Derivable from SAP data, but with a calculation rule or a parameter that lives only in the workbook (reconciled-till month, conversion-factor logic, proration, asking rate, rounding switch, business-unit grouping).</w:t>
            </w:r>
          </w:p>
        </w:tc>
        <w:tc>
          <w:tcPr>
            <w:tcW w:type="dxa" w:w="2160"/>
            <w:shd w:fill="F2F2F2" w:val="clear"/>
            <w:tcMar>
              <w:top w:type="dxa" w:w="60"/>
              <w:left w:type="dxa" w:w="100"/>
              <w:bottom w:type="dxa" w:w="60"/>
              <w:right w:type="dxa" w:w="100"/>
            </w:tcMar>
          </w:tcPr>
          <w:p>
            <w:pPr>
              <w:spacing w:after="0"/>
            </w:pPr>
            <w:r>
              <w:rPr>
                <w:b w:val="false"/>
                <w:bCs w:val="false"/>
                <w:sz w:val="18"/>
                <w:szCs w:val="18"/>
              </w:rPr>
              <w:t xml:space="preserve">Almost every derived sheet; the rules are listed in section 5.</w:t>
            </w:r>
          </w:p>
        </w:tc>
      </w:tr>
      <w:tr>
        <w:tc>
          <w:tcPr>
            <w:tcW w:type="dxa" w:w="2400"/>
            <w:shd w:fill="FCE4D6" w:val="clear"/>
            <w:tcMar>
              <w:top w:type="dxa" w:w="60"/>
              <w:left w:type="dxa" w:w="100"/>
              <w:bottom w:type="dxa" w:w="60"/>
              <w:right w:type="dxa" w:w="100"/>
            </w:tcMar>
          </w:tcPr>
          <w:p>
            <w:pPr>
              <w:spacing w:after="0"/>
            </w:pPr>
            <w:r>
              <w:rPr>
                <w:b w:val="false"/>
                <w:bCs w:val="false"/>
                <w:sz w:val="18"/>
                <w:szCs w:val="18"/>
              </w:rPr>
              <w:t xml:space="preserve">C — Not in SAP</w:t>
            </w:r>
          </w:p>
        </w:tc>
        <w:tc>
          <w:tcPr>
            <w:tcW w:type="dxa" w:w="4800"/>
            <w:shd w:fill="FFFFFF" w:val="clear"/>
            <w:tcMar>
              <w:top w:type="dxa" w:w="60"/>
              <w:left w:type="dxa" w:w="100"/>
              <w:bottom w:type="dxa" w:w="60"/>
              <w:right w:type="dxa" w:w="100"/>
            </w:tcMar>
          </w:tcPr>
          <w:p>
            <w:pPr>
              <w:spacing w:after="0"/>
            </w:pPr>
            <w:r>
              <w:rPr>
                <w:b w:val="false"/>
                <w:bCs w:val="false"/>
                <w:sz w:val="18"/>
                <w:szCs w:val="18"/>
              </w:rPr>
              <w:t xml:space="preserve">Typed by hand and not present in any SAP table: remarks and reasons, partner CP-sheet operational data, Corporate Planning rounded figures, standardised rates, reference rates, manual adjustments and overrides, previous-year archive copies.</w:t>
            </w:r>
          </w:p>
        </w:tc>
        <w:tc>
          <w:tcPr>
            <w:tcW w:type="dxa" w:w="2160"/>
            <w:shd w:fill="FFFFFF" w:val="clear"/>
            <w:tcMar>
              <w:top w:type="dxa" w:w="60"/>
              <w:left w:type="dxa" w:w="100"/>
              <w:bottom w:type="dxa" w:w="60"/>
              <w:right w:type="dxa" w:w="100"/>
            </w:tcMar>
          </w:tcPr>
          <w:p>
            <w:pPr>
              <w:spacing w:after="0"/>
            </w:pPr>
            <w:r>
              <w:rPr>
                <w:b w:val="false"/>
                <w:bCs w:val="false"/>
                <w:sz w:val="18"/>
                <w:szCs w:val="18"/>
              </w:rPr>
              <w:t xml:space="preserve">Small in volume, but essential to several visible sheets.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00"/>
              <w:left w:type="dxa" w:w="140"/>
              <w:bottom w:type="dxa" w:w="100"/>
              <w:right w:type="dxa" w:w="140"/>
            </w:tcMar>
          </w:tcPr>
          <w:p>
            <w:pPr>
              <w:spacing w:after="0"/>
            </w:pPr>
            <w:r>
              <w:rPr>
                <w:b/>
                <w:bCs/>
                <w:sz w:val="21"/>
                <w:szCs w:val="21"/>
              </w:rPr>
              <w:t xml:space="preserve">Bottom line:  </w:t>
            </w:r>
            <w:r>
              <w:rPr>
                <w:sz w:val="21"/>
                <w:szCs w:val="21"/>
              </w:rPr>
              <w:t xml:space="preserve">The numbers can come from SAP. What the dashboard cannot get from SAP today is the text (remarks, reasons, activities), the partner CP-sheet operational data (wells, surveys, water cut, water injection), the Corporate Planning rounded production, the standardised and reference rates, and a handful of manual adjustments. Each of these needs either a small custom table with a maintenance screen or a decision to drop it. Section 6 lists them with a proposal; section 7 lists the questions for the customer.</w:t>
            </w:r>
          </w:p>
        </w:tc>
      </w:tr>
    </w:tbl>
    <w:p>
      <w:r>
        <w:br w:type="page"/>
      </w:r>
    </w:p>
    <w:p>
      <w:pPr>
        <w:pStyle w:val="Heading1"/>
        <w:spacing w:after="160" w:before="320"/>
      </w:pPr>
      <w:r>
        <w:t xml:space="preserve">2. How the workbook works (data flow)</w:t>
      </w:r>
    </w:p>
    <w:p>
      <w:pPr>
        <w:spacing w:after="120"/>
      </w:pPr>
      <w:r>
        <w:rPr>
          <w:b w:val="false"/>
          <w:bCs w:val="false"/>
          <w:i w:val="false"/>
          <w:iCs w:val="false"/>
          <w:sz w:val="21"/>
          <w:szCs w:val="21"/>
        </w:rPr>
        <w:t xml:space="preserve">There are three independent data chains that meet on the visible pages.</w:t>
      </w:r>
    </w:p>
    <w:p>
      <w:pPr>
        <w:pStyle w:val="Heading2"/>
        <w:spacing w:after="120" w:before="260"/>
      </w:pPr>
      <w:r>
        <w:t xml:space="preserve">2.1 Daily chain (non-reconciled)</w:t>
      </w:r>
    </w:p>
    <w:p>
      <w:pPr>
        <w:pStyle w:val="ListParagraph"/>
        <w:numPr>
          <w:ilvl w:val="0"/>
          <w:numId w:val="2"/>
        </w:numPr>
        <w:spacing w:after="80"/>
      </w:pPr>
      <w:r>
        <w:rPr>
          <w:sz w:val="21"/>
          <w:szCs w:val="21"/>
        </w:rPr>
        <w:t xml:space="preserve">DPR: one row per calendar day since 1-Apr-2023, JV oil in BOPD and JV gas in MMSCMD per asset, typed daily from the operators' reports, with two text columns: which assets are previous-day/provisional, and remarks. OVL share = JV × PI with a hard-coded ACG PI change (2.31 % → 2.925 % from Nov-2024).</w:t>
      </w:r>
    </w:p>
    <w:p>
      <w:pPr>
        <w:pStyle w:val="ListParagraph"/>
        <w:numPr>
          <w:ilvl w:val="0"/>
          <w:numId w:val="2"/>
        </w:numPr>
        <w:spacing w:after="80"/>
      </w:pPr>
      <w:r>
        <w:rPr>
          <w:sz w:val="21"/>
          <w:szCs w:val="21"/>
        </w:rPr>
        <w:t xml:space="preserve">DPRavg: monthly sums, days, averages and OVL tonnes/MMT and BCM from DPR, using the latest conversion factor per asset (CF_lat).</w:t>
      </w:r>
    </w:p>
    <w:p>
      <w:pPr>
        <w:pStyle w:val="ListParagraph"/>
        <w:numPr>
          <w:ilvl w:val="0"/>
          <w:numId w:val="2"/>
        </w:numPr>
        <w:spacing w:after="80"/>
      </w:pPr>
      <w:r>
        <w:rPr>
          <w:sz w:val="21"/>
          <w:szCs w:val="21"/>
        </w:rPr>
        <w:t xml:space="preserve">Dashboard, Gap_analysis, Mat_Balance, OperProdn Loss, reference_points, all_remarks, LBL read DPR directly.</w:t>
      </w:r>
    </w:p>
    <w:p>
      <w:pPr>
        <w:pStyle w:val="Heading2"/>
        <w:spacing w:after="120" w:before="260"/>
      </w:pPr>
      <w:r>
        <w:t xml:space="preserve">2.2 Reconciled chain (partner CP sheets)</w:t>
      </w:r>
    </w:p>
    <w:p>
      <w:pPr>
        <w:pStyle w:val="ListParagraph"/>
        <w:numPr>
          <w:ilvl w:val="0"/>
          <w:numId w:val="2"/>
        </w:numPr>
        <w:spacing w:after="80"/>
      </w:pPr>
      <w:r>
        <w:rPr>
          <w:sz w:val="21"/>
          <w:szCs w:val="21"/>
        </w:rPr>
        <w:t xml:space="preserve">14 per-asset sheets (ACG, BC10, MECL, A1A3, Sakhalin, IEC, Vankor, Vietnam, Carabobo, Sancristobal, LZC, GPOC, SPOC, CPO5): the partner's monthly statement pasted as values: JV barrels, JV MMSCM, OVL tonnes, conversion factor, plus wells drilled, surveys, water cut, water injection, remarks.</w:t>
      </w:r>
    </w:p>
    <w:p>
      <w:pPr>
        <w:pStyle w:val="ListParagraph"/>
        <w:numPr>
          <w:ilvl w:val="0"/>
          <w:numId w:val="2"/>
        </w:numPr>
        <w:spacing w:after="80"/>
      </w:pPr>
      <w:r>
        <w:rPr>
          <w:sz w:val="21"/>
          <w:szCs w:val="21"/>
        </w:rPr>
        <w:t xml:space="preserve">from CP sheet → Processed_Reconciled Prod → Approval_format (quarterly approval) and CF_lat (latest conversion factor); carryforward_cf keeps the year-opening factors.</w:t>
      </w:r>
    </w:p>
    <w:p>
      <w:pPr>
        <w:pStyle w:val="ListParagraph"/>
        <w:numPr>
          <w:ilvl w:val="0"/>
          <w:numId w:val="2"/>
        </w:numPr>
        <w:spacing w:after="80"/>
      </w:pPr>
      <w:r>
        <w:rPr>
          <w:sz w:val="21"/>
          <w:szCs w:val="21"/>
        </w:rPr>
        <w:t xml:space="preserve">Storage_Reconciled_prod (raw reconciled, filled by macro) and Storage_rounded_off_prod (Corporate Planning figures rounded to 3 decimals, typed) → Storage_Reconciled_prod_chosen (switch) → Previous year, non-reconprod, prod_compiled, report_prodcompiled.</w:t>
      </w:r>
    </w:p>
    <w:p>
      <w:pPr>
        <w:pStyle w:val="ListParagraph"/>
        <w:numPr>
          <w:ilvl w:val="0"/>
          <w:numId w:val="2"/>
        </w:numPr>
        <w:spacing w:after="80"/>
      </w:pPr>
      <w:r>
        <w:rPr>
          <w:sz w:val="21"/>
          <w:szCs w:val="21"/>
        </w:rPr>
        <w:t xml:space="preserve">prod_compiled blends the two chains: months up to the reconciled-till month (July'26, typed) use reconciled figures, later months use DPR averages, day-weighted to the dashboard date.</w:t>
      </w:r>
    </w:p>
    <w:p>
      <w:pPr>
        <w:pStyle w:val="Heading2"/>
        <w:spacing w:after="120" w:before="260"/>
      </w:pPr>
      <w:r>
        <w:t xml:space="preserve">2.3 Target chain</w:t>
      </w:r>
    </w:p>
    <w:p>
      <w:pPr>
        <w:pStyle w:val="ListParagraph"/>
        <w:numPr>
          <w:ilvl w:val="0"/>
          <w:numId w:val="2"/>
        </w:numPr>
        <w:spacing w:after="80"/>
      </w:pPr>
      <w:r>
        <w:rPr>
          <w:sz w:val="21"/>
          <w:szCs w:val="21"/>
        </w:rPr>
        <w:t xml:space="preserve">Storage_Targets: monthly OVL-share targets for BE, RE and MoU versions (MMT oil, BCM gas) for Apr-2023 to Mar-2027, plus conversion factors per version and year, all typed.</w:t>
      </w:r>
    </w:p>
    <w:p>
      <w:pPr>
        <w:pStyle w:val="ListParagraph"/>
        <w:numPr>
          <w:ilvl w:val="0"/>
          <w:numId w:val="2"/>
        </w:numPr>
        <w:spacing w:after="80"/>
      </w:pPr>
      <w:r>
        <w:rPr>
          <w:sz w:val="21"/>
          <w:szCs w:val="21"/>
        </w:rPr>
        <w:t xml:space="preserve">BEREMOU (choose version) → Targets-chosen (convert to JV BOPD / MMSCMD with PI, CF and days) → Target_monthwise → DTR (daily target rate) and Tables (chart series); YTDtarget prorates to YTD/QTD/MTD.</w:t>
      </w:r>
    </w:p>
    <w:p>
      <w:pPr>
        <w:pStyle w:val="Heading2"/>
        <w:spacing w:after="120" w:before="260"/>
      </w:pPr>
      <w:r>
        <w:t xml:space="preserve">2.4 Visible analysis pages</w:t>
      </w:r>
    </w:p>
    <w:p>
      <w:pPr>
        <w:pStyle w:val="ListParagraph"/>
        <w:numPr>
          <w:ilvl w:val="0"/>
          <w:numId w:val="2"/>
        </w:numPr>
        <w:spacing w:after="80"/>
      </w:pPr>
      <w:r>
        <w:rPr>
          <w:sz w:val="21"/>
          <w:szCs w:val="21"/>
        </w:rPr>
        <w:t xml:space="preserve">Dashboard (per asset today's rate vs selectable comparison; OVL totals; remarks; asking rate), mtd&amp;ytd, YTD_ach, Asking Rate, Internal, Quarterly / Monthly / Yearly Analysis, YoY, Previous Comp, Gap_analysis, Mat_Balance, Comparison_between_ref_points, Approval_format, report_prodcompiled, and five chart sheets (OVL, Russia, LAC, Asia Pacific, MENA CIS).</w:t>
      </w:r>
    </w:p>
    <w:p>
      <w:r>
        <w:br w:type="page"/>
      </w:r>
    </w:p>
    <w:p>
      <w:pPr>
        <w:pStyle w:val="Heading1"/>
        <w:spacing w:after="160" w:before="320"/>
      </w:pPr>
      <w:r>
        <w:t xml:space="preserve">3. Sheet-by-sheet mapping</w:t>
      </w:r>
    </w:p>
    <w:p>
      <w:pPr>
        <w:spacing w:after="120"/>
      </w:pPr>
      <w:r>
        <w:rPr>
          <w:b w:val="false"/>
          <w:bCs w:val="false"/>
          <w:i w:val="false"/>
          <w:iCs w:val="false"/>
          <w:sz w:val="21"/>
          <w:szCs w:val="21"/>
        </w:rPr>
        <w:t xml:space="preserve">Class column: A = SAP-available, B = SAP-partly (rule), C = not in SAP. Where a sheet mixes classes the dominant one is given and the exceptions are named.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3000"/>
        <w:gridCol w:w="700"/>
        <w:gridCol w:w="3060"/>
      </w:tblGrid>
      <w:tr>
        <w:trPr>
          <w:tblHeader/>
        </w:trPr>
        <w:tc>
          <w:tcPr>
            <w:tcW w:type="dxa" w:w="1700"/>
            <w:shd w:fill="1F4E79" w:val="clear"/>
            <w:tcMar>
              <w:top w:type="dxa" w:w="60"/>
              <w:left w:type="dxa" w:w="100"/>
              <w:bottom w:type="dxa" w:w="60"/>
              <w:right w:type="dxa" w:w="100"/>
            </w:tcMar>
          </w:tcPr>
          <w:p>
            <w:pPr>
              <w:spacing w:after="0"/>
            </w:pPr>
            <w:r>
              <w:rPr>
                <w:b/>
                <w:bCs/>
                <w:color w:val="FFFFFF"/>
                <w:sz w:val="18"/>
                <w:szCs w:val="18"/>
              </w:rPr>
              <w:t xml:space="preserve">Sheet</w:t>
            </w:r>
          </w:p>
        </w:tc>
        <w:tc>
          <w:tcPr>
            <w:tcW w:type="dxa" w:w="900"/>
            <w:shd w:fill="1F4E79" w:val="clear"/>
            <w:tcMar>
              <w:top w:type="dxa" w:w="60"/>
              <w:left w:type="dxa" w:w="100"/>
              <w:bottom w:type="dxa" w:w="60"/>
              <w:right w:type="dxa" w:w="100"/>
            </w:tcMar>
          </w:tcPr>
          <w:p>
            <w:pPr>
              <w:spacing w:after="0"/>
            </w:pPr>
            <w:r>
              <w:rPr>
                <w:b/>
                <w:bCs/>
                <w:color w:val="FFFFFF"/>
                <w:sz w:val="18"/>
                <w:szCs w:val="18"/>
              </w:rPr>
              <w:t xml:space="preserve">State</w:t>
            </w:r>
          </w:p>
        </w:tc>
        <w:tc>
          <w:tcPr>
            <w:tcW w:type="dxa" w:w="3000"/>
            <w:shd w:fill="1F4E79" w:val="clear"/>
            <w:tcMar>
              <w:top w:type="dxa" w:w="60"/>
              <w:left w:type="dxa" w:w="100"/>
              <w:bottom w:type="dxa" w:w="60"/>
              <w:right w:type="dxa" w:w="100"/>
            </w:tcMar>
          </w:tcPr>
          <w:p>
            <w:pPr>
              <w:spacing w:after="0"/>
            </w:pPr>
            <w:r>
              <w:rPr>
                <w:b/>
                <w:bCs/>
                <w:color w:val="FFFFFF"/>
                <w:sz w:val="18"/>
                <w:szCs w:val="18"/>
              </w:rPr>
              <w:t xml:space="preserve">Purpose</w:t>
            </w:r>
          </w:p>
        </w:tc>
        <w:tc>
          <w:tcPr>
            <w:tcW w:type="dxa" w:w="700"/>
            <w:shd w:fill="1F4E79" w:val="clear"/>
            <w:tcMar>
              <w:top w:type="dxa" w:w="60"/>
              <w:left w:type="dxa" w:w="100"/>
              <w:bottom w:type="dxa" w:w="60"/>
              <w:right w:type="dxa" w:w="100"/>
            </w:tcMar>
          </w:tcPr>
          <w:p>
            <w:pPr>
              <w:spacing w:after="0"/>
            </w:pPr>
            <w:r>
              <w:rPr>
                <w:b/>
                <w:bCs/>
                <w:color w:val="FFFFFF"/>
                <w:sz w:val="18"/>
                <w:szCs w:val="18"/>
              </w:rPr>
              <w:t xml:space="preserve">Class</w:t>
            </w:r>
          </w:p>
        </w:tc>
        <w:tc>
          <w:tcPr>
            <w:tcW w:type="dxa" w:w="3060"/>
            <w:shd w:fill="1F4E79" w:val="clear"/>
            <w:tcMar>
              <w:top w:type="dxa" w:w="60"/>
              <w:left w:type="dxa" w:w="100"/>
              <w:bottom w:type="dxa" w:w="60"/>
              <w:right w:type="dxa" w:w="100"/>
            </w:tcMar>
          </w:tcPr>
          <w:p>
            <w:pPr>
              <w:spacing w:after="0"/>
            </w:pPr>
            <w:r>
              <w:rPr>
                <w:b/>
                <w:bCs/>
                <w:color w:val="FFFFFF"/>
                <w:sz w:val="18"/>
                <w:szCs w:val="18"/>
              </w:rPr>
              <w:t xml:space="preserve">SAP source / exceptions</w:t>
            </w:r>
          </w:p>
        </w:tc>
      </w:tr>
      <w:tr>
        <w:tc>
          <w:tcPr>
            <w:tcW w:type="dxa" w:w="1700"/>
            <w:shd w:fill="FFFFFF" w:val="clear"/>
            <w:tcMar>
              <w:top w:type="dxa" w:w="60"/>
              <w:left w:type="dxa" w:w="100"/>
              <w:bottom w:type="dxa" w:w="60"/>
              <w:right w:type="dxa" w:w="100"/>
            </w:tcMar>
          </w:tcPr>
          <w:p>
            <w:pPr>
              <w:spacing w:after="0"/>
            </w:pPr>
            <w:r>
              <w:rPr>
                <w:b w:val="false"/>
                <w:bCs w:val="false"/>
                <w:sz w:val="18"/>
                <w:szCs w:val="18"/>
              </w:rPr>
              <w:t xml:space="preserve">Dashboard</w:t>
            </w:r>
          </w:p>
        </w:tc>
        <w:tc>
          <w:tcPr>
            <w:tcW w:type="dxa" w:w="900"/>
            <w:shd w:fill="FFFFFF"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FFFFF" w:val="clear"/>
            <w:tcMar>
              <w:top w:type="dxa" w:w="60"/>
              <w:left w:type="dxa" w:w="100"/>
              <w:bottom w:type="dxa" w:w="60"/>
              <w:right w:type="dxa" w:w="100"/>
            </w:tcMar>
          </w:tcPr>
          <w:p>
            <w:pPr>
              <w:spacing w:after="0"/>
            </w:pPr>
            <w:r>
              <w:rPr>
                <w:b w:val="false"/>
                <w:bCs w:val="false"/>
                <w:sz w:val="18"/>
                <w:szCs w:val="18"/>
              </w:rPr>
              <w:t xml:space="preserve">Main page: today's JV rate per asset vs comparison basis, OVL totals, remarks, asking-rate summary</w:t>
            </w:r>
          </w:p>
        </w:tc>
        <w:tc>
          <w:tcPr>
            <w:tcW w:type="dxa" w:w="700"/>
            <w:shd w:fill="FFF2CC" w:val="clear"/>
            <w:tcMar>
              <w:top w:type="dxa" w:w="60"/>
              <w:left w:type="dxa" w:w="100"/>
              <w:bottom w:type="dxa" w:w="60"/>
              <w:right w:type="dxa" w:w="100"/>
            </w:tcMar>
          </w:tcPr>
          <w:p>
            <w:pPr>
              <w:spacing w:after="0"/>
            </w:pPr>
            <w:r>
              <w:rPr>
                <w:b w:val="false"/>
                <w:bCs w:val="false"/>
                <w:sz w:val="18"/>
                <w:szCs w:val="18"/>
              </w:rPr>
              <w:t xml:space="preserve">B</w:t>
            </w:r>
          </w:p>
        </w:tc>
        <w:tc>
          <w:tcPr>
            <w:tcW w:type="dxa" w:w="3060"/>
            <w:shd w:fill="FFFFFF" w:val="clear"/>
            <w:tcMar>
              <w:top w:type="dxa" w:w="60"/>
              <w:left w:type="dxa" w:w="100"/>
              <w:bottom w:type="dxa" w:w="60"/>
              <w:right w:type="dxa" w:w="100"/>
            </w:tcMar>
          </w:tcPr>
          <w:p>
            <w:pPr>
              <w:spacing w:after="0"/>
            </w:pPr>
            <w:r>
              <w:rPr>
                <w:b w:val="false"/>
                <w:bCs w:val="false"/>
                <w:sz w:val="18"/>
                <w:szCs w:val="18"/>
              </w:rPr>
              <w:t xml:space="preserve">Rates: ZPRA_T_DLY_PRD. OVL: × ZPRA_T_PRD_PI. C: remarks (I10, I11), typed comparison figures L7/L8</w:t>
            </w:r>
          </w:p>
        </w:tc>
      </w:tr>
      <w:tr>
        <w:tc>
          <w:tcPr>
            <w:tcW w:type="dxa" w:w="1700"/>
            <w:shd w:fill="F2F2F2" w:val="clear"/>
            <w:tcMar>
              <w:top w:type="dxa" w:w="60"/>
              <w:left w:type="dxa" w:w="100"/>
              <w:bottom w:type="dxa" w:w="60"/>
              <w:right w:type="dxa" w:w="100"/>
            </w:tcMar>
          </w:tcPr>
          <w:p>
            <w:pPr>
              <w:spacing w:after="0"/>
            </w:pPr>
            <w:r>
              <w:rPr>
                <w:b w:val="false"/>
                <w:bCs w:val="false"/>
                <w:sz w:val="18"/>
                <w:szCs w:val="18"/>
              </w:rPr>
              <w:t xml:space="preserve">DPR</w:t>
            </w:r>
          </w:p>
        </w:tc>
        <w:tc>
          <w:tcPr>
            <w:tcW w:type="dxa" w:w="900"/>
            <w:shd w:fill="F2F2F2" w:val="clear"/>
            <w:tcMar>
              <w:top w:type="dxa" w:w="60"/>
              <w:left w:type="dxa" w:w="100"/>
              <w:bottom w:type="dxa" w:w="60"/>
              <w:right w:type="dxa" w:w="100"/>
            </w:tcMar>
          </w:tcPr>
          <w:p>
            <w:pPr>
              <w:spacing w:after="0"/>
            </w:pPr>
            <w:r>
              <w:rPr>
                <w:b w:val="false"/>
                <w:bCs w:val="false"/>
                <w:sz w:val="18"/>
                <w:szCs w:val="18"/>
              </w:rPr>
              <w:t xml:space="preserve">visible (filtered)</w:t>
            </w:r>
          </w:p>
        </w:tc>
        <w:tc>
          <w:tcPr>
            <w:tcW w:type="dxa" w:w="3000"/>
            <w:shd w:fill="F2F2F2" w:val="clear"/>
            <w:tcMar>
              <w:top w:type="dxa" w:w="60"/>
              <w:left w:type="dxa" w:w="100"/>
              <w:bottom w:type="dxa" w:w="60"/>
              <w:right w:type="dxa" w:w="100"/>
            </w:tcMar>
          </w:tcPr>
          <w:p>
            <w:pPr>
              <w:spacing w:after="0"/>
            </w:pPr>
            <w:r>
              <w:rPr>
                <w:b w:val="false"/>
                <w:bCs w:val="false"/>
                <w:sz w:val="18"/>
                <w:szCs w:val="18"/>
              </w:rPr>
              <w:t xml:space="preserve">Daily fact table: JV BOPD and MMSCMD per asset since Apr-2023, OVL totals, month key, data-lag note, remarks</w:t>
            </w:r>
          </w:p>
        </w:tc>
        <w:tc>
          <w:tcPr>
            <w:tcW w:type="dxa" w:w="700"/>
            <w:shd w:fill="E2EFDA" w:val="clear"/>
            <w:tcMar>
              <w:top w:type="dxa" w:w="60"/>
              <w:left w:type="dxa" w:w="100"/>
              <w:bottom w:type="dxa" w:w="60"/>
              <w:right w:type="dxa" w:w="100"/>
            </w:tcMar>
          </w:tcPr>
          <w:p>
            <w:pPr>
              <w:spacing w:after="0"/>
            </w:pPr>
            <w:r>
              <w:rPr>
                <w:b w:val="false"/>
                <w:bCs w:val="false"/>
                <w:sz w:val="18"/>
                <w:szCs w:val="18"/>
              </w:rPr>
              <w:t xml:space="preserve">A</w:t>
            </w:r>
          </w:p>
        </w:tc>
        <w:tc>
          <w:tcPr>
            <w:tcW w:type="dxa" w:w="3060"/>
            <w:shd w:fill="F2F2F2" w:val="clear"/>
            <w:tcMar>
              <w:top w:type="dxa" w:w="60"/>
              <w:left w:type="dxa" w:w="100"/>
              <w:bottom w:type="dxa" w:w="60"/>
              <w:right w:type="dxa" w:w="100"/>
            </w:tcMar>
          </w:tcPr>
          <w:p>
            <w:pPr>
              <w:spacing w:after="0"/>
            </w:pPr>
            <w:r>
              <w:rPr>
                <w:b w:val="false"/>
                <w:bCs w:val="false"/>
                <w:sz w:val="18"/>
                <w:szCs w:val="18"/>
              </w:rPr>
              <w:t xml:space="preserve">ZPRA_T_DLY_PRD NET_PROD (gas = net of injection). C: columns AI (provisional assets) and AJ (remarks)</w:t>
            </w:r>
          </w:p>
        </w:tc>
      </w:tr>
      <w:tr>
        <w:tc>
          <w:tcPr>
            <w:tcW w:type="dxa" w:w="1700"/>
            <w:shd w:fill="FFFFFF" w:val="clear"/>
            <w:tcMar>
              <w:top w:type="dxa" w:w="60"/>
              <w:left w:type="dxa" w:w="100"/>
              <w:bottom w:type="dxa" w:w="60"/>
              <w:right w:type="dxa" w:w="100"/>
            </w:tcMar>
          </w:tcPr>
          <w:p>
            <w:pPr>
              <w:spacing w:after="0"/>
            </w:pPr>
            <w:r>
              <w:rPr>
                <w:b w:val="false"/>
                <w:bCs w:val="false"/>
                <w:sz w:val="18"/>
                <w:szCs w:val="18"/>
              </w:rPr>
              <w:t xml:space="preserve">DPRavg</w:t>
            </w:r>
          </w:p>
        </w:tc>
        <w:tc>
          <w:tcPr>
            <w:tcW w:type="dxa" w:w="900"/>
            <w:shd w:fill="FFFFFF" w:val="clear"/>
            <w:tcMar>
              <w:top w:type="dxa" w:w="60"/>
              <w:left w:type="dxa" w:w="100"/>
              <w:bottom w:type="dxa" w:w="60"/>
              <w:right w:type="dxa" w:w="100"/>
            </w:tcMar>
          </w:tcPr>
          <w:p>
            <w:pPr>
              <w:spacing w:after="0"/>
            </w:pPr>
            <w:r>
              <w:rPr>
                <w:b w:val="false"/>
                <w:bCs w:val="false"/>
                <w:sz w:val="18"/>
                <w:szCs w:val="18"/>
              </w:rPr>
              <w:t xml:space="preserve">hidden</w:t>
            </w:r>
          </w:p>
        </w:tc>
        <w:tc>
          <w:tcPr>
            <w:tcW w:type="dxa" w:w="3000"/>
            <w:shd w:fill="FFFFFF" w:val="clear"/>
            <w:tcMar>
              <w:top w:type="dxa" w:w="60"/>
              <w:left w:type="dxa" w:w="100"/>
              <w:bottom w:type="dxa" w:w="60"/>
              <w:right w:type="dxa" w:w="100"/>
            </w:tcMar>
          </w:tcPr>
          <w:p>
            <w:pPr>
              <w:spacing w:after="0"/>
            </w:pPr>
            <w:r>
              <w:rPr>
                <w:b w:val="false"/>
                <w:bCs w:val="false"/>
                <w:sz w:val="18"/>
                <w:szCs w:val="18"/>
              </w:rPr>
              <w:t xml:space="preserve">Monthly sums, days, averages, OVL tonnes/MMT, BCM</w:t>
            </w:r>
          </w:p>
        </w:tc>
        <w:tc>
          <w:tcPr>
            <w:tcW w:type="dxa" w:w="700"/>
            <w:shd w:fill="FFF2CC" w:val="clear"/>
            <w:tcMar>
              <w:top w:type="dxa" w:w="60"/>
              <w:left w:type="dxa" w:w="100"/>
              <w:bottom w:type="dxa" w:w="60"/>
              <w:right w:type="dxa" w:w="100"/>
            </w:tcMar>
          </w:tcPr>
          <w:p>
            <w:pPr>
              <w:spacing w:after="0"/>
            </w:pPr>
            <w:r>
              <w:rPr>
                <w:b w:val="false"/>
                <w:bCs w:val="false"/>
                <w:sz w:val="18"/>
                <w:szCs w:val="18"/>
              </w:rPr>
              <w:t xml:space="preserve">B</w:t>
            </w:r>
          </w:p>
        </w:tc>
        <w:tc>
          <w:tcPr>
            <w:tcW w:type="dxa" w:w="3060"/>
            <w:shd w:fill="FFFFFF" w:val="clear"/>
            <w:tcMar>
              <w:top w:type="dxa" w:w="60"/>
              <w:left w:type="dxa" w:w="100"/>
              <w:bottom w:type="dxa" w:w="60"/>
              <w:right w:type="dxa" w:w="100"/>
            </w:tcMar>
          </w:tcPr>
          <w:p>
            <w:pPr>
              <w:spacing w:after="0"/>
            </w:pPr>
            <w:r>
              <w:rPr>
                <w:b w:val="false"/>
                <w:bCs w:val="false"/>
                <w:sz w:val="18"/>
                <w:szCs w:val="18"/>
              </w:rPr>
              <w:t xml:space="preserve">Aggregate of daily; CF from CF_lat (running factor, not the yearly ZPRA_T_TAR_CF); 'reconciled till' typed (F2)</w:t>
            </w:r>
          </w:p>
        </w:tc>
      </w:tr>
      <w:tr>
        <w:tc>
          <w:tcPr>
            <w:tcW w:type="dxa" w:w="1700"/>
            <w:shd w:fill="F2F2F2" w:val="clear"/>
            <w:tcMar>
              <w:top w:type="dxa" w:w="60"/>
              <w:left w:type="dxa" w:w="100"/>
              <w:bottom w:type="dxa" w:w="60"/>
              <w:right w:type="dxa" w:w="100"/>
            </w:tcMar>
          </w:tcPr>
          <w:p>
            <w:pPr>
              <w:spacing w:after="0"/>
            </w:pPr>
            <w:r>
              <w:rPr>
                <w:b w:val="false"/>
                <w:bCs w:val="false"/>
                <w:sz w:val="18"/>
                <w:szCs w:val="18"/>
              </w:rPr>
              <w:t xml:space="preserve">all_remarks</w:t>
            </w:r>
          </w:p>
        </w:tc>
        <w:tc>
          <w:tcPr>
            <w:tcW w:type="dxa" w:w="900"/>
            <w:shd w:fill="F2F2F2"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2F2F2" w:val="clear"/>
            <w:tcMar>
              <w:top w:type="dxa" w:w="60"/>
              <w:left w:type="dxa" w:w="100"/>
              <w:bottom w:type="dxa" w:w="60"/>
              <w:right w:type="dxa" w:w="100"/>
            </w:tcMar>
          </w:tcPr>
          <w:p>
            <w:pPr>
              <w:spacing w:after="0"/>
            </w:pPr>
            <w:r>
              <w:rPr>
                <w:b w:val="false"/>
                <w:bCs w:val="false"/>
                <w:sz w:val="18"/>
                <w:szCs w:val="18"/>
              </w:rPr>
              <w:t xml:space="preserve">Chronological list of the DPR remarks</w:t>
            </w:r>
          </w:p>
        </w:tc>
        <w:tc>
          <w:tcPr>
            <w:tcW w:type="dxa" w:w="700"/>
            <w:shd w:fill="FCE4D6" w:val="clear"/>
            <w:tcMar>
              <w:top w:type="dxa" w:w="60"/>
              <w:left w:type="dxa" w:w="100"/>
              <w:bottom w:type="dxa" w:w="60"/>
              <w:right w:type="dxa" w:w="100"/>
            </w:tcMar>
          </w:tcPr>
          <w:p>
            <w:pPr>
              <w:spacing w:after="0"/>
            </w:pPr>
            <w:r>
              <w:rPr>
                <w:b w:val="false"/>
                <w:bCs w:val="false"/>
                <w:sz w:val="18"/>
                <w:szCs w:val="18"/>
              </w:rPr>
              <w:t xml:space="preserve">C</w:t>
            </w:r>
          </w:p>
        </w:tc>
        <w:tc>
          <w:tcPr>
            <w:tcW w:type="dxa" w:w="3060"/>
            <w:shd w:fill="F2F2F2" w:val="clear"/>
            <w:tcMar>
              <w:top w:type="dxa" w:w="60"/>
              <w:left w:type="dxa" w:w="100"/>
              <w:bottom w:type="dxa" w:w="60"/>
              <w:right w:type="dxa" w:w="100"/>
            </w:tcMar>
          </w:tcPr>
          <w:p>
            <w:pPr>
              <w:spacing w:after="0"/>
            </w:pPr>
            <w:r>
              <w:rPr>
                <w:b w:val="false"/>
                <w:bCs w:val="false"/>
                <w:sz w:val="18"/>
                <w:szCs w:val="18"/>
              </w:rPr>
              <w:t xml:space="preserve">Free text; needs a remarks table (date, asset, text)</w:t>
            </w:r>
          </w:p>
        </w:tc>
      </w:tr>
      <w:tr>
        <w:tc>
          <w:tcPr>
            <w:tcW w:type="dxa" w:w="1700"/>
            <w:shd w:fill="FFFFFF" w:val="clear"/>
            <w:tcMar>
              <w:top w:type="dxa" w:w="60"/>
              <w:left w:type="dxa" w:w="100"/>
              <w:bottom w:type="dxa" w:w="60"/>
              <w:right w:type="dxa" w:w="100"/>
            </w:tcMar>
          </w:tcPr>
          <w:p>
            <w:pPr>
              <w:spacing w:after="0"/>
            </w:pPr>
            <w:r>
              <w:rPr>
                <w:b w:val="false"/>
                <w:bCs w:val="false"/>
                <w:sz w:val="18"/>
                <w:szCs w:val="18"/>
              </w:rPr>
              <w:t xml:space="preserve">LBL</w:t>
            </w:r>
          </w:p>
        </w:tc>
        <w:tc>
          <w:tcPr>
            <w:tcW w:type="dxa" w:w="900"/>
            <w:shd w:fill="FFFFFF"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FFFFF" w:val="clear"/>
            <w:tcMar>
              <w:top w:type="dxa" w:w="60"/>
              <w:left w:type="dxa" w:w="100"/>
              <w:bottom w:type="dxa" w:w="60"/>
              <w:right w:type="dxa" w:w="100"/>
            </w:tcMar>
          </w:tcPr>
          <w:p>
            <w:pPr>
              <w:spacing w:after="0"/>
            </w:pPr>
            <w:r>
              <w:rPr>
                <w:b w:val="false"/>
                <w:bCs w:val="false"/>
                <w:sz w:val="18"/>
                <w:szCs w:val="18"/>
              </w:rPr>
              <w:t xml:space="preserve">Short event labels per asset-day for chart annotation (not maintained since Feb-2024)</w:t>
            </w:r>
          </w:p>
        </w:tc>
        <w:tc>
          <w:tcPr>
            <w:tcW w:type="dxa" w:w="700"/>
            <w:shd w:fill="FCE4D6" w:val="clear"/>
            <w:tcMar>
              <w:top w:type="dxa" w:w="60"/>
              <w:left w:type="dxa" w:w="100"/>
              <w:bottom w:type="dxa" w:w="60"/>
              <w:right w:type="dxa" w:w="100"/>
            </w:tcMar>
          </w:tcPr>
          <w:p>
            <w:pPr>
              <w:spacing w:after="0"/>
            </w:pPr>
            <w:r>
              <w:rPr>
                <w:b w:val="false"/>
                <w:bCs w:val="false"/>
                <w:sz w:val="18"/>
                <w:szCs w:val="18"/>
              </w:rPr>
              <w:t xml:space="preserve">C</w:t>
            </w:r>
          </w:p>
        </w:tc>
        <w:tc>
          <w:tcPr>
            <w:tcW w:type="dxa" w:w="3060"/>
            <w:shd w:fill="FFFFFF" w:val="clear"/>
            <w:tcMar>
              <w:top w:type="dxa" w:w="60"/>
              <w:left w:type="dxa" w:w="100"/>
              <w:bottom w:type="dxa" w:w="60"/>
              <w:right w:type="dxa" w:w="100"/>
            </w:tcMar>
          </w:tcPr>
          <w:p>
            <w:pPr>
              <w:spacing w:after="0"/>
            </w:pPr>
            <w:r>
              <w:rPr>
                <w:b w:val="false"/>
                <w:bCs w:val="false"/>
                <w:sz w:val="18"/>
                <w:szCs w:val="18"/>
              </w:rPr>
              <w:t xml:space="preserve">Event/reason table</w:t>
            </w:r>
          </w:p>
        </w:tc>
      </w:tr>
      <w:tr>
        <w:tc>
          <w:tcPr>
            <w:tcW w:type="dxa" w:w="1700"/>
            <w:shd w:fill="F2F2F2" w:val="clear"/>
            <w:tcMar>
              <w:top w:type="dxa" w:w="60"/>
              <w:left w:type="dxa" w:w="100"/>
              <w:bottom w:type="dxa" w:w="60"/>
              <w:right w:type="dxa" w:w="100"/>
            </w:tcMar>
          </w:tcPr>
          <w:p>
            <w:pPr>
              <w:spacing w:after="0"/>
            </w:pPr>
            <w:r>
              <w:rPr>
                <w:b w:val="false"/>
                <w:bCs w:val="false"/>
                <w:sz w:val="18"/>
                <w:szCs w:val="18"/>
              </w:rPr>
              <w:t xml:space="preserve">Graphs_full, Charts-*</w:t>
            </w:r>
          </w:p>
        </w:tc>
        <w:tc>
          <w:tcPr>
            <w:tcW w:type="dxa" w:w="900"/>
            <w:shd w:fill="F2F2F2"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2F2F2" w:val="clear"/>
            <w:tcMar>
              <w:top w:type="dxa" w:w="60"/>
              <w:left w:type="dxa" w:w="100"/>
              <w:bottom w:type="dxa" w:w="60"/>
              <w:right w:type="dxa" w:w="100"/>
            </w:tcMar>
          </w:tcPr>
          <w:p>
            <w:pPr>
              <w:spacing w:after="0"/>
            </w:pPr>
            <w:r>
              <w:rPr>
                <w:b w:val="false"/>
                <w:bCs w:val="false"/>
                <w:sz w:val="18"/>
                <w:szCs w:val="18"/>
              </w:rPr>
              <w:t xml:space="preserve">Chart containers per BU and OVL total</w:t>
            </w:r>
          </w:p>
        </w:tc>
        <w:tc>
          <w:tcPr>
            <w:tcW w:type="dxa" w:w="700"/>
            <w:shd w:fill="FFF2CC" w:val="clear"/>
            <w:tcMar>
              <w:top w:type="dxa" w:w="60"/>
              <w:left w:type="dxa" w:w="100"/>
              <w:bottom w:type="dxa" w:w="60"/>
              <w:right w:type="dxa" w:w="100"/>
            </w:tcMar>
          </w:tcPr>
          <w:p>
            <w:pPr>
              <w:spacing w:after="0"/>
            </w:pPr>
            <w:r>
              <w:rPr>
                <w:b w:val="false"/>
                <w:bCs w:val="false"/>
                <w:sz w:val="18"/>
                <w:szCs w:val="18"/>
              </w:rPr>
              <w:t xml:space="preserve">B</w:t>
            </w:r>
          </w:p>
        </w:tc>
        <w:tc>
          <w:tcPr>
            <w:tcW w:type="dxa" w:w="3060"/>
            <w:shd w:fill="F2F2F2" w:val="clear"/>
            <w:tcMar>
              <w:top w:type="dxa" w:w="60"/>
              <w:left w:type="dxa" w:w="100"/>
              <w:bottom w:type="dxa" w:w="60"/>
              <w:right w:type="dxa" w:w="100"/>
            </w:tcMar>
          </w:tcPr>
          <w:p>
            <w:pPr>
              <w:spacing w:after="0"/>
            </w:pPr>
            <w:r>
              <w:rPr>
                <w:b w:val="false"/>
                <w:bCs w:val="false"/>
                <w:sz w:val="18"/>
                <w:szCs w:val="18"/>
              </w:rPr>
              <w:t xml:space="preserve">Plots A data; BU grouping is a rule (not in SAP)</w:t>
            </w:r>
          </w:p>
        </w:tc>
      </w:tr>
      <w:tr>
        <w:tc>
          <w:tcPr>
            <w:tcW w:type="dxa" w:w="1700"/>
            <w:shd w:fill="FFFFFF" w:val="clear"/>
            <w:tcMar>
              <w:top w:type="dxa" w:w="60"/>
              <w:left w:type="dxa" w:w="100"/>
              <w:bottom w:type="dxa" w:w="60"/>
              <w:right w:type="dxa" w:w="100"/>
            </w:tcMar>
          </w:tcPr>
          <w:p>
            <w:pPr>
              <w:spacing w:after="0"/>
            </w:pPr>
            <w:r>
              <w:rPr>
                <w:b w:val="false"/>
                <w:bCs w:val="false"/>
                <w:sz w:val="18"/>
                <w:szCs w:val="18"/>
              </w:rPr>
              <w:t xml:space="preserve">mtd&amp;ytd</w:t>
            </w:r>
          </w:p>
        </w:tc>
        <w:tc>
          <w:tcPr>
            <w:tcW w:type="dxa" w:w="900"/>
            <w:shd w:fill="FFFFFF"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FFFFF" w:val="clear"/>
            <w:tcMar>
              <w:top w:type="dxa" w:w="60"/>
              <w:left w:type="dxa" w:w="100"/>
              <w:bottom w:type="dxa" w:w="60"/>
              <w:right w:type="dxa" w:w="100"/>
            </w:tcMar>
          </w:tcPr>
          <w:p>
            <w:pPr>
              <w:spacing w:after="0"/>
            </w:pPr>
            <w:r>
              <w:rPr>
                <w:b w:val="false"/>
                <w:bCs w:val="false"/>
                <w:sz w:val="18"/>
                <w:szCs w:val="18"/>
              </w:rPr>
              <w:t xml:space="preserve">MTD/YTD OVL actual vs target, MMT/BCM/MMTOE</w:t>
            </w:r>
          </w:p>
        </w:tc>
        <w:tc>
          <w:tcPr>
            <w:tcW w:type="dxa" w:w="700"/>
            <w:shd w:fill="FFF2CC" w:val="clear"/>
            <w:tcMar>
              <w:top w:type="dxa" w:w="60"/>
              <w:left w:type="dxa" w:w="100"/>
              <w:bottom w:type="dxa" w:w="60"/>
              <w:right w:type="dxa" w:w="100"/>
            </w:tcMar>
          </w:tcPr>
          <w:p>
            <w:pPr>
              <w:spacing w:after="0"/>
            </w:pPr>
            <w:r>
              <w:rPr>
                <w:b w:val="false"/>
                <w:bCs w:val="false"/>
                <w:sz w:val="18"/>
                <w:szCs w:val="18"/>
              </w:rPr>
              <w:t xml:space="preserve">B</w:t>
            </w:r>
          </w:p>
        </w:tc>
        <w:tc>
          <w:tcPr>
            <w:tcW w:type="dxa" w:w="3060"/>
            <w:shd w:fill="FFFFFF" w:val="clear"/>
            <w:tcMar>
              <w:top w:type="dxa" w:w="60"/>
              <w:left w:type="dxa" w:w="100"/>
              <w:bottom w:type="dxa" w:w="60"/>
              <w:right w:type="dxa" w:w="100"/>
            </w:tcMar>
          </w:tcPr>
          <w:p>
            <w:pPr>
              <w:spacing w:after="0"/>
            </w:pPr>
            <w:r>
              <w:rPr>
                <w:b w:val="false"/>
                <w:bCs w:val="false"/>
                <w:sz w:val="18"/>
                <w:szCs w:val="18"/>
              </w:rPr>
              <w:t xml:space="preserve">Targets ZPRA_T_PRD_TAR; actuals reconciled+daily blend; MMTOE = MMT + BCM</w:t>
            </w:r>
          </w:p>
        </w:tc>
      </w:tr>
      <w:tr>
        <w:tc>
          <w:tcPr>
            <w:tcW w:type="dxa" w:w="1700"/>
            <w:shd w:fill="F2F2F2" w:val="clear"/>
            <w:tcMar>
              <w:top w:type="dxa" w:w="60"/>
              <w:left w:type="dxa" w:w="100"/>
              <w:bottom w:type="dxa" w:w="60"/>
              <w:right w:type="dxa" w:w="100"/>
            </w:tcMar>
          </w:tcPr>
          <w:p>
            <w:pPr>
              <w:spacing w:after="0"/>
            </w:pPr>
            <w:r>
              <w:rPr>
                <w:b w:val="false"/>
                <w:bCs w:val="false"/>
                <w:sz w:val="18"/>
                <w:szCs w:val="18"/>
              </w:rPr>
              <w:t xml:space="preserve">YTD display</w:t>
            </w:r>
          </w:p>
        </w:tc>
        <w:tc>
          <w:tcPr>
            <w:tcW w:type="dxa" w:w="900"/>
            <w:shd w:fill="F2F2F2"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2F2F2" w:val="clear"/>
            <w:tcMar>
              <w:top w:type="dxa" w:w="60"/>
              <w:left w:type="dxa" w:w="100"/>
              <w:bottom w:type="dxa" w:w="60"/>
              <w:right w:type="dxa" w:w="100"/>
            </w:tcMar>
          </w:tcPr>
          <w:p>
            <w:pPr>
              <w:spacing w:after="0"/>
            </w:pPr>
            <w:r>
              <w:rPr>
                <w:b w:val="false"/>
                <w:bCs w:val="false"/>
                <w:sz w:val="18"/>
                <w:szCs w:val="18"/>
              </w:rPr>
              <w:t xml:space="preserve">Lookup matrix of every comparison basis per asset (targets, MTD/QTD/YTD, previous periods)</w:t>
            </w:r>
          </w:p>
        </w:tc>
        <w:tc>
          <w:tcPr>
            <w:tcW w:type="dxa" w:w="700"/>
            <w:shd w:fill="FFF2CC" w:val="clear"/>
            <w:tcMar>
              <w:top w:type="dxa" w:w="60"/>
              <w:left w:type="dxa" w:w="100"/>
              <w:bottom w:type="dxa" w:w="60"/>
              <w:right w:type="dxa" w:w="100"/>
            </w:tcMar>
          </w:tcPr>
          <w:p>
            <w:pPr>
              <w:spacing w:after="0"/>
            </w:pPr>
            <w:r>
              <w:rPr>
                <w:b w:val="false"/>
                <w:bCs w:val="false"/>
                <w:sz w:val="18"/>
                <w:szCs w:val="18"/>
              </w:rPr>
              <w:t xml:space="preserve">B</w:t>
            </w:r>
          </w:p>
        </w:tc>
        <w:tc>
          <w:tcPr>
            <w:tcW w:type="dxa" w:w="3060"/>
            <w:shd w:fill="F2F2F2" w:val="clear"/>
            <w:tcMar>
              <w:top w:type="dxa" w:w="60"/>
              <w:left w:type="dxa" w:w="100"/>
              <w:bottom w:type="dxa" w:w="60"/>
              <w:right w:type="dxa" w:w="100"/>
            </w:tcMar>
          </w:tcPr>
          <w:p>
            <w:pPr>
              <w:spacing w:after="0"/>
            </w:pPr>
            <w:r>
              <w:rPr>
                <w:b w:val="false"/>
                <w:bCs w:val="false"/>
                <w:sz w:val="18"/>
                <w:szCs w:val="18"/>
              </w:rPr>
              <w:t xml:space="preserve">All derivable; column index contract used by the dashboard dropdown</w:t>
            </w:r>
          </w:p>
        </w:tc>
      </w:tr>
      <w:tr>
        <w:tc>
          <w:tcPr>
            <w:tcW w:type="dxa" w:w="1700"/>
            <w:shd w:fill="FFFFFF" w:val="clear"/>
            <w:tcMar>
              <w:top w:type="dxa" w:w="60"/>
              <w:left w:type="dxa" w:w="100"/>
              <w:bottom w:type="dxa" w:w="60"/>
              <w:right w:type="dxa" w:w="100"/>
            </w:tcMar>
          </w:tcPr>
          <w:p>
            <w:pPr>
              <w:spacing w:after="0"/>
            </w:pPr>
            <w:r>
              <w:rPr>
                <w:b w:val="false"/>
                <w:bCs w:val="false"/>
                <w:sz w:val="18"/>
                <w:szCs w:val="18"/>
              </w:rPr>
              <w:t xml:space="preserve">YTD_ach</w:t>
            </w:r>
          </w:p>
        </w:tc>
        <w:tc>
          <w:tcPr>
            <w:tcW w:type="dxa" w:w="900"/>
            <w:shd w:fill="FFFFFF"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FFFFF" w:val="clear"/>
            <w:tcMar>
              <w:top w:type="dxa" w:w="60"/>
              <w:left w:type="dxa" w:w="100"/>
              <w:bottom w:type="dxa" w:w="60"/>
              <w:right w:type="dxa" w:w="100"/>
            </w:tcMar>
          </w:tcPr>
          <w:p>
            <w:pPr>
              <w:spacing w:after="0"/>
            </w:pPr>
            <w:r>
              <w:rPr>
                <w:b w:val="false"/>
                <w:bCs w:val="false"/>
                <w:sz w:val="18"/>
                <w:szCs w:val="18"/>
              </w:rPr>
              <w:t xml:space="preserve">YTD achievement % vs BE per asset and total (7.252 MMT, 2.574 BCM, 9.826 MMTOE)</w:t>
            </w:r>
          </w:p>
        </w:tc>
        <w:tc>
          <w:tcPr>
            <w:tcW w:type="dxa" w:w="700"/>
            <w:shd w:fill="FFF2CC" w:val="clear"/>
            <w:tcMar>
              <w:top w:type="dxa" w:w="60"/>
              <w:left w:type="dxa" w:w="100"/>
              <w:bottom w:type="dxa" w:w="60"/>
              <w:right w:type="dxa" w:w="100"/>
            </w:tcMar>
          </w:tcPr>
          <w:p>
            <w:pPr>
              <w:spacing w:after="0"/>
            </w:pPr>
            <w:r>
              <w:rPr>
                <w:b w:val="false"/>
                <w:bCs w:val="false"/>
                <w:sz w:val="18"/>
                <w:szCs w:val="18"/>
              </w:rPr>
              <w:t xml:space="preserve">B</w:t>
            </w:r>
          </w:p>
        </w:tc>
        <w:tc>
          <w:tcPr>
            <w:tcW w:type="dxa" w:w="3060"/>
            <w:shd w:fill="FFFFFF" w:val="clear"/>
            <w:tcMar>
              <w:top w:type="dxa" w:w="60"/>
              <w:left w:type="dxa" w:w="100"/>
              <w:bottom w:type="dxa" w:w="60"/>
              <w:right w:type="dxa" w:w="100"/>
            </w:tcMar>
          </w:tcPr>
          <w:p>
            <w:pPr>
              <w:spacing w:after="0"/>
            </w:pPr>
            <w:r>
              <w:rPr>
                <w:b w:val="false"/>
                <w:bCs w:val="false"/>
                <w:sz w:val="18"/>
                <w:szCs w:val="18"/>
              </w:rPr>
              <w:t xml:space="preserve">Annual goals are the sum of ZPRA_T_PRD_TAR TAR_BE months</w:t>
            </w:r>
          </w:p>
        </w:tc>
      </w:tr>
      <w:tr>
        <w:tc>
          <w:tcPr>
            <w:tcW w:type="dxa" w:w="1700"/>
            <w:shd w:fill="F2F2F2" w:val="clear"/>
            <w:tcMar>
              <w:top w:type="dxa" w:w="60"/>
              <w:left w:type="dxa" w:w="100"/>
              <w:bottom w:type="dxa" w:w="60"/>
              <w:right w:type="dxa" w:w="100"/>
            </w:tcMar>
          </w:tcPr>
          <w:p>
            <w:pPr>
              <w:spacing w:after="0"/>
            </w:pPr>
            <w:r>
              <w:rPr>
                <w:b w:val="false"/>
                <w:bCs w:val="false"/>
                <w:sz w:val="18"/>
                <w:szCs w:val="18"/>
              </w:rPr>
              <w:t xml:space="preserve">Asking Rate</w:t>
            </w:r>
          </w:p>
        </w:tc>
        <w:tc>
          <w:tcPr>
            <w:tcW w:type="dxa" w:w="900"/>
            <w:shd w:fill="F2F2F2"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2F2F2" w:val="clear"/>
            <w:tcMar>
              <w:top w:type="dxa" w:w="60"/>
              <w:left w:type="dxa" w:w="100"/>
              <w:bottom w:type="dxa" w:w="60"/>
              <w:right w:type="dxa" w:w="100"/>
            </w:tcMar>
          </w:tcPr>
          <w:p>
            <w:pPr>
              <w:spacing w:after="0"/>
            </w:pPr>
            <w:r>
              <w:rPr>
                <w:b w:val="false"/>
                <w:bCs w:val="false"/>
                <w:sz w:val="18"/>
                <w:szCs w:val="18"/>
              </w:rPr>
              <w:t xml:space="preserve">Required rate for the rest of the FY to meet the annual target</w:t>
            </w:r>
          </w:p>
        </w:tc>
        <w:tc>
          <w:tcPr>
            <w:tcW w:type="dxa" w:w="700"/>
            <w:shd w:fill="FFF2CC" w:val="clear"/>
            <w:tcMar>
              <w:top w:type="dxa" w:w="60"/>
              <w:left w:type="dxa" w:w="100"/>
              <w:bottom w:type="dxa" w:w="60"/>
              <w:right w:type="dxa" w:w="100"/>
            </w:tcMar>
          </w:tcPr>
          <w:p>
            <w:pPr>
              <w:spacing w:after="0"/>
            </w:pPr>
            <w:r>
              <w:rPr>
                <w:b w:val="false"/>
                <w:bCs w:val="false"/>
                <w:sz w:val="18"/>
                <w:szCs w:val="18"/>
              </w:rPr>
              <w:t xml:space="preserve">B</w:t>
            </w:r>
          </w:p>
        </w:tc>
        <w:tc>
          <w:tcPr>
            <w:tcW w:type="dxa" w:w="3060"/>
            <w:shd w:fill="F2F2F2" w:val="clear"/>
            <w:tcMar>
              <w:top w:type="dxa" w:w="60"/>
              <w:left w:type="dxa" w:w="100"/>
              <w:bottom w:type="dxa" w:w="60"/>
              <w:right w:type="dxa" w:w="100"/>
            </w:tcMar>
          </w:tcPr>
          <w:p>
            <w:pPr>
              <w:spacing w:after="0"/>
            </w:pPr>
            <w:r>
              <w:rPr>
                <w:b w:val="false"/>
                <w:bCs w:val="false"/>
                <w:sz w:val="18"/>
                <w:szCs w:val="18"/>
              </w:rPr>
              <w:t xml:space="preserve">Rule: (annual − YTD) / remaining days, via average CF and PI. C: typed annual totals I52/J52</w:t>
            </w:r>
          </w:p>
        </w:tc>
      </w:tr>
      <w:tr>
        <w:tc>
          <w:tcPr>
            <w:tcW w:type="dxa" w:w="1700"/>
            <w:shd w:fill="FFFFFF" w:val="clear"/>
            <w:tcMar>
              <w:top w:type="dxa" w:w="60"/>
              <w:left w:type="dxa" w:w="100"/>
              <w:bottom w:type="dxa" w:w="60"/>
              <w:right w:type="dxa" w:w="100"/>
            </w:tcMar>
          </w:tcPr>
          <w:p>
            <w:pPr>
              <w:spacing w:after="0"/>
            </w:pPr>
            <w:r>
              <w:rPr>
                <w:b w:val="false"/>
                <w:bCs w:val="false"/>
                <w:sz w:val="18"/>
                <w:szCs w:val="18"/>
              </w:rPr>
              <w:t xml:space="preserve">Internal</w:t>
            </w:r>
          </w:p>
        </w:tc>
        <w:tc>
          <w:tcPr>
            <w:tcW w:type="dxa" w:w="900"/>
            <w:shd w:fill="FFFFFF"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FFFFF" w:val="clear"/>
            <w:tcMar>
              <w:top w:type="dxa" w:w="60"/>
              <w:left w:type="dxa" w:w="100"/>
              <w:bottom w:type="dxa" w:w="60"/>
              <w:right w:type="dxa" w:w="100"/>
            </w:tcMar>
          </w:tcPr>
          <w:p>
            <w:pPr>
              <w:spacing w:after="0"/>
            </w:pPr>
            <w:r>
              <w:rPr>
                <w:b w:val="false"/>
                <w:bCs w:val="false"/>
                <w:sz w:val="18"/>
                <w:szCs w:val="18"/>
              </w:rPr>
              <w:t xml:space="preserve">Internal YTD comparison, extrapolation to full year, arrears</w:t>
            </w:r>
          </w:p>
        </w:tc>
        <w:tc>
          <w:tcPr>
            <w:tcW w:type="dxa" w:w="700"/>
            <w:shd w:fill="FCE4D6" w:val="clear"/>
            <w:tcMar>
              <w:top w:type="dxa" w:w="60"/>
              <w:left w:type="dxa" w:w="100"/>
              <w:bottom w:type="dxa" w:w="60"/>
              <w:right w:type="dxa" w:w="100"/>
            </w:tcMar>
          </w:tcPr>
          <w:p>
            <w:pPr>
              <w:spacing w:after="0"/>
            </w:pPr>
            <w:r>
              <w:rPr>
                <w:b w:val="false"/>
                <w:bCs w:val="false"/>
                <w:sz w:val="18"/>
                <w:szCs w:val="18"/>
              </w:rPr>
              <w:t xml:space="preserve">C/B</w:t>
            </w:r>
          </w:p>
        </w:tc>
        <w:tc>
          <w:tcPr>
            <w:tcW w:type="dxa" w:w="3060"/>
            <w:shd w:fill="FFFFFF" w:val="clear"/>
            <w:tcMar>
              <w:top w:type="dxa" w:w="60"/>
              <w:left w:type="dxa" w:w="100"/>
              <w:bottom w:type="dxa" w:w="60"/>
              <w:right w:type="dxa" w:w="100"/>
            </w:tcMar>
          </w:tcPr>
          <w:p>
            <w:pPr>
              <w:spacing w:after="0"/>
            </w:pPr>
            <w:r>
              <w:rPr>
                <w:b w:val="false"/>
                <w:bCs w:val="false"/>
                <w:sz w:val="18"/>
                <w:szCs w:val="18"/>
              </w:rPr>
              <w:t xml:space="preserve">Typed BE targets (E, K) duplicate SAP; arrears +0.068 MMT / +0.014 BCM and G24 are manual</w:t>
            </w:r>
          </w:p>
        </w:tc>
      </w:tr>
      <w:tr>
        <w:tc>
          <w:tcPr>
            <w:tcW w:type="dxa" w:w="1700"/>
            <w:shd w:fill="F2F2F2" w:val="clear"/>
            <w:tcMar>
              <w:top w:type="dxa" w:w="60"/>
              <w:left w:type="dxa" w:w="100"/>
              <w:bottom w:type="dxa" w:w="60"/>
              <w:right w:type="dxa" w:w="100"/>
            </w:tcMar>
          </w:tcPr>
          <w:p>
            <w:pPr>
              <w:spacing w:after="0"/>
            </w:pPr>
            <w:r>
              <w:rPr>
                <w:b w:val="false"/>
                <w:bCs w:val="false"/>
                <w:sz w:val="18"/>
                <w:szCs w:val="18"/>
              </w:rPr>
              <w:t xml:space="preserve">2FY</w:t>
            </w:r>
          </w:p>
        </w:tc>
        <w:tc>
          <w:tcPr>
            <w:tcW w:type="dxa" w:w="900"/>
            <w:shd w:fill="F2F2F2"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2F2F2" w:val="clear"/>
            <w:tcMar>
              <w:top w:type="dxa" w:w="60"/>
              <w:left w:type="dxa" w:w="100"/>
              <w:bottom w:type="dxa" w:w="60"/>
              <w:right w:type="dxa" w:w="100"/>
            </w:tcMar>
          </w:tcPr>
          <w:p>
            <w:pPr>
              <w:spacing w:after="0"/>
            </w:pPr>
            <w:r>
              <w:rPr>
                <w:b w:val="false"/>
                <w:bCs w:val="false"/>
                <w:sz w:val="18"/>
                <w:szCs w:val="18"/>
              </w:rPr>
              <w:t xml:space="preserve">Parameter cells for a two-period chart</w:t>
            </w:r>
          </w:p>
        </w:tc>
        <w:tc>
          <w:tcPr>
            <w:tcW w:type="dxa" w:w="700"/>
            <w:shd w:fill="F2F2F2" w:val="clear"/>
            <w:tcMar>
              <w:top w:type="dxa" w:w="60"/>
              <w:left w:type="dxa" w:w="100"/>
              <w:bottom w:type="dxa" w:w="60"/>
              <w:right w:type="dxa" w:w="100"/>
            </w:tcMar>
          </w:tcPr>
          <w:p>
            <w:pPr>
              <w:spacing w:after="0"/>
            </w:pPr>
            <w:r>
              <w:rPr>
                <w:b w:val="false"/>
                <w:bCs w:val="false"/>
                <w:sz w:val="18"/>
                <w:szCs w:val="18"/>
              </w:rPr>
              <w:t xml:space="preserve">—</w:t>
            </w:r>
          </w:p>
        </w:tc>
        <w:tc>
          <w:tcPr>
            <w:tcW w:type="dxa" w:w="3060"/>
            <w:shd w:fill="F2F2F2" w:val="clear"/>
            <w:tcMar>
              <w:top w:type="dxa" w:w="60"/>
              <w:left w:type="dxa" w:w="100"/>
              <w:bottom w:type="dxa" w:w="60"/>
              <w:right w:type="dxa" w:w="100"/>
            </w:tcMar>
          </w:tcPr>
          <w:p>
            <w:pPr>
              <w:spacing w:after="0"/>
            </w:pPr>
            <w:r>
              <w:rPr>
                <w:b w:val="false"/>
                <w:bCs w:val="false"/>
                <w:sz w:val="18"/>
                <w:szCs w:val="18"/>
              </w:rPr>
              <w:t xml:space="preserve">UI only; row offsets stale (assume DPR starts 2022)</w:t>
            </w:r>
          </w:p>
        </w:tc>
      </w:tr>
      <w:tr>
        <w:tc>
          <w:tcPr>
            <w:tcW w:type="dxa" w:w="1700"/>
            <w:shd w:fill="FFFFFF" w:val="clear"/>
            <w:tcMar>
              <w:top w:type="dxa" w:w="60"/>
              <w:left w:type="dxa" w:w="100"/>
              <w:bottom w:type="dxa" w:w="60"/>
              <w:right w:type="dxa" w:w="100"/>
            </w:tcMar>
          </w:tcPr>
          <w:p>
            <w:pPr>
              <w:spacing w:after="0"/>
            </w:pPr>
            <w:r>
              <w:rPr>
                <w:b w:val="false"/>
                <w:bCs w:val="false"/>
                <w:sz w:val="18"/>
                <w:szCs w:val="18"/>
              </w:rPr>
              <w:t xml:space="preserve">Gap_analysis</w:t>
            </w:r>
          </w:p>
        </w:tc>
        <w:tc>
          <w:tcPr>
            <w:tcW w:type="dxa" w:w="900"/>
            <w:shd w:fill="FFFFFF"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FFFFF" w:val="clear"/>
            <w:tcMar>
              <w:top w:type="dxa" w:w="60"/>
              <w:left w:type="dxa" w:w="100"/>
              <w:bottom w:type="dxa" w:w="60"/>
              <w:right w:type="dxa" w:w="100"/>
            </w:tcMar>
          </w:tcPr>
          <w:p>
            <w:pPr>
              <w:spacing w:after="0"/>
            </w:pPr>
            <w:r>
              <w:rPr>
                <w:b w:val="false"/>
                <w:bCs w:val="false"/>
                <w:sz w:val="18"/>
                <w:szCs w:val="18"/>
              </w:rPr>
              <w:t xml:space="preserve">Today's target vs actual, JV and OVL, per asset</w:t>
            </w:r>
          </w:p>
        </w:tc>
        <w:tc>
          <w:tcPr>
            <w:tcW w:type="dxa" w:w="700"/>
            <w:shd w:fill="E2EFDA" w:val="clear"/>
            <w:tcMar>
              <w:top w:type="dxa" w:w="60"/>
              <w:left w:type="dxa" w:w="100"/>
              <w:bottom w:type="dxa" w:w="60"/>
              <w:right w:type="dxa" w:w="100"/>
            </w:tcMar>
          </w:tcPr>
          <w:p>
            <w:pPr>
              <w:spacing w:after="0"/>
            </w:pPr>
            <w:r>
              <w:rPr>
                <w:b w:val="false"/>
                <w:bCs w:val="false"/>
                <w:sz w:val="18"/>
                <w:szCs w:val="18"/>
              </w:rPr>
              <w:t xml:space="preserve">A</w:t>
            </w:r>
          </w:p>
        </w:tc>
        <w:tc>
          <w:tcPr>
            <w:tcW w:type="dxa" w:w="3060"/>
            <w:shd w:fill="FFFFFF" w:val="clear"/>
            <w:tcMar>
              <w:top w:type="dxa" w:w="60"/>
              <w:left w:type="dxa" w:w="100"/>
              <w:bottom w:type="dxa" w:w="60"/>
              <w:right w:type="dxa" w:w="100"/>
            </w:tcMar>
          </w:tcPr>
          <w:p>
            <w:pPr>
              <w:spacing w:after="0"/>
            </w:pPr>
            <w:r>
              <w:rPr>
                <w:b w:val="false"/>
                <w:bCs w:val="false"/>
                <w:sz w:val="18"/>
                <w:szCs w:val="18"/>
              </w:rPr>
              <w:t xml:space="preserve">Broken: lookup range ends at Apr-2026 (#N/A); uses old ACG PI 2.31 %</w:t>
            </w:r>
          </w:p>
        </w:tc>
      </w:tr>
      <w:tr>
        <w:tc>
          <w:tcPr>
            <w:tcW w:type="dxa" w:w="1700"/>
            <w:shd w:fill="F2F2F2" w:val="clear"/>
            <w:tcMar>
              <w:top w:type="dxa" w:w="60"/>
              <w:left w:type="dxa" w:w="100"/>
              <w:bottom w:type="dxa" w:w="60"/>
              <w:right w:type="dxa" w:w="100"/>
            </w:tcMar>
          </w:tcPr>
          <w:p>
            <w:pPr>
              <w:spacing w:after="0"/>
            </w:pPr>
            <w:r>
              <w:rPr>
                <w:b w:val="false"/>
                <w:bCs w:val="false"/>
                <w:sz w:val="18"/>
                <w:szCs w:val="18"/>
              </w:rPr>
              <w:t xml:space="preserve">Dropdowns</w:t>
            </w:r>
          </w:p>
        </w:tc>
        <w:tc>
          <w:tcPr>
            <w:tcW w:type="dxa" w:w="900"/>
            <w:shd w:fill="F2F2F2"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2F2F2" w:val="clear"/>
            <w:tcMar>
              <w:top w:type="dxa" w:w="60"/>
              <w:left w:type="dxa" w:w="100"/>
              <w:bottom w:type="dxa" w:w="60"/>
              <w:right w:type="dxa" w:w="100"/>
            </w:tcMar>
          </w:tcPr>
          <w:p>
            <w:pPr>
              <w:spacing w:after="0"/>
            </w:pPr>
            <w:r>
              <w:rPr>
                <w:b w:val="false"/>
                <w:bCs w:val="false"/>
                <w:sz w:val="18"/>
                <w:szCs w:val="18"/>
              </w:rPr>
              <w:t xml:space="preserve">All selection logic: comparison basis, target type, reconciled-till, rounding switch, row visibility</w:t>
            </w:r>
          </w:p>
        </w:tc>
        <w:tc>
          <w:tcPr>
            <w:tcW w:type="dxa" w:w="700"/>
            <w:shd w:fill="FCE4D6" w:val="clear"/>
            <w:tcMar>
              <w:top w:type="dxa" w:w="60"/>
              <w:left w:type="dxa" w:w="100"/>
              <w:bottom w:type="dxa" w:w="60"/>
              <w:right w:type="dxa" w:w="100"/>
            </w:tcMar>
          </w:tcPr>
          <w:p>
            <w:pPr>
              <w:spacing w:after="0"/>
            </w:pPr>
            <w:r>
              <w:rPr>
                <w:b w:val="false"/>
                <w:bCs w:val="false"/>
                <w:sz w:val="18"/>
                <w:szCs w:val="18"/>
              </w:rPr>
              <w:t xml:space="preserve">C (parameters)</w:t>
            </w:r>
          </w:p>
        </w:tc>
        <w:tc>
          <w:tcPr>
            <w:tcW w:type="dxa" w:w="3060"/>
            <w:shd w:fill="F2F2F2" w:val="clear"/>
            <w:tcMar>
              <w:top w:type="dxa" w:w="60"/>
              <w:left w:type="dxa" w:w="100"/>
              <w:bottom w:type="dxa" w:w="60"/>
              <w:right w:type="dxa" w:w="100"/>
            </w:tcMar>
          </w:tcPr>
          <w:p>
            <w:pPr>
              <w:spacing w:after="0"/>
            </w:pPr>
            <w:r>
              <w:rPr>
                <w:b w:val="false"/>
                <w:bCs w:val="false"/>
                <w:sz w:val="18"/>
                <w:szCs w:val="18"/>
              </w:rPr>
              <w:t xml:space="preserve">Equivalent to report parameters / customizing</w:t>
            </w:r>
          </w:p>
        </w:tc>
      </w:tr>
      <w:tr>
        <w:tc>
          <w:tcPr>
            <w:tcW w:type="dxa" w:w="1700"/>
            <w:shd w:fill="FFFFFF" w:val="clear"/>
            <w:tcMar>
              <w:top w:type="dxa" w:w="60"/>
              <w:left w:type="dxa" w:w="100"/>
              <w:bottom w:type="dxa" w:w="60"/>
              <w:right w:type="dxa" w:w="100"/>
            </w:tcMar>
          </w:tcPr>
          <w:p>
            <w:pPr>
              <w:spacing w:after="0"/>
            </w:pPr>
            <w:r>
              <w:rPr>
                <w:b w:val="false"/>
                <w:bCs w:val="false"/>
                <w:sz w:val="18"/>
                <w:szCs w:val="18"/>
              </w:rPr>
              <w:t xml:space="preserve">interFY_transition</w:t>
            </w:r>
          </w:p>
        </w:tc>
        <w:tc>
          <w:tcPr>
            <w:tcW w:type="dxa" w:w="900"/>
            <w:shd w:fill="FFFFFF" w:val="clear"/>
            <w:tcMar>
              <w:top w:type="dxa" w:w="60"/>
              <w:left w:type="dxa" w:w="100"/>
              <w:bottom w:type="dxa" w:w="60"/>
              <w:right w:type="dxa" w:w="100"/>
            </w:tcMar>
          </w:tcPr>
          <w:p>
            <w:pPr>
              <w:spacing w:after="0"/>
            </w:pPr>
            <w:r>
              <w:rPr>
                <w:b w:val="false"/>
                <w:bCs w:val="false"/>
                <w:sz w:val="18"/>
                <w:szCs w:val="18"/>
              </w:rPr>
              <w:t xml:space="preserve">hidden</w:t>
            </w:r>
          </w:p>
        </w:tc>
        <w:tc>
          <w:tcPr>
            <w:tcW w:type="dxa" w:w="3000"/>
            <w:shd w:fill="FFFFFF" w:val="clear"/>
            <w:tcMar>
              <w:top w:type="dxa" w:w="60"/>
              <w:left w:type="dxa" w:w="100"/>
              <w:bottom w:type="dxa" w:w="60"/>
              <w:right w:type="dxa" w:w="100"/>
            </w:tcMar>
          </w:tcPr>
          <w:p>
            <w:pPr>
              <w:spacing w:after="0"/>
            </w:pPr>
            <w:r>
              <w:rPr>
                <w:b w:val="false"/>
                <w:bCs w:val="false"/>
                <w:sz w:val="18"/>
                <w:szCs w:val="18"/>
              </w:rPr>
              <w:t xml:space="preserve">Fiscal-year calendar master, RY (reconciled year, typed) and DY (dashboard year)</w:t>
            </w:r>
          </w:p>
        </w:tc>
        <w:tc>
          <w:tcPr>
            <w:tcW w:type="dxa" w:w="700"/>
            <w:shd w:fill="E2EFDA" w:val="clear"/>
            <w:tcMar>
              <w:top w:type="dxa" w:w="60"/>
              <w:left w:type="dxa" w:w="100"/>
              <w:bottom w:type="dxa" w:w="60"/>
              <w:right w:type="dxa" w:w="100"/>
            </w:tcMar>
          </w:tcPr>
          <w:p>
            <w:pPr>
              <w:spacing w:after="0"/>
            </w:pPr>
            <w:r>
              <w:rPr>
                <w:b w:val="false"/>
                <w:bCs w:val="false"/>
                <w:sz w:val="18"/>
                <w:szCs w:val="18"/>
              </w:rPr>
              <w:t xml:space="preserve">A/C</w:t>
            </w:r>
          </w:p>
        </w:tc>
        <w:tc>
          <w:tcPr>
            <w:tcW w:type="dxa" w:w="3060"/>
            <w:shd w:fill="FFFFFF" w:val="clear"/>
            <w:tcMar>
              <w:top w:type="dxa" w:w="60"/>
              <w:left w:type="dxa" w:w="100"/>
              <w:bottom w:type="dxa" w:w="60"/>
              <w:right w:type="dxa" w:w="100"/>
            </w:tcMar>
          </w:tcPr>
          <w:p>
            <w:pPr>
              <w:spacing w:after="0"/>
            </w:pPr>
            <w:r>
              <w:rPr>
                <w:b w:val="false"/>
                <w:bCs w:val="false"/>
                <w:sz w:val="18"/>
                <w:szCs w:val="18"/>
              </w:rPr>
              <w:t xml:space="preserve">FY variant V3 in SAP; reconciled-till is a manual flag</w:t>
            </w:r>
          </w:p>
        </w:tc>
      </w:tr>
      <w:tr>
        <w:tc>
          <w:tcPr>
            <w:tcW w:type="dxa" w:w="1700"/>
            <w:shd w:fill="F2F2F2" w:val="clear"/>
            <w:tcMar>
              <w:top w:type="dxa" w:w="60"/>
              <w:left w:type="dxa" w:w="100"/>
              <w:bottom w:type="dxa" w:w="60"/>
              <w:right w:type="dxa" w:w="100"/>
            </w:tcMar>
          </w:tcPr>
          <w:p>
            <w:pPr>
              <w:spacing w:after="0"/>
            </w:pPr>
            <w:r>
              <w:rPr>
                <w:b w:val="false"/>
                <w:bCs w:val="false"/>
                <w:sz w:val="18"/>
                <w:szCs w:val="18"/>
              </w:rPr>
              <w:t xml:space="preserve">ACG … CPO5 (14 sheets)</w:t>
            </w:r>
          </w:p>
        </w:tc>
        <w:tc>
          <w:tcPr>
            <w:tcW w:type="dxa" w:w="900"/>
            <w:shd w:fill="F2F2F2" w:val="clear"/>
            <w:tcMar>
              <w:top w:type="dxa" w:w="60"/>
              <w:left w:type="dxa" w:w="100"/>
              <w:bottom w:type="dxa" w:w="60"/>
              <w:right w:type="dxa" w:w="100"/>
            </w:tcMar>
          </w:tcPr>
          <w:p>
            <w:pPr>
              <w:spacing w:after="0"/>
            </w:pPr>
            <w:r>
              <w:rPr>
                <w:b w:val="false"/>
                <w:bCs w:val="false"/>
                <w:sz w:val="18"/>
                <w:szCs w:val="18"/>
              </w:rPr>
              <w:t xml:space="preserve">hidden</w:t>
            </w:r>
          </w:p>
        </w:tc>
        <w:tc>
          <w:tcPr>
            <w:tcW w:type="dxa" w:w="3000"/>
            <w:shd w:fill="F2F2F2" w:val="clear"/>
            <w:tcMar>
              <w:top w:type="dxa" w:w="60"/>
              <w:left w:type="dxa" w:w="100"/>
              <w:bottom w:type="dxa" w:w="60"/>
              <w:right w:type="dxa" w:w="100"/>
            </w:tcMar>
          </w:tcPr>
          <w:p>
            <w:pPr>
              <w:spacing w:after="0"/>
            </w:pPr>
            <w:r>
              <w:rPr>
                <w:b w:val="false"/>
                <w:bCs w:val="false"/>
                <w:sz w:val="18"/>
                <w:szCs w:val="18"/>
              </w:rPr>
              <w:t xml:space="preserve">Partner CP monthly statement per asset, pasted values</w:t>
            </w:r>
          </w:p>
        </w:tc>
        <w:tc>
          <w:tcPr>
            <w:tcW w:type="dxa" w:w="700"/>
            <w:shd w:fill="FFF2CC" w:val="clear"/>
            <w:tcMar>
              <w:top w:type="dxa" w:w="60"/>
              <w:left w:type="dxa" w:w="100"/>
              <w:bottom w:type="dxa" w:w="60"/>
              <w:right w:type="dxa" w:w="100"/>
            </w:tcMar>
          </w:tcPr>
          <w:p>
            <w:pPr>
              <w:spacing w:after="0"/>
            </w:pPr>
            <w:r>
              <w:rPr>
                <w:b w:val="false"/>
                <w:bCs w:val="false"/>
                <w:sz w:val="18"/>
                <w:szCs w:val="18"/>
              </w:rPr>
              <w:t xml:space="preserve">B/C</w:t>
            </w:r>
          </w:p>
        </w:tc>
        <w:tc>
          <w:tcPr>
            <w:tcW w:type="dxa" w:w="3060"/>
            <w:shd w:fill="F2F2F2" w:val="clear"/>
            <w:tcMar>
              <w:top w:type="dxa" w:w="60"/>
              <w:left w:type="dxa" w:w="100"/>
              <w:bottom w:type="dxa" w:w="60"/>
              <w:right w:type="dxa" w:w="100"/>
            </w:tcMar>
          </w:tcPr>
          <w:p>
            <w:pPr>
              <w:spacing w:after="0"/>
            </w:pPr>
            <w:r>
              <w:rPr>
                <w:b w:val="false"/>
                <w:bCs w:val="false"/>
                <w:sz w:val="18"/>
                <w:szCs w:val="18"/>
              </w:rPr>
              <w:t xml:space="preserve">JV bbl/MMSCM and OVL tonnes: ZPRA_T_MREC_PRD if loaded from the same statements. C: conversion factor per month, wells, surveys, water cut, water injection, remarks, well details</w:t>
            </w:r>
          </w:p>
        </w:tc>
      </w:tr>
      <w:tr>
        <w:tc>
          <w:tcPr>
            <w:tcW w:type="dxa" w:w="1700"/>
            <w:shd w:fill="FFFFFF" w:val="clear"/>
            <w:tcMar>
              <w:top w:type="dxa" w:w="60"/>
              <w:left w:type="dxa" w:w="100"/>
              <w:bottom w:type="dxa" w:w="60"/>
              <w:right w:type="dxa" w:w="100"/>
            </w:tcMar>
          </w:tcPr>
          <w:p>
            <w:pPr>
              <w:spacing w:after="0"/>
            </w:pPr>
            <w:r>
              <w:rPr>
                <w:b w:val="false"/>
                <w:bCs w:val="false"/>
                <w:sz w:val="18"/>
                <w:szCs w:val="18"/>
              </w:rPr>
              <w:t xml:space="preserve">from CP sheet</w:t>
            </w:r>
          </w:p>
        </w:tc>
        <w:tc>
          <w:tcPr>
            <w:tcW w:type="dxa" w:w="900"/>
            <w:shd w:fill="FFFFFF"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FFFFF" w:val="clear"/>
            <w:tcMar>
              <w:top w:type="dxa" w:w="60"/>
              <w:left w:type="dxa" w:w="100"/>
              <w:bottom w:type="dxa" w:w="60"/>
              <w:right w:type="dxa" w:w="100"/>
            </w:tcMar>
          </w:tcPr>
          <w:p>
            <w:pPr>
              <w:spacing w:after="0"/>
            </w:pPr>
            <w:r>
              <w:rPr>
                <w:b w:val="false"/>
                <w:bCs w:val="false"/>
                <w:sz w:val="18"/>
                <w:szCs w:val="18"/>
              </w:rPr>
              <w:t xml:space="preserve">Consolidation of the three used CP columns into asset × month matrices</w:t>
            </w:r>
          </w:p>
        </w:tc>
        <w:tc>
          <w:tcPr>
            <w:tcW w:type="dxa" w:w="700"/>
            <w:shd w:fill="FFF2CC" w:val="clear"/>
            <w:tcMar>
              <w:top w:type="dxa" w:w="60"/>
              <w:left w:type="dxa" w:w="100"/>
              <w:bottom w:type="dxa" w:w="60"/>
              <w:right w:type="dxa" w:w="100"/>
            </w:tcMar>
          </w:tcPr>
          <w:p>
            <w:pPr>
              <w:spacing w:after="0"/>
            </w:pPr>
            <w:r>
              <w:rPr>
                <w:b w:val="false"/>
                <w:bCs w:val="false"/>
                <w:sz w:val="18"/>
                <w:szCs w:val="18"/>
              </w:rPr>
              <w:t xml:space="preserve">B</w:t>
            </w:r>
          </w:p>
        </w:tc>
        <w:tc>
          <w:tcPr>
            <w:tcW w:type="dxa" w:w="3060"/>
            <w:shd w:fill="FFFFFF" w:val="clear"/>
            <w:tcMar>
              <w:top w:type="dxa" w:w="60"/>
              <w:left w:type="dxa" w:w="100"/>
              <w:bottom w:type="dxa" w:w="60"/>
              <w:right w:type="dxa" w:w="100"/>
            </w:tcMar>
          </w:tcPr>
          <w:p>
            <w:pPr>
              <w:spacing w:after="0"/>
            </w:pPr>
            <w:r>
              <w:rPr>
                <w:b w:val="false"/>
                <w:bCs w:val="false"/>
                <w:sz w:val="18"/>
                <w:szCs w:val="18"/>
              </w:rPr>
              <w:t xml:space="preserve">PI typed in column B (single value, no validity)</w:t>
            </w:r>
          </w:p>
        </w:tc>
      </w:tr>
      <w:tr>
        <w:tc>
          <w:tcPr>
            <w:tcW w:type="dxa" w:w="1700"/>
            <w:shd w:fill="F2F2F2" w:val="clear"/>
            <w:tcMar>
              <w:top w:type="dxa" w:w="60"/>
              <w:left w:type="dxa" w:w="100"/>
              <w:bottom w:type="dxa" w:w="60"/>
              <w:right w:type="dxa" w:w="100"/>
            </w:tcMar>
          </w:tcPr>
          <w:p>
            <w:pPr>
              <w:spacing w:after="0"/>
            </w:pPr>
            <w:r>
              <w:rPr>
                <w:b w:val="false"/>
                <w:bCs w:val="false"/>
                <w:sz w:val="18"/>
                <w:szCs w:val="18"/>
              </w:rPr>
              <w:t xml:space="preserve">Processed_Reconciled Prod</w:t>
            </w:r>
          </w:p>
        </w:tc>
        <w:tc>
          <w:tcPr>
            <w:tcW w:type="dxa" w:w="900"/>
            <w:shd w:fill="F2F2F2"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2F2F2" w:val="clear"/>
            <w:tcMar>
              <w:top w:type="dxa" w:w="60"/>
              <w:left w:type="dxa" w:w="100"/>
              <w:bottom w:type="dxa" w:w="60"/>
              <w:right w:type="dxa" w:w="100"/>
            </w:tcMar>
          </w:tcPr>
          <w:p>
            <w:pPr>
              <w:spacing w:after="0"/>
            </w:pPr>
            <w:r>
              <w:rPr>
                <w:b w:val="false"/>
                <w:bCs w:val="false"/>
                <w:sz w:val="18"/>
                <w:szCs w:val="18"/>
              </w:rPr>
              <w:t xml:space="preserve">Reconciled figures in reporting units, monthly conversion factor, average PI</w:t>
            </w:r>
          </w:p>
        </w:tc>
        <w:tc>
          <w:tcPr>
            <w:tcW w:type="dxa" w:w="700"/>
            <w:shd w:fill="FFF2CC" w:val="clear"/>
            <w:tcMar>
              <w:top w:type="dxa" w:w="60"/>
              <w:left w:type="dxa" w:w="100"/>
              <w:bottom w:type="dxa" w:w="60"/>
              <w:right w:type="dxa" w:w="100"/>
            </w:tcMar>
          </w:tcPr>
          <w:p>
            <w:pPr>
              <w:spacing w:after="0"/>
            </w:pPr>
            <w:r>
              <w:rPr>
                <w:b w:val="false"/>
                <w:bCs w:val="false"/>
                <w:sz w:val="18"/>
                <w:szCs w:val="18"/>
              </w:rPr>
              <w:t xml:space="preserve">B</w:t>
            </w:r>
          </w:p>
        </w:tc>
        <w:tc>
          <w:tcPr>
            <w:tcW w:type="dxa" w:w="3060"/>
            <w:shd w:fill="F2F2F2" w:val="clear"/>
            <w:tcMar>
              <w:top w:type="dxa" w:w="60"/>
              <w:left w:type="dxa" w:w="100"/>
              <w:bottom w:type="dxa" w:w="60"/>
              <w:right w:type="dxa" w:w="100"/>
            </w:tcMar>
          </w:tcPr>
          <w:p>
            <w:pPr>
              <w:spacing w:after="0"/>
            </w:pPr>
            <w:r>
              <w:rPr>
                <w:b w:val="false"/>
                <w:bCs w:val="false"/>
                <w:sz w:val="18"/>
                <w:szCs w:val="18"/>
              </w:rPr>
              <w:t xml:space="preserve">CF = OVL bbl / OVL tonnes per month (not in SAP); carry-forward CF column</w:t>
            </w:r>
          </w:p>
        </w:tc>
      </w:tr>
      <w:tr>
        <w:tc>
          <w:tcPr>
            <w:tcW w:type="dxa" w:w="1700"/>
            <w:shd w:fill="FFFFFF" w:val="clear"/>
            <w:tcMar>
              <w:top w:type="dxa" w:w="60"/>
              <w:left w:type="dxa" w:w="100"/>
              <w:bottom w:type="dxa" w:w="60"/>
              <w:right w:type="dxa" w:w="100"/>
            </w:tcMar>
          </w:tcPr>
          <w:p>
            <w:pPr>
              <w:spacing w:after="0"/>
            </w:pPr>
            <w:r>
              <w:rPr>
                <w:b w:val="false"/>
                <w:bCs w:val="false"/>
                <w:sz w:val="18"/>
                <w:szCs w:val="18"/>
              </w:rPr>
              <w:t xml:space="preserve">Approval_format</w:t>
            </w:r>
          </w:p>
        </w:tc>
        <w:tc>
          <w:tcPr>
            <w:tcW w:type="dxa" w:w="900"/>
            <w:shd w:fill="FFFFFF"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FFFFF" w:val="clear"/>
            <w:tcMar>
              <w:top w:type="dxa" w:w="60"/>
              <w:left w:type="dxa" w:w="100"/>
              <w:bottom w:type="dxa" w:w="60"/>
              <w:right w:type="dxa" w:w="100"/>
            </w:tcMar>
          </w:tcPr>
          <w:p>
            <w:pPr>
              <w:spacing w:after="0"/>
            </w:pPr>
            <w:r>
              <w:rPr>
                <w:b w:val="false"/>
                <w:bCs w:val="false"/>
                <w:sz w:val="18"/>
                <w:szCs w:val="18"/>
              </w:rPr>
              <w:t xml:space="preserve">Quarterly / half-year / annual reconciled summary for management approval</w:t>
            </w:r>
          </w:p>
        </w:tc>
        <w:tc>
          <w:tcPr>
            <w:tcW w:type="dxa" w:w="700"/>
            <w:shd w:fill="FFF2CC" w:val="clear"/>
            <w:tcMar>
              <w:top w:type="dxa" w:w="60"/>
              <w:left w:type="dxa" w:w="100"/>
              <w:bottom w:type="dxa" w:w="60"/>
              <w:right w:type="dxa" w:w="100"/>
            </w:tcMar>
          </w:tcPr>
          <w:p>
            <w:pPr>
              <w:spacing w:after="0"/>
            </w:pPr>
            <w:r>
              <w:rPr>
                <w:b w:val="false"/>
                <w:bCs w:val="false"/>
                <w:sz w:val="18"/>
                <w:szCs w:val="18"/>
              </w:rPr>
              <w:t xml:space="preserve">B</w:t>
            </w:r>
          </w:p>
        </w:tc>
        <w:tc>
          <w:tcPr>
            <w:tcW w:type="dxa" w:w="3060"/>
            <w:shd w:fill="FFFFFF" w:val="clear"/>
            <w:tcMar>
              <w:top w:type="dxa" w:w="60"/>
              <w:left w:type="dxa" w:w="100"/>
              <w:bottom w:type="dxa" w:w="60"/>
              <w:right w:type="dxa" w:w="100"/>
            </w:tcMar>
          </w:tcPr>
          <w:p>
            <w:pPr>
              <w:spacing w:after="0"/>
            </w:pPr>
            <w:r>
              <w:rPr>
                <w:b w:val="false"/>
                <w:bCs w:val="false"/>
                <w:sz w:val="18"/>
                <w:szCs w:val="18"/>
              </w:rPr>
              <w:t xml:space="preserve">Fully derived; the approval itself is outside SAP</w:t>
            </w:r>
          </w:p>
        </w:tc>
      </w:tr>
      <w:tr>
        <w:tc>
          <w:tcPr>
            <w:tcW w:type="dxa" w:w="1700"/>
            <w:shd w:fill="F2F2F2" w:val="clear"/>
            <w:tcMar>
              <w:top w:type="dxa" w:w="60"/>
              <w:left w:type="dxa" w:w="100"/>
              <w:bottom w:type="dxa" w:w="60"/>
              <w:right w:type="dxa" w:w="100"/>
            </w:tcMar>
          </w:tcPr>
          <w:p>
            <w:pPr>
              <w:spacing w:after="0"/>
            </w:pPr>
            <w:r>
              <w:rPr>
                <w:b w:val="false"/>
                <w:bCs w:val="false"/>
                <w:sz w:val="18"/>
                <w:szCs w:val="18"/>
              </w:rPr>
              <w:t xml:space="preserve">CF_lat</w:t>
            </w:r>
          </w:p>
        </w:tc>
        <w:tc>
          <w:tcPr>
            <w:tcW w:type="dxa" w:w="900"/>
            <w:shd w:fill="F2F2F2" w:val="clear"/>
            <w:tcMar>
              <w:top w:type="dxa" w:w="60"/>
              <w:left w:type="dxa" w:w="100"/>
              <w:bottom w:type="dxa" w:w="60"/>
              <w:right w:type="dxa" w:w="100"/>
            </w:tcMar>
          </w:tcPr>
          <w:p>
            <w:pPr>
              <w:spacing w:after="0"/>
            </w:pPr>
            <w:r>
              <w:rPr>
                <w:b w:val="false"/>
                <w:bCs w:val="false"/>
                <w:sz w:val="18"/>
                <w:szCs w:val="18"/>
              </w:rPr>
              <w:t xml:space="preserve">hidden</w:t>
            </w:r>
          </w:p>
        </w:tc>
        <w:tc>
          <w:tcPr>
            <w:tcW w:type="dxa" w:w="3000"/>
            <w:shd w:fill="F2F2F2" w:val="clear"/>
            <w:tcMar>
              <w:top w:type="dxa" w:w="60"/>
              <w:left w:type="dxa" w:w="100"/>
              <w:bottom w:type="dxa" w:w="60"/>
              <w:right w:type="dxa" w:w="100"/>
            </w:tcMar>
          </w:tcPr>
          <w:p>
            <w:pPr>
              <w:spacing w:after="0"/>
            </w:pPr>
            <w:r>
              <w:rPr>
                <w:b w:val="false"/>
                <w:bCs w:val="false"/>
                <w:sz w:val="18"/>
                <w:szCs w:val="18"/>
              </w:rPr>
              <w:t xml:space="preserve">Latest conversion factor per asset (last reconciled month), manual override column S and x-factor</w:t>
            </w:r>
          </w:p>
        </w:tc>
        <w:tc>
          <w:tcPr>
            <w:tcW w:type="dxa" w:w="700"/>
            <w:shd w:fill="FFF2CC" w:val="clear"/>
            <w:tcMar>
              <w:top w:type="dxa" w:w="60"/>
              <w:left w:type="dxa" w:w="100"/>
              <w:bottom w:type="dxa" w:w="60"/>
              <w:right w:type="dxa" w:w="100"/>
            </w:tcMar>
          </w:tcPr>
          <w:p>
            <w:pPr>
              <w:spacing w:after="0"/>
            </w:pPr>
            <w:r>
              <w:rPr>
                <w:b w:val="false"/>
                <w:bCs w:val="false"/>
                <w:sz w:val="18"/>
                <w:szCs w:val="18"/>
              </w:rPr>
              <w:t xml:space="preserve">B/C</w:t>
            </w:r>
          </w:p>
        </w:tc>
        <w:tc>
          <w:tcPr>
            <w:tcW w:type="dxa" w:w="3060"/>
            <w:shd w:fill="F2F2F2" w:val="clear"/>
            <w:tcMar>
              <w:top w:type="dxa" w:w="60"/>
              <w:left w:type="dxa" w:w="100"/>
              <w:bottom w:type="dxa" w:w="60"/>
              <w:right w:type="dxa" w:w="100"/>
            </w:tcMar>
          </w:tcPr>
          <w:p>
            <w:pPr>
              <w:spacing w:after="0"/>
            </w:pPr>
            <w:r>
              <w:rPr>
                <w:b w:val="false"/>
                <w:bCs w:val="false"/>
                <w:sz w:val="18"/>
                <w:szCs w:val="18"/>
              </w:rPr>
              <w:t xml:space="preserve">Override values are manual</w:t>
            </w:r>
          </w:p>
        </w:tc>
      </w:tr>
      <w:tr>
        <w:tc>
          <w:tcPr>
            <w:tcW w:type="dxa" w:w="1700"/>
            <w:shd w:fill="FFFFFF" w:val="clear"/>
            <w:tcMar>
              <w:top w:type="dxa" w:w="60"/>
              <w:left w:type="dxa" w:w="100"/>
              <w:bottom w:type="dxa" w:w="60"/>
              <w:right w:type="dxa" w:w="100"/>
            </w:tcMar>
          </w:tcPr>
          <w:p>
            <w:pPr>
              <w:spacing w:after="0"/>
            </w:pPr>
            <w:r>
              <w:rPr>
                <w:b w:val="false"/>
                <w:bCs w:val="false"/>
                <w:sz w:val="18"/>
                <w:szCs w:val="18"/>
              </w:rPr>
              <w:t xml:space="preserve">carryforward_cf</w:t>
            </w:r>
          </w:p>
        </w:tc>
        <w:tc>
          <w:tcPr>
            <w:tcW w:type="dxa" w:w="900"/>
            <w:shd w:fill="FFFFFF"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FFFFF" w:val="clear"/>
            <w:tcMar>
              <w:top w:type="dxa" w:w="60"/>
              <w:left w:type="dxa" w:w="100"/>
              <w:bottom w:type="dxa" w:w="60"/>
              <w:right w:type="dxa" w:w="100"/>
            </w:tcMar>
          </w:tcPr>
          <w:p>
            <w:pPr>
              <w:spacing w:after="0"/>
            </w:pPr>
            <w:r>
              <w:rPr>
                <w:b w:val="false"/>
                <w:bCs w:val="false"/>
                <w:sz w:val="18"/>
                <w:szCs w:val="18"/>
              </w:rPr>
              <w:t xml:space="preserve">Year-opening conversion factors per asset and FY</w:t>
            </w:r>
          </w:p>
        </w:tc>
        <w:tc>
          <w:tcPr>
            <w:tcW w:type="dxa" w:w="700"/>
            <w:shd w:fill="FCE4D6" w:val="clear"/>
            <w:tcMar>
              <w:top w:type="dxa" w:w="60"/>
              <w:left w:type="dxa" w:w="100"/>
              <w:bottom w:type="dxa" w:w="60"/>
              <w:right w:type="dxa" w:w="100"/>
            </w:tcMar>
          </w:tcPr>
          <w:p>
            <w:pPr>
              <w:spacing w:after="0"/>
            </w:pPr>
            <w:r>
              <w:rPr>
                <w:b w:val="false"/>
                <w:bCs w:val="false"/>
                <w:sz w:val="18"/>
                <w:szCs w:val="18"/>
              </w:rPr>
              <w:t xml:space="preserve">C</w:t>
            </w:r>
          </w:p>
        </w:tc>
        <w:tc>
          <w:tcPr>
            <w:tcW w:type="dxa" w:w="3060"/>
            <w:shd w:fill="FFFFFF" w:val="clear"/>
            <w:tcMar>
              <w:top w:type="dxa" w:w="60"/>
              <w:left w:type="dxa" w:w="100"/>
              <w:bottom w:type="dxa" w:w="60"/>
              <w:right w:type="dxa" w:w="100"/>
            </w:tcMar>
          </w:tcPr>
          <w:p>
            <w:pPr>
              <w:spacing w:after="0"/>
            </w:pPr>
            <w:r>
              <w:rPr>
                <w:b w:val="false"/>
                <w:bCs w:val="false"/>
                <w:sz w:val="18"/>
                <w:szCs w:val="18"/>
              </w:rPr>
              <w:t xml:space="preserve">Typed; conceptually ZPRA_T_TAR_CF if that table holds actual carry-forward factors</w:t>
            </w:r>
          </w:p>
        </w:tc>
      </w:tr>
      <w:tr>
        <w:tc>
          <w:tcPr>
            <w:tcW w:type="dxa" w:w="1700"/>
            <w:shd w:fill="F2F2F2" w:val="clear"/>
            <w:tcMar>
              <w:top w:type="dxa" w:w="60"/>
              <w:left w:type="dxa" w:w="100"/>
              <w:bottom w:type="dxa" w:w="60"/>
              <w:right w:type="dxa" w:w="100"/>
            </w:tcMar>
          </w:tcPr>
          <w:p>
            <w:pPr>
              <w:spacing w:after="0"/>
            </w:pPr>
            <w:r>
              <w:rPr>
                <w:b w:val="false"/>
                <w:bCs w:val="false"/>
                <w:sz w:val="18"/>
                <w:szCs w:val="18"/>
              </w:rPr>
              <w:t xml:space="preserve">non-reconprod</w:t>
            </w:r>
          </w:p>
        </w:tc>
        <w:tc>
          <w:tcPr>
            <w:tcW w:type="dxa" w:w="900"/>
            <w:shd w:fill="F2F2F2"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2F2F2" w:val="clear"/>
            <w:tcMar>
              <w:top w:type="dxa" w:w="60"/>
              <w:left w:type="dxa" w:w="100"/>
              <w:bottom w:type="dxa" w:w="60"/>
              <w:right w:type="dxa" w:w="100"/>
            </w:tcMar>
          </w:tcPr>
          <w:p>
            <w:pPr>
              <w:spacing w:after="0"/>
            </w:pPr>
            <w:r>
              <w:rPr>
                <w:b w:val="false"/>
                <w:bCs w:val="false"/>
                <w:sz w:val="18"/>
                <w:szCs w:val="18"/>
              </w:rPr>
              <w:t xml:space="preserve">Side-by-side non-reconciled (DPR) and reconciled months, selector row</w:t>
            </w:r>
          </w:p>
        </w:tc>
        <w:tc>
          <w:tcPr>
            <w:tcW w:type="dxa" w:w="700"/>
            <w:shd w:fill="FFF2CC" w:val="clear"/>
            <w:tcMar>
              <w:top w:type="dxa" w:w="60"/>
              <w:left w:type="dxa" w:w="100"/>
              <w:bottom w:type="dxa" w:w="60"/>
              <w:right w:type="dxa" w:w="100"/>
            </w:tcMar>
          </w:tcPr>
          <w:p>
            <w:pPr>
              <w:spacing w:after="0"/>
            </w:pPr>
            <w:r>
              <w:rPr>
                <w:b w:val="false"/>
                <w:bCs w:val="false"/>
                <w:sz w:val="18"/>
                <w:szCs w:val="18"/>
              </w:rPr>
              <w:t xml:space="preserve">B</w:t>
            </w:r>
          </w:p>
        </w:tc>
        <w:tc>
          <w:tcPr>
            <w:tcW w:type="dxa" w:w="3060"/>
            <w:shd w:fill="F2F2F2" w:val="clear"/>
            <w:tcMar>
              <w:top w:type="dxa" w:w="60"/>
              <w:left w:type="dxa" w:w="100"/>
              <w:bottom w:type="dxa" w:w="60"/>
              <w:right w:type="dxa" w:w="100"/>
            </w:tcMar>
          </w:tcPr>
          <w:p>
            <w:pPr>
              <w:spacing w:after="0"/>
            </w:pPr>
            <w:r>
              <w:rPr>
                <w:b w:val="false"/>
                <w:bCs w:val="false"/>
                <w:sz w:val="18"/>
                <w:szCs w:val="18"/>
              </w:rPr>
              <w:t xml:space="preserve">Rule: month ≤ reconciled-till → reconciled, else daily</w:t>
            </w:r>
          </w:p>
        </w:tc>
      </w:tr>
      <w:tr>
        <w:tc>
          <w:tcPr>
            <w:tcW w:type="dxa" w:w="1700"/>
            <w:shd w:fill="FFFFFF" w:val="clear"/>
            <w:tcMar>
              <w:top w:type="dxa" w:w="60"/>
              <w:left w:type="dxa" w:w="100"/>
              <w:bottom w:type="dxa" w:w="60"/>
              <w:right w:type="dxa" w:w="100"/>
            </w:tcMar>
          </w:tcPr>
          <w:p>
            <w:pPr>
              <w:spacing w:after="0"/>
            </w:pPr>
            <w:r>
              <w:rPr>
                <w:b w:val="false"/>
                <w:bCs w:val="false"/>
                <w:sz w:val="18"/>
                <w:szCs w:val="18"/>
              </w:rPr>
              <w:t xml:space="preserve">prod_compiled</w:t>
            </w:r>
          </w:p>
        </w:tc>
        <w:tc>
          <w:tcPr>
            <w:tcW w:type="dxa" w:w="900"/>
            <w:shd w:fill="FFFFFF"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FFFFF" w:val="clear"/>
            <w:tcMar>
              <w:top w:type="dxa" w:w="60"/>
              <w:left w:type="dxa" w:w="100"/>
              <w:bottom w:type="dxa" w:w="60"/>
              <w:right w:type="dxa" w:w="100"/>
            </w:tcMar>
          </w:tcPr>
          <w:p>
            <w:pPr>
              <w:spacing w:after="0"/>
            </w:pPr>
            <w:r>
              <w:rPr>
                <w:b w:val="false"/>
                <w:bCs w:val="false"/>
                <w:sz w:val="18"/>
                <w:szCs w:val="18"/>
              </w:rPr>
              <w:t xml:space="preserve">Blended monthly series with Q/H/9M/annual, YTD/QTD/MTD, previous periods</w:t>
            </w:r>
          </w:p>
        </w:tc>
        <w:tc>
          <w:tcPr>
            <w:tcW w:type="dxa" w:w="700"/>
            <w:shd w:fill="FFF2CC" w:val="clear"/>
            <w:tcMar>
              <w:top w:type="dxa" w:w="60"/>
              <w:left w:type="dxa" w:w="100"/>
              <w:bottom w:type="dxa" w:w="60"/>
              <w:right w:type="dxa" w:w="100"/>
            </w:tcMar>
          </w:tcPr>
          <w:p>
            <w:pPr>
              <w:spacing w:after="0"/>
            </w:pPr>
            <w:r>
              <w:rPr>
                <w:b w:val="false"/>
                <w:bCs w:val="false"/>
                <w:sz w:val="18"/>
                <w:szCs w:val="18"/>
              </w:rPr>
              <w:t xml:space="preserve">B</w:t>
            </w:r>
          </w:p>
        </w:tc>
        <w:tc>
          <w:tcPr>
            <w:tcW w:type="dxa" w:w="3060"/>
            <w:shd w:fill="FFFFFF" w:val="clear"/>
            <w:tcMar>
              <w:top w:type="dxa" w:w="60"/>
              <w:left w:type="dxa" w:w="100"/>
              <w:bottom w:type="dxa" w:w="60"/>
              <w:right w:type="dxa" w:w="100"/>
            </w:tcMar>
          </w:tcPr>
          <w:p>
            <w:pPr>
              <w:spacing w:after="0"/>
            </w:pPr>
            <w:r>
              <w:rPr>
                <w:b w:val="false"/>
                <w:bCs w:val="false"/>
                <w:sz w:val="18"/>
                <w:szCs w:val="18"/>
              </w:rPr>
              <w:t xml:space="preserve">Day-weighted rates, partial current month; C: ACG Nov-2024 arrears block (P3, P21, P38, P56); MINIFS formulas broken (#NAME?)</w:t>
            </w:r>
          </w:p>
        </w:tc>
      </w:tr>
      <w:tr>
        <w:tc>
          <w:tcPr>
            <w:tcW w:type="dxa" w:w="1700"/>
            <w:shd w:fill="F2F2F2" w:val="clear"/>
            <w:tcMar>
              <w:top w:type="dxa" w:w="60"/>
              <w:left w:type="dxa" w:w="100"/>
              <w:bottom w:type="dxa" w:w="60"/>
              <w:right w:type="dxa" w:w="100"/>
            </w:tcMar>
          </w:tcPr>
          <w:p>
            <w:pPr>
              <w:spacing w:after="0"/>
            </w:pPr>
            <w:r>
              <w:rPr>
                <w:b w:val="false"/>
                <w:bCs w:val="false"/>
                <w:sz w:val="18"/>
                <w:szCs w:val="18"/>
              </w:rPr>
              <w:t xml:space="preserve">report_prodcompiled</w:t>
            </w:r>
          </w:p>
        </w:tc>
        <w:tc>
          <w:tcPr>
            <w:tcW w:type="dxa" w:w="900"/>
            <w:shd w:fill="F2F2F2"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2F2F2" w:val="clear"/>
            <w:tcMar>
              <w:top w:type="dxa" w:w="60"/>
              <w:left w:type="dxa" w:w="100"/>
              <w:bottom w:type="dxa" w:w="60"/>
              <w:right w:type="dxa" w:w="100"/>
            </w:tcMar>
          </w:tcPr>
          <w:p>
            <w:pPr>
              <w:spacing w:after="0"/>
            </w:pPr>
            <w:r>
              <w:rPr>
                <w:b w:val="false"/>
                <w:bCs w:val="false"/>
                <w:sz w:val="18"/>
                <w:szCs w:val="18"/>
              </w:rPr>
              <w:t xml:space="preserve">Report layout of prod_compiled with OVL-weighted rows</w:t>
            </w:r>
          </w:p>
        </w:tc>
        <w:tc>
          <w:tcPr>
            <w:tcW w:type="dxa" w:w="700"/>
            <w:shd w:fill="FFF2CC" w:val="clear"/>
            <w:tcMar>
              <w:top w:type="dxa" w:w="60"/>
              <w:left w:type="dxa" w:w="100"/>
              <w:bottom w:type="dxa" w:w="60"/>
              <w:right w:type="dxa" w:w="100"/>
            </w:tcMar>
          </w:tcPr>
          <w:p>
            <w:pPr>
              <w:spacing w:after="0"/>
            </w:pPr>
            <w:r>
              <w:rPr>
                <w:b w:val="false"/>
                <w:bCs w:val="false"/>
                <w:sz w:val="18"/>
                <w:szCs w:val="18"/>
              </w:rPr>
              <w:t xml:space="preserve">B</w:t>
            </w:r>
          </w:p>
        </w:tc>
        <w:tc>
          <w:tcPr>
            <w:tcW w:type="dxa" w:w="3060"/>
            <w:shd w:fill="F2F2F2" w:val="clear"/>
            <w:tcMar>
              <w:top w:type="dxa" w:w="60"/>
              <w:left w:type="dxa" w:w="100"/>
              <w:bottom w:type="dxa" w:w="60"/>
              <w:right w:type="dxa" w:w="100"/>
            </w:tcMar>
          </w:tcPr>
          <w:p>
            <w:pPr>
              <w:spacing w:after="0"/>
            </w:pPr>
            <w:r>
              <w:rPr>
                <w:b w:val="false"/>
                <w:bCs w:val="false"/>
                <w:sz w:val="18"/>
                <w:szCs w:val="18"/>
              </w:rPr>
              <w:t xml:space="preserve">PI typed; ACG PI switch by FY flag</w:t>
            </w:r>
          </w:p>
        </w:tc>
      </w:tr>
      <w:tr>
        <w:tc>
          <w:tcPr>
            <w:tcW w:type="dxa" w:w="1700"/>
            <w:shd w:fill="FFFFFF" w:val="clear"/>
            <w:tcMar>
              <w:top w:type="dxa" w:w="60"/>
              <w:left w:type="dxa" w:w="100"/>
              <w:bottom w:type="dxa" w:w="60"/>
              <w:right w:type="dxa" w:w="100"/>
            </w:tcMar>
          </w:tcPr>
          <w:p>
            <w:pPr>
              <w:spacing w:after="0"/>
            </w:pPr>
            <w:r>
              <w:rPr>
                <w:b w:val="false"/>
                <w:bCs w:val="false"/>
                <w:sz w:val="18"/>
                <w:szCs w:val="18"/>
              </w:rPr>
              <w:t xml:space="preserve">Previous year</w:t>
            </w:r>
          </w:p>
        </w:tc>
        <w:tc>
          <w:tcPr>
            <w:tcW w:type="dxa" w:w="900"/>
            <w:shd w:fill="FFFFFF"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FFFFF" w:val="clear"/>
            <w:tcMar>
              <w:top w:type="dxa" w:w="60"/>
              <w:left w:type="dxa" w:w="100"/>
              <w:bottom w:type="dxa" w:w="60"/>
              <w:right w:type="dxa" w:w="100"/>
            </w:tcMar>
          </w:tcPr>
          <w:p>
            <w:pPr>
              <w:spacing w:after="0"/>
            </w:pPr>
            <w:r>
              <w:rPr>
                <w:b w:val="false"/>
                <w:bCs w:val="false"/>
                <w:sz w:val="18"/>
                <w:szCs w:val="18"/>
              </w:rPr>
              <w:t xml:space="preserve">Prior-FY monthly reconciled figures for YoY</w:t>
            </w:r>
          </w:p>
        </w:tc>
        <w:tc>
          <w:tcPr>
            <w:tcW w:type="dxa" w:w="700"/>
            <w:shd w:fill="E2EFDA" w:val="clear"/>
            <w:tcMar>
              <w:top w:type="dxa" w:w="60"/>
              <w:left w:type="dxa" w:w="100"/>
              <w:bottom w:type="dxa" w:w="60"/>
              <w:right w:type="dxa" w:w="100"/>
            </w:tcMar>
          </w:tcPr>
          <w:p>
            <w:pPr>
              <w:spacing w:after="0"/>
            </w:pPr>
            <w:r>
              <w:rPr>
                <w:b w:val="false"/>
                <w:bCs w:val="false"/>
                <w:sz w:val="18"/>
                <w:szCs w:val="18"/>
              </w:rPr>
              <w:t xml:space="preserve">A</w:t>
            </w:r>
          </w:p>
        </w:tc>
        <w:tc>
          <w:tcPr>
            <w:tcW w:type="dxa" w:w="3060"/>
            <w:shd w:fill="FFFFFF" w:val="clear"/>
            <w:tcMar>
              <w:top w:type="dxa" w:w="60"/>
              <w:left w:type="dxa" w:w="100"/>
              <w:bottom w:type="dxa" w:w="60"/>
              <w:right w:type="dxa" w:w="100"/>
            </w:tcMar>
          </w:tcPr>
          <w:p>
            <w:pPr>
              <w:spacing w:after="0"/>
            </w:pPr>
            <w:r>
              <w:rPr>
                <w:b w:val="false"/>
                <w:bCs w:val="false"/>
                <w:sz w:val="18"/>
                <w:szCs w:val="18"/>
              </w:rPr>
              <w:t xml:space="preserve">ZPRA_T_MREC_PRD history (if kept) × PI</w:t>
            </w:r>
          </w:p>
        </w:tc>
      </w:tr>
      <w:tr>
        <w:tc>
          <w:tcPr>
            <w:tcW w:type="dxa" w:w="1700"/>
            <w:shd w:fill="F2F2F2" w:val="clear"/>
            <w:tcMar>
              <w:top w:type="dxa" w:w="60"/>
              <w:left w:type="dxa" w:w="100"/>
              <w:bottom w:type="dxa" w:w="60"/>
              <w:right w:type="dxa" w:w="100"/>
            </w:tcMar>
          </w:tcPr>
          <w:p>
            <w:pPr>
              <w:spacing w:after="0"/>
            </w:pPr>
            <w:r>
              <w:rPr>
                <w:b w:val="false"/>
                <w:bCs w:val="false"/>
                <w:sz w:val="18"/>
                <w:szCs w:val="18"/>
              </w:rPr>
              <w:t xml:space="preserve">Prodn Data 24-25</w:t>
            </w:r>
          </w:p>
        </w:tc>
        <w:tc>
          <w:tcPr>
            <w:tcW w:type="dxa" w:w="900"/>
            <w:shd w:fill="F2F2F2"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2F2F2" w:val="clear"/>
            <w:tcMar>
              <w:top w:type="dxa" w:w="60"/>
              <w:left w:type="dxa" w:w="100"/>
              <w:bottom w:type="dxa" w:w="60"/>
              <w:right w:type="dxa" w:w="100"/>
            </w:tcMar>
          </w:tcPr>
          <w:p>
            <w:pPr>
              <w:spacing w:after="0"/>
            </w:pPr>
            <w:r>
              <w:rPr>
                <w:b w:val="false"/>
                <w:bCs w:val="false"/>
                <w:sz w:val="18"/>
                <w:szCs w:val="18"/>
              </w:rPr>
              <w:t xml:space="preserve">Frozen copy of FY 2024-25 report, typed</w:t>
            </w:r>
          </w:p>
        </w:tc>
        <w:tc>
          <w:tcPr>
            <w:tcW w:type="dxa" w:w="700"/>
            <w:shd w:fill="FCE4D6" w:val="clear"/>
            <w:tcMar>
              <w:top w:type="dxa" w:w="60"/>
              <w:left w:type="dxa" w:w="100"/>
              <w:bottom w:type="dxa" w:w="60"/>
              <w:right w:type="dxa" w:w="100"/>
            </w:tcMar>
          </w:tcPr>
          <w:p>
            <w:pPr>
              <w:spacing w:after="0"/>
            </w:pPr>
            <w:r>
              <w:rPr>
                <w:b w:val="false"/>
                <w:bCs w:val="false"/>
                <w:sz w:val="18"/>
                <w:szCs w:val="18"/>
              </w:rPr>
              <w:t xml:space="preserve">C (archive)</w:t>
            </w:r>
          </w:p>
        </w:tc>
        <w:tc>
          <w:tcPr>
            <w:tcW w:type="dxa" w:w="3060"/>
            <w:shd w:fill="F2F2F2" w:val="clear"/>
            <w:tcMar>
              <w:top w:type="dxa" w:w="60"/>
              <w:left w:type="dxa" w:w="100"/>
              <w:bottom w:type="dxa" w:w="60"/>
              <w:right w:type="dxa" w:w="100"/>
            </w:tcMar>
          </w:tcPr>
          <w:p>
            <w:pPr>
              <w:spacing w:after="0"/>
            </w:pPr>
            <w:r>
              <w:rPr>
                <w:b w:val="false"/>
                <w:bCs w:val="false"/>
                <w:sz w:val="18"/>
                <w:szCs w:val="18"/>
              </w:rPr>
              <w:t xml:space="preserve">Reproducible from ZPRA_T_MREC_PRD FY 2024-25</w:t>
            </w:r>
          </w:p>
        </w:tc>
      </w:tr>
      <w:tr>
        <w:tc>
          <w:tcPr>
            <w:tcW w:type="dxa" w:w="1700"/>
            <w:shd w:fill="FFFFFF" w:val="clear"/>
            <w:tcMar>
              <w:top w:type="dxa" w:w="60"/>
              <w:left w:type="dxa" w:w="100"/>
              <w:bottom w:type="dxa" w:w="60"/>
              <w:right w:type="dxa" w:w="100"/>
            </w:tcMar>
          </w:tcPr>
          <w:p>
            <w:pPr>
              <w:spacing w:after="0"/>
            </w:pPr>
            <w:r>
              <w:rPr>
                <w:b w:val="false"/>
                <w:bCs w:val="false"/>
                <w:sz w:val="18"/>
                <w:szCs w:val="18"/>
              </w:rPr>
              <w:t xml:space="preserve">Storage_Targets</w:t>
            </w:r>
          </w:p>
        </w:tc>
        <w:tc>
          <w:tcPr>
            <w:tcW w:type="dxa" w:w="900"/>
            <w:shd w:fill="FFFFFF"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FFFFF" w:val="clear"/>
            <w:tcMar>
              <w:top w:type="dxa" w:w="60"/>
              <w:left w:type="dxa" w:w="100"/>
              <w:bottom w:type="dxa" w:w="60"/>
              <w:right w:type="dxa" w:w="100"/>
            </w:tcMar>
          </w:tcPr>
          <w:p>
            <w:pPr>
              <w:spacing w:after="0"/>
            </w:pPr>
            <w:r>
              <w:rPr>
                <w:b w:val="false"/>
                <w:bCs w:val="false"/>
                <w:sz w:val="18"/>
                <w:szCs w:val="18"/>
              </w:rPr>
              <w:t xml:space="preserve">Master store of BE / RE / MoU monthly OVL targets and CF per version, typed</w:t>
            </w:r>
          </w:p>
        </w:tc>
        <w:tc>
          <w:tcPr>
            <w:tcW w:type="dxa" w:w="700"/>
            <w:shd w:fill="E2EFDA" w:val="clear"/>
            <w:tcMar>
              <w:top w:type="dxa" w:w="60"/>
              <w:left w:type="dxa" w:w="100"/>
              <w:bottom w:type="dxa" w:w="60"/>
              <w:right w:type="dxa" w:w="100"/>
            </w:tcMar>
          </w:tcPr>
          <w:p>
            <w:pPr>
              <w:spacing w:after="0"/>
            </w:pPr>
            <w:r>
              <w:rPr>
                <w:b w:val="false"/>
                <w:bCs w:val="false"/>
                <w:sz w:val="18"/>
                <w:szCs w:val="18"/>
              </w:rPr>
              <w:t xml:space="preserve">A/B</w:t>
            </w:r>
          </w:p>
        </w:tc>
        <w:tc>
          <w:tcPr>
            <w:tcW w:type="dxa" w:w="3060"/>
            <w:shd w:fill="FFFFFF" w:val="clear"/>
            <w:tcMar>
              <w:top w:type="dxa" w:w="60"/>
              <w:left w:type="dxa" w:w="100"/>
              <w:bottom w:type="dxa" w:w="60"/>
              <w:right w:type="dxa" w:w="100"/>
            </w:tcMar>
          </w:tcPr>
          <w:p>
            <w:pPr>
              <w:spacing w:after="0"/>
            </w:pPr>
            <w:r>
              <w:rPr>
                <w:b w:val="false"/>
                <w:bCs w:val="false"/>
                <w:sz w:val="18"/>
                <w:szCs w:val="18"/>
              </w:rPr>
              <w:t xml:space="preserve">ZPRA_T_PRD_TAR (TAR_BE, TAR_RE, MoU = TAR_EX or TAR_VG to be decided); CF per version not in ZPRA_T_TAR_CF</w:t>
            </w:r>
          </w:p>
        </w:tc>
      </w:tr>
      <w:tr>
        <w:tc>
          <w:tcPr>
            <w:tcW w:type="dxa" w:w="1700"/>
            <w:shd w:fill="F2F2F2" w:val="clear"/>
            <w:tcMar>
              <w:top w:type="dxa" w:w="60"/>
              <w:left w:type="dxa" w:w="100"/>
              <w:bottom w:type="dxa" w:w="60"/>
              <w:right w:type="dxa" w:w="100"/>
            </w:tcMar>
          </w:tcPr>
          <w:p>
            <w:pPr>
              <w:spacing w:after="0"/>
            </w:pPr>
            <w:r>
              <w:rPr>
                <w:b w:val="false"/>
                <w:bCs w:val="false"/>
                <w:sz w:val="18"/>
                <w:szCs w:val="18"/>
              </w:rPr>
              <w:t xml:space="preserve">BEREMOU</w:t>
            </w:r>
          </w:p>
        </w:tc>
        <w:tc>
          <w:tcPr>
            <w:tcW w:type="dxa" w:w="900"/>
            <w:shd w:fill="F2F2F2"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2F2F2" w:val="clear"/>
            <w:tcMar>
              <w:top w:type="dxa" w:w="60"/>
              <w:left w:type="dxa" w:w="100"/>
              <w:bottom w:type="dxa" w:w="60"/>
              <w:right w:type="dxa" w:w="100"/>
            </w:tcMar>
          </w:tcPr>
          <w:p>
            <w:pPr>
              <w:spacing w:after="0"/>
            </w:pPr>
            <w:r>
              <w:rPr>
                <w:b w:val="false"/>
                <w:bCs w:val="false"/>
                <w:sz w:val="18"/>
                <w:szCs w:val="18"/>
              </w:rPr>
              <w:t xml:space="preserve">Selects the FY and the target version</w:t>
            </w:r>
          </w:p>
        </w:tc>
        <w:tc>
          <w:tcPr>
            <w:tcW w:type="dxa" w:w="700"/>
            <w:shd w:fill="E2EFDA" w:val="clear"/>
            <w:tcMar>
              <w:top w:type="dxa" w:w="60"/>
              <w:left w:type="dxa" w:w="100"/>
              <w:bottom w:type="dxa" w:w="60"/>
              <w:right w:type="dxa" w:w="100"/>
            </w:tcMar>
          </w:tcPr>
          <w:p>
            <w:pPr>
              <w:spacing w:after="0"/>
            </w:pPr>
            <w:r>
              <w:rPr>
                <w:b w:val="false"/>
                <w:bCs w:val="false"/>
                <w:sz w:val="18"/>
                <w:szCs w:val="18"/>
              </w:rPr>
              <w:t xml:space="preserve">A</w:t>
            </w:r>
          </w:p>
        </w:tc>
        <w:tc>
          <w:tcPr>
            <w:tcW w:type="dxa" w:w="3060"/>
            <w:shd w:fill="F2F2F2" w:val="clear"/>
            <w:tcMar>
              <w:top w:type="dxa" w:w="60"/>
              <w:left w:type="dxa" w:w="100"/>
              <w:bottom w:type="dxa" w:w="60"/>
              <w:right w:type="dxa" w:w="100"/>
            </w:tcMar>
          </w:tcPr>
          <w:p>
            <w:pPr>
              <w:spacing w:after="0"/>
            </w:pPr>
            <w:r>
              <w:rPr>
                <w:b w:val="false"/>
                <w:bCs w:val="false"/>
                <w:sz w:val="18"/>
                <w:szCs w:val="18"/>
              </w:rPr>
              <w:t xml:space="preserve">Parameter: target code. Typed zeros override MECL gas</w:t>
            </w:r>
          </w:p>
        </w:tc>
      </w:tr>
      <w:tr>
        <w:tc>
          <w:tcPr>
            <w:tcW w:type="dxa" w:w="1700"/>
            <w:shd w:fill="FFFFFF" w:val="clear"/>
            <w:tcMar>
              <w:top w:type="dxa" w:w="60"/>
              <w:left w:type="dxa" w:w="100"/>
              <w:bottom w:type="dxa" w:w="60"/>
              <w:right w:type="dxa" w:w="100"/>
            </w:tcMar>
          </w:tcPr>
          <w:p>
            <w:pPr>
              <w:spacing w:after="0"/>
            </w:pPr>
            <w:r>
              <w:rPr>
                <w:b w:val="false"/>
                <w:bCs w:val="false"/>
                <w:sz w:val="18"/>
                <w:szCs w:val="18"/>
              </w:rPr>
              <w:t xml:space="preserve">Targets-chosen</w:t>
            </w:r>
          </w:p>
        </w:tc>
        <w:tc>
          <w:tcPr>
            <w:tcW w:type="dxa" w:w="900"/>
            <w:shd w:fill="FFFFFF"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FFFFF" w:val="clear"/>
            <w:tcMar>
              <w:top w:type="dxa" w:w="60"/>
              <w:left w:type="dxa" w:w="100"/>
              <w:bottom w:type="dxa" w:w="60"/>
              <w:right w:type="dxa" w:w="100"/>
            </w:tcMar>
          </w:tcPr>
          <w:p>
            <w:pPr>
              <w:spacing w:after="0"/>
            </w:pPr>
            <w:r>
              <w:rPr>
                <w:b w:val="false"/>
                <w:bCs w:val="false"/>
                <w:sz w:val="18"/>
                <w:szCs w:val="18"/>
              </w:rPr>
              <w:t xml:space="preserve">Chosen targets to Q/H/annual and to JV BOPD / MMSCMD</w:t>
            </w:r>
          </w:p>
        </w:tc>
        <w:tc>
          <w:tcPr>
            <w:tcW w:type="dxa" w:w="700"/>
            <w:shd w:fill="FFF2CC" w:val="clear"/>
            <w:tcMar>
              <w:top w:type="dxa" w:w="60"/>
              <w:left w:type="dxa" w:w="100"/>
              <w:bottom w:type="dxa" w:w="60"/>
              <w:right w:type="dxa" w:w="100"/>
            </w:tcMar>
          </w:tcPr>
          <w:p>
            <w:pPr>
              <w:spacing w:after="0"/>
            </w:pPr>
            <w:r>
              <w:rPr>
                <w:b w:val="false"/>
                <w:bCs w:val="false"/>
                <w:sz w:val="18"/>
                <w:szCs w:val="18"/>
              </w:rPr>
              <w:t xml:space="preserve">B</w:t>
            </w:r>
          </w:p>
        </w:tc>
        <w:tc>
          <w:tcPr>
            <w:tcW w:type="dxa" w:w="3060"/>
            <w:shd w:fill="FFFFFF" w:val="clear"/>
            <w:tcMar>
              <w:top w:type="dxa" w:w="60"/>
              <w:left w:type="dxa" w:w="100"/>
              <w:bottom w:type="dxa" w:w="60"/>
              <w:right w:type="dxa" w:w="100"/>
            </w:tcMar>
          </w:tcPr>
          <w:p>
            <w:pPr>
              <w:spacing w:after="0"/>
            </w:pPr>
            <w:r>
              <w:rPr>
                <w:b w:val="false"/>
                <w:bCs w:val="false"/>
                <w:sz w:val="18"/>
                <w:szCs w:val="18"/>
              </w:rPr>
              <w:t xml:space="preserve">Rule: JV BOPD = OVL MMT / PI × CF × 1e6 / days; PI typed; OVL average row omits 4 assets</w:t>
            </w:r>
          </w:p>
        </w:tc>
      </w:tr>
      <w:tr>
        <w:tc>
          <w:tcPr>
            <w:tcW w:type="dxa" w:w="1700"/>
            <w:shd w:fill="F2F2F2" w:val="clear"/>
            <w:tcMar>
              <w:top w:type="dxa" w:w="60"/>
              <w:left w:type="dxa" w:w="100"/>
              <w:bottom w:type="dxa" w:w="60"/>
              <w:right w:type="dxa" w:w="100"/>
            </w:tcMar>
          </w:tcPr>
          <w:p>
            <w:pPr>
              <w:spacing w:after="0"/>
            </w:pPr>
            <w:r>
              <w:rPr>
                <w:b w:val="false"/>
                <w:bCs w:val="false"/>
                <w:sz w:val="18"/>
                <w:szCs w:val="18"/>
              </w:rPr>
              <w:t xml:space="preserve">Target_monthwise</w:t>
            </w:r>
          </w:p>
        </w:tc>
        <w:tc>
          <w:tcPr>
            <w:tcW w:type="dxa" w:w="900"/>
            <w:shd w:fill="F2F2F2" w:val="clear"/>
            <w:tcMar>
              <w:top w:type="dxa" w:w="60"/>
              <w:left w:type="dxa" w:w="100"/>
              <w:bottom w:type="dxa" w:w="60"/>
              <w:right w:type="dxa" w:w="100"/>
            </w:tcMar>
          </w:tcPr>
          <w:p>
            <w:pPr>
              <w:spacing w:after="0"/>
            </w:pPr>
            <w:r>
              <w:rPr>
                <w:b w:val="false"/>
                <w:bCs w:val="false"/>
                <w:sz w:val="18"/>
                <w:szCs w:val="18"/>
              </w:rPr>
              <w:t xml:space="preserve">hidden</w:t>
            </w:r>
          </w:p>
        </w:tc>
        <w:tc>
          <w:tcPr>
            <w:tcW w:type="dxa" w:w="3000"/>
            <w:shd w:fill="F2F2F2" w:val="clear"/>
            <w:tcMar>
              <w:top w:type="dxa" w:w="60"/>
              <w:left w:type="dxa" w:w="100"/>
              <w:bottom w:type="dxa" w:w="60"/>
              <w:right w:type="dxa" w:w="100"/>
            </w:tcMar>
          </w:tcPr>
          <w:p>
            <w:pPr>
              <w:spacing w:after="0"/>
            </w:pPr>
            <w:r>
              <w:rPr>
                <w:b w:val="false"/>
                <w:bCs w:val="false"/>
                <w:sz w:val="18"/>
                <w:szCs w:val="18"/>
              </w:rPr>
              <w:t xml:space="preserve">12-month layout keyed YYYYMM</w:t>
            </w:r>
          </w:p>
        </w:tc>
        <w:tc>
          <w:tcPr>
            <w:tcW w:type="dxa" w:w="700"/>
            <w:shd w:fill="E2EFDA" w:val="clear"/>
            <w:tcMar>
              <w:top w:type="dxa" w:w="60"/>
              <w:left w:type="dxa" w:w="100"/>
              <w:bottom w:type="dxa" w:w="60"/>
              <w:right w:type="dxa" w:w="100"/>
            </w:tcMar>
          </w:tcPr>
          <w:p>
            <w:pPr>
              <w:spacing w:after="0"/>
            </w:pPr>
            <w:r>
              <w:rPr>
                <w:b w:val="false"/>
                <w:bCs w:val="false"/>
                <w:sz w:val="18"/>
                <w:szCs w:val="18"/>
              </w:rPr>
              <w:t xml:space="preserve">A</w:t>
            </w:r>
          </w:p>
        </w:tc>
        <w:tc>
          <w:tcPr>
            <w:tcW w:type="dxa" w:w="3060"/>
            <w:shd w:fill="F2F2F2" w:val="clear"/>
            <w:tcMar>
              <w:top w:type="dxa" w:w="60"/>
              <w:left w:type="dxa" w:w="100"/>
              <w:bottom w:type="dxa" w:w="60"/>
              <w:right w:type="dxa" w:w="100"/>
            </w:tcMar>
          </w:tcPr>
          <w:p>
            <w:pPr>
              <w:spacing w:after="0"/>
            </w:pPr>
            <w:r>
              <w:rPr>
                <w:b w:val="false"/>
                <w:bCs w:val="false"/>
                <w:sz w:val="18"/>
                <w:szCs w:val="18"/>
              </w:rPr>
              <w:t xml:space="preserve">Reshaping only; MMTOE = MMT + BCM</w:t>
            </w:r>
          </w:p>
        </w:tc>
      </w:tr>
      <w:tr>
        <w:tc>
          <w:tcPr>
            <w:tcW w:type="dxa" w:w="1700"/>
            <w:shd w:fill="FFFFFF" w:val="clear"/>
            <w:tcMar>
              <w:top w:type="dxa" w:w="60"/>
              <w:left w:type="dxa" w:w="100"/>
              <w:bottom w:type="dxa" w:w="60"/>
              <w:right w:type="dxa" w:w="100"/>
            </w:tcMar>
          </w:tcPr>
          <w:p>
            <w:pPr>
              <w:spacing w:after="0"/>
            </w:pPr>
            <w:r>
              <w:rPr>
                <w:b w:val="false"/>
                <w:bCs w:val="false"/>
                <w:sz w:val="18"/>
                <w:szCs w:val="18"/>
              </w:rPr>
              <w:t xml:space="preserve">YTDtarget</w:t>
            </w:r>
          </w:p>
        </w:tc>
        <w:tc>
          <w:tcPr>
            <w:tcW w:type="dxa" w:w="900"/>
            <w:shd w:fill="FFFFFF"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FFFFF" w:val="clear"/>
            <w:tcMar>
              <w:top w:type="dxa" w:w="60"/>
              <w:left w:type="dxa" w:w="100"/>
              <w:bottom w:type="dxa" w:w="60"/>
              <w:right w:type="dxa" w:w="100"/>
            </w:tcMar>
          </w:tcPr>
          <w:p>
            <w:pPr>
              <w:spacing w:after="0"/>
            </w:pPr>
            <w:r>
              <w:rPr>
                <w:b w:val="false"/>
                <w:bCs w:val="false"/>
                <w:sz w:val="18"/>
                <w:szCs w:val="18"/>
              </w:rPr>
              <w:t xml:space="preserve">YTD / QTD / MTD target proration to the dashboard date</w:t>
            </w:r>
          </w:p>
        </w:tc>
        <w:tc>
          <w:tcPr>
            <w:tcW w:type="dxa" w:w="700"/>
            <w:shd w:fill="FFF2CC" w:val="clear"/>
            <w:tcMar>
              <w:top w:type="dxa" w:w="60"/>
              <w:left w:type="dxa" w:w="100"/>
              <w:bottom w:type="dxa" w:w="60"/>
              <w:right w:type="dxa" w:w="100"/>
            </w:tcMar>
          </w:tcPr>
          <w:p>
            <w:pPr>
              <w:spacing w:after="0"/>
            </w:pPr>
            <w:r>
              <w:rPr>
                <w:b w:val="false"/>
                <w:bCs w:val="false"/>
                <w:sz w:val="18"/>
                <w:szCs w:val="18"/>
              </w:rPr>
              <w:t xml:space="preserve">B</w:t>
            </w:r>
          </w:p>
        </w:tc>
        <w:tc>
          <w:tcPr>
            <w:tcW w:type="dxa" w:w="3060"/>
            <w:shd w:fill="FFFFFF" w:val="clear"/>
            <w:tcMar>
              <w:top w:type="dxa" w:w="60"/>
              <w:left w:type="dxa" w:w="100"/>
              <w:bottom w:type="dxa" w:w="60"/>
              <w:right w:type="dxa" w:w="100"/>
            </w:tcMar>
          </w:tcPr>
          <w:p>
            <w:pPr>
              <w:spacing w:after="0"/>
            </w:pPr>
            <w:r>
              <w:rPr>
                <w:b w:val="false"/>
                <w:bCs w:val="false"/>
                <w:sz w:val="18"/>
                <w:szCs w:val="18"/>
              </w:rPr>
              <w:t xml:space="preserve">Rule: completed months + current month × days elapsed / days in month</w:t>
            </w:r>
          </w:p>
        </w:tc>
      </w:tr>
      <w:tr>
        <w:tc>
          <w:tcPr>
            <w:tcW w:type="dxa" w:w="1700"/>
            <w:shd w:fill="F2F2F2" w:val="clear"/>
            <w:tcMar>
              <w:top w:type="dxa" w:w="60"/>
              <w:left w:type="dxa" w:w="100"/>
              <w:bottom w:type="dxa" w:w="60"/>
              <w:right w:type="dxa" w:w="100"/>
            </w:tcMar>
          </w:tcPr>
          <w:p>
            <w:pPr>
              <w:spacing w:after="0"/>
            </w:pPr>
            <w:r>
              <w:rPr>
                <w:b w:val="false"/>
                <w:bCs w:val="false"/>
                <w:sz w:val="18"/>
                <w:szCs w:val="18"/>
              </w:rPr>
              <w:t xml:space="preserve">DTR</w:t>
            </w:r>
          </w:p>
        </w:tc>
        <w:tc>
          <w:tcPr>
            <w:tcW w:type="dxa" w:w="900"/>
            <w:shd w:fill="F2F2F2" w:val="clear"/>
            <w:tcMar>
              <w:top w:type="dxa" w:w="60"/>
              <w:left w:type="dxa" w:w="100"/>
              <w:bottom w:type="dxa" w:w="60"/>
              <w:right w:type="dxa" w:w="100"/>
            </w:tcMar>
          </w:tcPr>
          <w:p>
            <w:pPr>
              <w:spacing w:after="0"/>
            </w:pPr>
            <w:r>
              <w:rPr>
                <w:b w:val="false"/>
                <w:bCs w:val="false"/>
                <w:sz w:val="18"/>
                <w:szCs w:val="18"/>
              </w:rPr>
              <w:t xml:space="preserve">hidden</w:t>
            </w:r>
          </w:p>
        </w:tc>
        <w:tc>
          <w:tcPr>
            <w:tcW w:type="dxa" w:w="3000"/>
            <w:shd w:fill="F2F2F2" w:val="clear"/>
            <w:tcMar>
              <w:top w:type="dxa" w:w="60"/>
              <w:left w:type="dxa" w:w="100"/>
              <w:bottom w:type="dxa" w:w="60"/>
              <w:right w:type="dxa" w:w="100"/>
            </w:tcMar>
          </w:tcPr>
          <w:p>
            <w:pPr>
              <w:spacing w:after="0"/>
            </w:pPr>
            <w:r>
              <w:rPr>
                <w:b w:val="false"/>
                <w:bCs w:val="false"/>
                <w:sz w:val="18"/>
                <w:szCs w:val="18"/>
              </w:rPr>
              <w:t xml:space="preserve">Daily target rate per calendar day</w:t>
            </w:r>
          </w:p>
        </w:tc>
        <w:tc>
          <w:tcPr>
            <w:tcW w:type="dxa" w:w="700"/>
            <w:shd w:fill="E2EFDA" w:val="clear"/>
            <w:tcMar>
              <w:top w:type="dxa" w:w="60"/>
              <w:left w:type="dxa" w:w="100"/>
              <w:bottom w:type="dxa" w:w="60"/>
              <w:right w:type="dxa" w:w="100"/>
            </w:tcMar>
          </w:tcPr>
          <w:p>
            <w:pPr>
              <w:spacing w:after="0"/>
            </w:pPr>
            <w:r>
              <w:rPr>
                <w:b w:val="false"/>
                <w:bCs w:val="false"/>
                <w:sz w:val="18"/>
                <w:szCs w:val="18"/>
              </w:rPr>
              <w:t xml:space="preserve">A</w:t>
            </w:r>
          </w:p>
        </w:tc>
        <w:tc>
          <w:tcPr>
            <w:tcW w:type="dxa" w:w="3060"/>
            <w:shd w:fill="F2F2F2" w:val="clear"/>
            <w:tcMar>
              <w:top w:type="dxa" w:w="60"/>
              <w:left w:type="dxa" w:w="100"/>
              <w:bottom w:type="dxa" w:w="60"/>
              <w:right w:type="dxa" w:w="100"/>
            </w:tcMar>
          </w:tcPr>
          <w:p>
            <w:pPr>
              <w:spacing w:after="0"/>
            </w:pPr>
            <w:r>
              <w:rPr>
                <w:b w:val="false"/>
                <w:bCs w:val="false"/>
                <w:sz w:val="18"/>
                <w:szCs w:val="18"/>
              </w:rPr>
              <w:t xml:space="preserve">Monthly target as daily rate; PI row stale (ACG 2.31 %)</w:t>
            </w:r>
          </w:p>
        </w:tc>
      </w:tr>
      <w:tr>
        <w:tc>
          <w:tcPr>
            <w:tcW w:type="dxa" w:w="1700"/>
            <w:shd w:fill="FFFFFF" w:val="clear"/>
            <w:tcMar>
              <w:top w:type="dxa" w:w="60"/>
              <w:left w:type="dxa" w:w="100"/>
              <w:bottom w:type="dxa" w:w="60"/>
              <w:right w:type="dxa" w:w="100"/>
            </w:tcMar>
          </w:tcPr>
          <w:p>
            <w:pPr>
              <w:spacing w:after="0"/>
            </w:pPr>
            <w:r>
              <w:rPr>
                <w:b w:val="false"/>
                <w:bCs w:val="false"/>
                <w:sz w:val="18"/>
                <w:szCs w:val="18"/>
              </w:rPr>
              <w:t xml:space="preserve">Tables</w:t>
            </w:r>
          </w:p>
        </w:tc>
        <w:tc>
          <w:tcPr>
            <w:tcW w:type="dxa" w:w="900"/>
            <w:shd w:fill="FFFFFF" w:val="clear"/>
            <w:tcMar>
              <w:top w:type="dxa" w:w="60"/>
              <w:left w:type="dxa" w:w="100"/>
              <w:bottom w:type="dxa" w:w="60"/>
              <w:right w:type="dxa" w:w="100"/>
            </w:tcMar>
          </w:tcPr>
          <w:p>
            <w:pPr>
              <w:spacing w:after="0"/>
            </w:pPr>
            <w:r>
              <w:rPr>
                <w:b w:val="false"/>
                <w:bCs w:val="false"/>
                <w:sz w:val="18"/>
                <w:szCs w:val="18"/>
              </w:rPr>
              <w:t xml:space="preserve">hidden</w:t>
            </w:r>
          </w:p>
        </w:tc>
        <w:tc>
          <w:tcPr>
            <w:tcW w:type="dxa" w:w="3000"/>
            <w:shd w:fill="FFFFFF" w:val="clear"/>
            <w:tcMar>
              <w:top w:type="dxa" w:w="60"/>
              <w:left w:type="dxa" w:w="100"/>
              <w:bottom w:type="dxa" w:w="60"/>
              <w:right w:type="dxa" w:w="100"/>
            </w:tcMar>
          </w:tcPr>
          <w:p>
            <w:pPr>
              <w:spacing w:after="0"/>
            </w:pPr>
            <w:r>
              <w:rPr>
                <w:b w:val="false"/>
                <w:bCs w:val="false"/>
                <w:sz w:val="18"/>
                <w:szCs w:val="18"/>
              </w:rPr>
              <w:t xml:space="preserve">Target vs actual monthly series per asset for charts</w:t>
            </w:r>
          </w:p>
        </w:tc>
        <w:tc>
          <w:tcPr>
            <w:tcW w:type="dxa" w:w="700"/>
            <w:shd w:fill="E2EFDA" w:val="clear"/>
            <w:tcMar>
              <w:top w:type="dxa" w:w="60"/>
              <w:left w:type="dxa" w:w="100"/>
              <w:bottom w:type="dxa" w:w="60"/>
              <w:right w:type="dxa" w:w="100"/>
            </w:tcMar>
          </w:tcPr>
          <w:p>
            <w:pPr>
              <w:spacing w:after="0"/>
            </w:pPr>
            <w:r>
              <w:rPr>
                <w:b w:val="false"/>
                <w:bCs w:val="false"/>
                <w:sz w:val="18"/>
                <w:szCs w:val="18"/>
              </w:rPr>
              <w:t xml:space="preserve">A</w:t>
            </w:r>
          </w:p>
        </w:tc>
        <w:tc>
          <w:tcPr>
            <w:tcW w:type="dxa" w:w="3060"/>
            <w:shd w:fill="FFFFFF" w:val="clear"/>
            <w:tcMar>
              <w:top w:type="dxa" w:w="60"/>
              <w:left w:type="dxa" w:w="100"/>
              <w:bottom w:type="dxa" w:w="60"/>
              <w:right w:type="dxa" w:w="100"/>
            </w:tcMar>
          </w:tcPr>
          <w:p>
            <w:pPr>
              <w:spacing w:after="0"/>
            </w:pPr>
            <w:r>
              <w:rPr>
                <w:b w:val="false"/>
                <w:bCs w:val="false"/>
                <w:sz w:val="18"/>
                <w:szCs w:val="18"/>
              </w:rPr>
              <w:t xml:space="preserve">Derived</w:t>
            </w:r>
          </w:p>
        </w:tc>
      </w:tr>
      <w:tr>
        <w:tc>
          <w:tcPr>
            <w:tcW w:type="dxa" w:w="1700"/>
            <w:shd w:fill="F2F2F2" w:val="clear"/>
            <w:tcMar>
              <w:top w:type="dxa" w:w="60"/>
              <w:left w:type="dxa" w:w="100"/>
              <w:bottom w:type="dxa" w:w="60"/>
              <w:right w:type="dxa" w:w="100"/>
            </w:tcMar>
          </w:tcPr>
          <w:p>
            <w:pPr>
              <w:spacing w:after="0"/>
            </w:pPr>
            <w:r>
              <w:rPr>
                <w:b w:val="false"/>
                <w:bCs w:val="false"/>
                <w:sz w:val="18"/>
                <w:szCs w:val="18"/>
              </w:rPr>
              <w:t xml:space="preserve">OperProdn Loss</w:t>
            </w:r>
          </w:p>
        </w:tc>
        <w:tc>
          <w:tcPr>
            <w:tcW w:type="dxa" w:w="900"/>
            <w:shd w:fill="F2F2F2" w:val="clear"/>
            <w:tcMar>
              <w:top w:type="dxa" w:w="60"/>
              <w:left w:type="dxa" w:w="100"/>
              <w:bottom w:type="dxa" w:w="60"/>
              <w:right w:type="dxa" w:w="100"/>
            </w:tcMar>
          </w:tcPr>
          <w:p>
            <w:pPr>
              <w:spacing w:after="0"/>
            </w:pPr>
            <w:r>
              <w:rPr>
                <w:b w:val="false"/>
                <w:bCs w:val="false"/>
                <w:sz w:val="18"/>
                <w:szCs w:val="18"/>
              </w:rPr>
              <w:t xml:space="preserve">hidden</w:t>
            </w:r>
          </w:p>
        </w:tc>
        <w:tc>
          <w:tcPr>
            <w:tcW w:type="dxa" w:w="3000"/>
            <w:shd w:fill="F2F2F2" w:val="clear"/>
            <w:tcMar>
              <w:top w:type="dxa" w:w="60"/>
              <w:left w:type="dxa" w:w="100"/>
              <w:bottom w:type="dxa" w:w="60"/>
              <w:right w:type="dxa" w:w="100"/>
            </w:tcMar>
          </w:tcPr>
          <w:p>
            <w:pPr>
              <w:spacing w:after="0"/>
            </w:pPr>
            <w:r>
              <w:rPr>
                <w:b w:val="false"/>
                <w:bCs w:val="false"/>
                <w:sz w:val="18"/>
                <w:szCs w:val="18"/>
              </w:rPr>
              <w:t xml:space="preserve">Daily loss = max(0, reference − actual) × PI</w:t>
            </w:r>
          </w:p>
        </w:tc>
        <w:tc>
          <w:tcPr>
            <w:tcW w:type="dxa" w:w="700"/>
            <w:shd w:fill="FCE4D6" w:val="clear"/>
            <w:tcMar>
              <w:top w:type="dxa" w:w="60"/>
              <w:left w:type="dxa" w:w="100"/>
              <w:bottom w:type="dxa" w:w="60"/>
              <w:right w:type="dxa" w:w="100"/>
            </w:tcMar>
          </w:tcPr>
          <w:p>
            <w:pPr>
              <w:spacing w:after="0"/>
            </w:pPr>
            <w:r>
              <w:rPr>
                <w:b w:val="false"/>
                <w:bCs w:val="false"/>
                <w:sz w:val="18"/>
                <w:szCs w:val="18"/>
              </w:rPr>
              <w:t xml:space="preserve">C/A</w:t>
            </w:r>
          </w:p>
        </w:tc>
        <w:tc>
          <w:tcPr>
            <w:tcW w:type="dxa" w:w="3060"/>
            <w:shd w:fill="F2F2F2" w:val="clear"/>
            <w:tcMar>
              <w:top w:type="dxa" w:w="60"/>
              <w:left w:type="dxa" w:w="100"/>
              <w:bottom w:type="dxa" w:w="60"/>
              <w:right w:type="dxa" w:w="100"/>
            </w:tcMar>
          </w:tcPr>
          <w:p>
            <w:pPr>
              <w:spacing w:after="0"/>
            </w:pPr>
            <w:r>
              <w:rPr>
                <w:b w:val="false"/>
                <w:bCs w:val="false"/>
                <w:sz w:val="18"/>
                <w:szCs w:val="18"/>
              </w:rPr>
              <w:t xml:space="preserve">Reference rows 9–11 typed; no loss categories; rows from 20-Jul-2025 are #REF!</w:t>
            </w:r>
          </w:p>
        </w:tc>
      </w:tr>
      <w:tr>
        <w:tc>
          <w:tcPr>
            <w:tcW w:type="dxa" w:w="1700"/>
            <w:shd w:fill="FFFFFF" w:val="clear"/>
            <w:tcMar>
              <w:top w:type="dxa" w:w="60"/>
              <w:left w:type="dxa" w:w="100"/>
              <w:bottom w:type="dxa" w:w="60"/>
              <w:right w:type="dxa" w:w="100"/>
            </w:tcMar>
          </w:tcPr>
          <w:p>
            <w:pPr>
              <w:spacing w:after="0"/>
            </w:pPr>
            <w:r>
              <w:rPr>
                <w:b w:val="false"/>
                <w:bCs w:val="false"/>
                <w:sz w:val="18"/>
                <w:szCs w:val="18"/>
              </w:rPr>
              <w:t xml:space="preserve">Quarterly / Monthly / Yearly Analysis</w:t>
            </w:r>
          </w:p>
        </w:tc>
        <w:tc>
          <w:tcPr>
            <w:tcW w:type="dxa" w:w="900"/>
            <w:shd w:fill="FFFFFF"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FFFFF" w:val="clear"/>
            <w:tcMar>
              <w:top w:type="dxa" w:w="60"/>
              <w:left w:type="dxa" w:w="100"/>
              <w:bottom w:type="dxa" w:w="60"/>
              <w:right w:type="dxa" w:w="100"/>
            </w:tcMar>
          </w:tcPr>
          <w:p>
            <w:pPr>
              <w:spacing w:after="0"/>
            </w:pPr>
            <w:r>
              <w:rPr>
                <w:b w:val="false"/>
                <w:bCs w:val="false"/>
                <w:sz w:val="18"/>
                <w:szCs w:val="18"/>
              </w:rPr>
              <w:t xml:space="preserve">Target vs actual per asset for the period, MMTOE, remarks, major activities</w:t>
            </w:r>
          </w:p>
        </w:tc>
        <w:tc>
          <w:tcPr>
            <w:tcW w:type="dxa" w:w="700"/>
            <w:shd w:fill="FFF2CC" w:val="clear"/>
            <w:tcMar>
              <w:top w:type="dxa" w:w="60"/>
              <w:left w:type="dxa" w:w="100"/>
              <w:bottom w:type="dxa" w:w="60"/>
              <w:right w:type="dxa" w:w="100"/>
            </w:tcMar>
          </w:tcPr>
          <w:p>
            <w:pPr>
              <w:spacing w:after="0"/>
            </w:pPr>
            <w:r>
              <w:rPr>
                <w:b w:val="false"/>
                <w:bCs w:val="false"/>
                <w:sz w:val="18"/>
                <w:szCs w:val="18"/>
              </w:rPr>
              <w:t xml:space="preserve">B</w:t>
            </w:r>
          </w:p>
        </w:tc>
        <w:tc>
          <w:tcPr>
            <w:tcW w:type="dxa" w:w="3060"/>
            <w:shd w:fill="FFFFFF" w:val="clear"/>
            <w:tcMar>
              <w:top w:type="dxa" w:w="60"/>
              <w:left w:type="dxa" w:w="100"/>
              <w:bottom w:type="dxa" w:w="60"/>
              <w:right w:type="dxa" w:w="100"/>
            </w:tcMar>
          </w:tcPr>
          <w:p>
            <w:pPr>
              <w:spacing w:after="0"/>
            </w:pPr>
            <w:r>
              <w:rPr>
                <w:b w:val="false"/>
                <w:bCs w:val="false"/>
                <w:sz w:val="18"/>
                <w:szCs w:val="18"/>
              </w:rPr>
              <w:t xml:space="preserve">C: 'Operators Target', remarks, major activities (all empty text columns)</w:t>
            </w:r>
          </w:p>
        </w:tc>
      </w:tr>
      <w:tr>
        <w:tc>
          <w:tcPr>
            <w:tcW w:type="dxa" w:w="1700"/>
            <w:shd w:fill="F2F2F2" w:val="clear"/>
            <w:tcMar>
              <w:top w:type="dxa" w:w="60"/>
              <w:left w:type="dxa" w:w="100"/>
              <w:bottom w:type="dxa" w:w="60"/>
              <w:right w:type="dxa" w:w="100"/>
            </w:tcMar>
          </w:tcPr>
          <w:p>
            <w:pPr>
              <w:spacing w:after="0"/>
            </w:pPr>
            <w:r>
              <w:rPr>
                <w:b w:val="false"/>
                <w:bCs w:val="false"/>
                <w:sz w:val="18"/>
                <w:szCs w:val="18"/>
              </w:rPr>
              <w:t xml:space="preserve">YoY</w:t>
            </w:r>
          </w:p>
        </w:tc>
        <w:tc>
          <w:tcPr>
            <w:tcW w:type="dxa" w:w="900"/>
            <w:shd w:fill="F2F2F2"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2F2F2" w:val="clear"/>
            <w:tcMar>
              <w:top w:type="dxa" w:w="60"/>
              <w:left w:type="dxa" w:w="100"/>
              <w:bottom w:type="dxa" w:w="60"/>
              <w:right w:type="dxa" w:w="100"/>
            </w:tcMar>
          </w:tcPr>
          <w:p>
            <w:pPr>
              <w:spacing w:after="0"/>
            </w:pPr>
            <w:r>
              <w:rPr>
                <w:b w:val="false"/>
                <w:bCs w:val="false"/>
                <w:sz w:val="18"/>
                <w:szCs w:val="18"/>
              </w:rPr>
              <w:t xml:space="preserve">Year-on-year YTD OVL comparison</w:t>
            </w:r>
          </w:p>
        </w:tc>
        <w:tc>
          <w:tcPr>
            <w:tcW w:type="dxa" w:w="700"/>
            <w:shd w:fill="E2EFDA" w:val="clear"/>
            <w:tcMar>
              <w:top w:type="dxa" w:w="60"/>
              <w:left w:type="dxa" w:w="100"/>
              <w:bottom w:type="dxa" w:w="60"/>
              <w:right w:type="dxa" w:w="100"/>
            </w:tcMar>
          </w:tcPr>
          <w:p>
            <w:pPr>
              <w:spacing w:after="0"/>
            </w:pPr>
            <w:r>
              <w:rPr>
                <w:b w:val="false"/>
                <w:bCs w:val="false"/>
                <w:sz w:val="18"/>
                <w:szCs w:val="18"/>
              </w:rPr>
              <w:t xml:space="preserve">A</w:t>
            </w:r>
          </w:p>
        </w:tc>
        <w:tc>
          <w:tcPr>
            <w:tcW w:type="dxa" w:w="3060"/>
            <w:shd w:fill="F2F2F2" w:val="clear"/>
            <w:tcMar>
              <w:top w:type="dxa" w:w="60"/>
              <w:left w:type="dxa" w:w="100"/>
              <w:bottom w:type="dxa" w:w="60"/>
              <w:right w:type="dxa" w:w="100"/>
            </w:tcMar>
          </w:tcPr>
          <w:p>
            <w:pPr>
              <w:spacing w:after="0"/>
            </w:pPr>
            <w:r>
              <w:rPr>
                <w:b w:val="false"/>
                <w:bCs w:val="false"/>
                <w:sz w:val="18"/>
                <w:szCs w:val="18"/>
              </w:rPr>
              <w:t xml:space="preserve">Previous year from reconciled history</w:t>
            </w:r>
          </w:p>
        </w:tc>
      </w:tr>
      <w:tr>
        <w:tc>
          <w:tcPr>
            <w:tcW w:type="dxa" w:w="1700"/>
            <w:shd w:fill="FFFFFF" w:val="clear"/>
            <w:tcMar>
              <w:top w:type="dxa" w:w="60"/>
              <w:left w:type="dxa" w:w="100"/>
              <w:bottom w:type="dxa" w:w="60"/>
              <w:right w:type="dxa" w:w="100"/>
            </w:tcMar>
          </w:tcPr>
          <w:p>
            <w:pPr>
              <w:spacing w:after="0"/>
            </w:pPr>
            <w:r>
              <w:rPr>
                <w:b w:val="false"/>
                <w:bCs w:val="false"/>
                <w:sz w:val="18"/>
                <w:szCs w:val="18"/>
              </w:rPr>
              <w:t xml:space="preserve">Previous Comp</w:t>
            </w:r>
          </w:p>
        </w:tc>
        <w:tc>
          <w:tcPr>
            <w:tcW w:type="dxa" w:w="900"/>
            <w:shd w:fill="FFFFFF" w:val="clear"/>
            <w:tcMar>
              <w:top w:type="dxa" w:w="60"/>
              <w:left w:type="dxa" w:w="100"/>
              <w:bottom w:type="dxa" w:w="60"/>
              <w:right w:type="dxa" w:w="100"/>
            </w:tcMar>
          </w:tcPr>
          <w:p>
            <w:pPr>
              <w:spacing w:after="0"/>
            </w:pPr>
            <w:r>
              <w:rPr>
                <w:b w:val="false"/>
                <w:bCs w:val="false"/>
                <w:sz w:val="18"/>
                <w:szCs w:val="18"/>
              </w:rPr>
              <w:t xml:space="preserve">hidden</w:t>
            </w:r>
          </w:p>
        </w:tc>
        <w:tc>
          <w:tcPr>
            <w:tcW w:type="dxa" w:w="3000"/>
            <w:shd w:fill="FFFFFF" w:val="clear"/>
            <w:tcMar>
              <w:top w:type="dxa" w:w="60"/>
              <w:left w:type="dxa" w:w="100"/>
              <w:bottom w:type="dxa" w:w="60"/>
              <w:right w:type="dxa" w:w="100"/>
            </w:tcMar>
          </w:tcPr>
          <w:p>
            <w:pPr>
              <w:spacing w:after="0"/>
            </w:pPr>
            <w:r>
              <w:rPr>
                <w:b w:val="false"/>
                <w:bCs w:val="false"/>
                <w:sz w:val="18"/>
                <w:szCs w:val="18"/>
              </w:rPr>
              <w:t xml:space="preserve">Current MTD vs previous month per-day rates</w:t>
            </w:r>
          </w:p>
        </w:tc>
        <w:tc>
          <w:tcPr>
            <w:tcW w:type="dxa" w:w="700"/>
            <w:shd w:fill="E2EFDA" w:val="clear"/>
            <w:tcMar>
              <w:top w:type="dxa" w:w="60"/>
              <w:left w:type="dxa" w:w="100"/>
              <w:bottom w:type="dxa" w:w="60"/>
              <w:right w:type="dxa" w:w="100"/>
            </w:tcMar>
          </w:tcPr>
          <w:p>
            <w:pPr>
              <w:spacing w:after="0"/>
            </w:pPr>
            <w:r>
              <w:rPr>
                <w:b w:val="false"/>
                <w:bCs w:val="false"/>
                <w:sz w:val="18"/>
                <w:szCs w:val="18"/>
              </w:rPr>
              <w:t xml:space="preserve">A</w:t>
            </w:r>
          </w:p>
        </w:tc>
        <w:tc>
          <w:tcPr>
            <w:tcW w:type="dxa" w:w="3060"/>
            <w:shd w:fill="FFFFFF" w:val="clear"/>
            <w:tcMar>
              <w:top w:type="dxa" w:w="60"/>
              <w:left w:type="dxa" w:w="100"/>
              <w:bottom w:type="dxa" w:w="60"/>
              <w:right w:type="dxa" w:w="100"/>
            </w:tcMar>
          </w:tcPr>
          <w:p>
            <w:pPr>
              <w:spacing w:after="0"/>
            </w:pPr>
            <w:r>
              <w:rPr>
                <w:b w:val="false"/>
                <w:bCs w:val="false"/>
                <w:sz w:val="18"/>
                <w:szCs w:val="18"/>
              </w:rPr>
              <w:t xml:space="preserve">Derived</w:t>
            </w:r>
          </w:p>
        </w:tc>
      </w:tr>
      <w:tr>
        <w:tc>
          <w:tcPr>
            <w:tcW w:type="dxa" w:w="1700"/>
            <w:shd w:fill="F2F2F2" w:val="clear"/>
            <w:tcMar>
              <w:top w:type="dxa" w:w="60"/>
              <w:left w:type="dxa" w:w="100"/>
              <w:bottom w:type="dxa" w:w="60"/>
              <w:right w:type="dxa" w:w="100"/>
            </w:tcMar>
          </w:tcPr>
          <w:p>
            <w:pPr>
              <w:spacing w:after="0"/>
            </w:pPr>
            <w:r>
              <w:rPr>
                <w:b w:val="false"/>
                <w:bCs w:val="false"/>
                <w:sz w:val="18"/>
                <w:szCs w:val="18"/>
              </w:rPr>
              <w:t xml:space="preserve">Mat_Balance</w:t>
            </w:r>
          </w:p>
        </w:tc>
        <w:tc>
          <w:tcPr>
            <w:tcW w:type="dxa" w:w="900"/>
            <w:shd w:fill="F2F2F2"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2F2F2" w:val="clear"/>
            <w:tcMar>
              <w:top w:type="dxa" w:w="60"/>
              <w:left w:type="dxa" w:w="100"/>
              <w:bottom w:type="dxa" w:w="60"/>
              <w:right w:type="dxa" w:w="100"/>
            </w:tcMar>
          </w:tcPr>
          <w:p>
            <w:pPr>
              <w:spacing w:after="0"/>
            </w:pPr>
            <w:r>
              <w:rPr>
                <w:b w:val="false"/>
                <w:bCs w:val="false"/>
                <w:sz w:val="18"/>
                <w:szCs w:val="18"/>
              </w:rPr>
              <w:t xml:space="preserve">Change in OVL-share rate between two dates</w:t>
            </w:r>
          </w:p>
        </w:tc>
        <w:tc>
          <w:tcPr>
            <w:tcW w:type="dxa" w:w="700"/>
            <w:shd w:fill="E2EFDA" w:val="clear"/>
            <w:tcMar>
              <w:top w:type="dxa" w:w="60"/>
              <w:left w:type="dxa" w:w="100"/>
              <w:bottom w:type="dxa" w:w="60"/>
              <w:right w:type="dxa" w:w="100"/>
            </w:tcMar>
          </w:tcPr>
          <w:p>
            <w:pPr>
              <w:spacing w:after="0"/>
            </w:pPr>
            <w:r>
              <w:rPr>
                <w:b w:val="false"/>
                <w:bCs w:val="false"/>
                <w:sz w:val="18"/>
                <w:szCs w:val="18"/>
              </w:rPr>
              <w:t xml:space="preserve">A</w:t>
            </w:r>
          </w:p>
        </w:tc>
        <w:tc>
          <w:tcPr>
            <w:tcW w:type="dxa" w:w="3060"/>
            <w:shd w:fill="F2F2F2" w:val="clear"/>
            <w:tcMar>
              <w:top w:type="dxa" w:w="60"/>
              <w:left w:type="dxa" w:w="100"/>
              <w:bottom w:type="dxa" w:w="60"/>
              <w:right w:type="dxa" w:w="100"/>
            </w:tcMar>
          </w:tcPr>
          <w:p>
            <w:pPr>
              <w:spacing w:after="0"/>
            </w:pPr>
            <w:r>
              <w:rPr>
                <w:b w:val="false"/>
                <w:bCs w:val="false"/>
                <w:sz w:val="18"/>
                <w:szCs w:val="18"/>
              </w:rPr>
              <w:t xml:space="preserve">Two daily rows × PI; currently #N/A (dates outside range)</w:t>
            </w:r>
          </w:p>
        </w:tc>
      </w:tr>
      <w:tr>
        <w:tc>
          <w:tcPr>
            <w:tcW w:type="dxa" w:w="1700"/>
            <w:shd w:fill="FFFFFF" w:val="clear"/>
            <w:tcMar>
              <w:top w:type="dxa" w:w="60"/>
              <w:left w:type="dxa" w:w="100"/>
              <w:bottom w:type="dxa" w:w="60"/>
              <w:right w:type="dxa" w:w="100"/>
            </w:tcMar>
          </w:tcPr>
          <w:p>
            <w:pPr>
              <w:spacing w:after="0"/>
            </w:pPr>
            <w:r>
              <w:rPr>
                <w:b w:val="false"/>
                <w:bCs w:val="false"/>
                <w:sz w:val="18"/>
                <w:szCs w:val="18"/>
              </w:rPr>
              <w:t xml:space="preserve">Standardised rates</w:t>
            </w:r>
          </w:p>
        </w:tc>
        <w:tc>
          <w:tcPr>
            <w:tcW w:type="dxa" w:w="900"/>
            <w:shd w:fill="FFFFFF"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FFFFF" w:val="clear"/>
            <w:tcMar>
              <w:top w:type="dxa" w:w="60"/>
              <w:left w:type="dxa" w:w="100"/>
              <w:bottom w:type="dxa" w:w="60"/>
              <w:right w:type="dxa" w:w="100"/>
            </w:tcMar>
          </w:tcPr>
          <w:p>
            <w:pPr>
              <w:spacing w:after="0"/>
            </w:pPr>
            <w:r>
              <w:rPr>
                <w:b w:val="false"/>
                <w:bCs w:val="false"/>
                <w:sz w:val="18"/>
                <w:szCs w:val="18"/>
              </w:rPr>
              <w:t xml:space="preserve">Nominal reference JV rate per asset (oil and gas), typed</w:t>
            </w:r>
          </w:p>
        </w:tc>
        <w:tc>
          <w:tcPr>
            <w:tcW w:type="dxa" w:w="700"/>
            <w:shd w:fill="FCE4D6" w:val="clear"/>
            <w:tcMar>
              <w:top w:type="dxa" w:w="60"/>
              <w:left w:type="dxa" w:w="100"/>
              <w:bottom w:type="dxa" w:w="60"/>
              <w:right w:type="dxa" w:w="100"/>
            </w:tcMar>
          </w:tcPr>
          <w:p>
            <w:pPr>
              <w:spacing w:after="0"/>
            </w:pPr>
            <w:r>
              <w:rPr>
                <w:b w:val="false"/>
                <w:bCs w:val="false"/>
                <w:sz w:val="18"/>
                <w:szCs w:val="18"/>
              </w:rPr>
              <w:t xml:space="preserve">C</w:t>
            </w:r>
          </w:p>
        </w:tc>
        <w:tc>
          <w:tcPr>
            <w:tcW w:type="dxa" w:w="3060"/>
            <w:shd w:fill="FFFFFF" w:val="clear"/>
            <w:tcMar>
              <w:top w:type="dxa" w:w="60"/>
              <w:left w:type="dxa" w:w="100"/>
              <w:bottom w:type="dxa" w:w="60"/>
              <w:right w:type="dxa" w:w="100"/>
            </w:tcMar>
          </w:tcPr>
          <w:p>
            <w:pPr>
              <w:spacing w:after="0"/>
            </w:pPr>
            <w:r>
              <w:rPr>
                <w:b w:val="false"/>
                <w:bCs w:val="false"/>
                <w:sz w:val="18"/>
                <w:szCs w:val="18"/>
              </w:rPr>
              <w:t xml:space="preserve">New custom table</w:t>
            </w:r>
          </w:p>
        </w:tc>
      </w:tr>
      <w:tr>
        <w:tc>
          <w:tcPr>
            <w:tcW w:type="dxa" w:w="1700"/>
            <w:shd w:fill="F2F2F2" w:val="clear"/>
            <w:tcMar>
              <w:top w:type="dxa" w:w="60"/>
              <w:left w:type="dxa" w:w="100"/>
              <w:bottom w:type="dxa" w:w="60"/>
              <w:right w:type="dxa" w:w="100"/>
            </w:tcMar>
          </w:tcPr>
          <w:p>
            <w:pPr>
              <w:spacing w:after="0"/>
            </w:pPr>
            <w:r>
              <w:rPr>
                <w:b w:val="false"/>
                <w:bCs w:val="false"/>
                <w:sz w:val="18"/>
                <w:szCs w:val="18"/>
              </w:rPr>
              <w:t xml:space="preserve">reference_points</w:t>
            </w:r>
          </w:p>
        </w:tc>
        <w:tc>
          <w:tcPr>
            <w:tcW w:type="dxa" w:w="900"/>
            <w:shd w:fill="F2F2F2"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2F2F2" w:val="clear"/>
            <w:tcMar>
              <w:top w:type="dxa" w:w="60"/>
              <w:left w:type="dxa" w:w="100"/>
              <w:bottom w:type="dxa" w:w="60"/>
              <w:right w:type="dxa" w:w="100"/>
            </w:tcMar>
          </w:tcPr>
          <w:p>
            <w:pPr>
              <w:spacing w:after="0"/>
            </w:pPr>
            <w:r>
              <w:rPr>
                <w:b w:val="false"/>
                <w:bCs w:val="false"/>
                <w:sz w:val="18"/>
                <w:szCs w:val="18"/>
              </w:rPr>
              <w:t xml:space="preserve">Candidate reference points (months, quarters, DPR date, any dates, standardised)</w:t>
            </w:r>
          </w:p>
        </w:tc>
        <w:tc>
          <w:tcPr>
            <w:tcW w:type="dxa" w:w="700"/>
            <w:shd w:fill="FFF2CC" w:val="clear"/>
            <w:tcMar>
              <w:top w:type="dxa" w:w="60"/>
              <w:left w:type="dxa" w:w="100"/>
              <w:bottom w:type="dxa" w:w="60"/>
              <w:right w:type="dxa" w:w="100"/>
            </w:tcMar>
          </w:tcPr>
          <w:p>
            <w:pPr>
              <w:spacing w:after="0"/>
            </w:pPr>
            <w:r>
              <w:rPr>
                <w:b w:val="false"/>
                <w:bCs w:val="false"/>
                <w:sz w:val="18"/>
                <w:szCs w:val="18"/>
              </w:rPr>
              <w:t xml:space="preserve">B/C</w:t>
            </w:r>
          </w:p>
        </w:tc>
        <w:tc>
          <w:tcPr>
            <w:tcW w:type="dxa" w:w="3060"/>
            <w:shd w:fill="F2F2F2" w:val="clear"/>
            <w:tcMar>
              <w:top w:type="dxa" w:w="60"/>
              <w:left w:type="dxa" w:w="100"/>
              <w:bottom w:type="dxa" w:w="60"/>
              <w:right w:type="dxa" w:w="100"/>
            </w:tcMar>
          </w:tcPr>
          <w:p>
            <w:pPr>
              <w:spacing w:after="0"/>
            </w:pPr>
            <w:r>
              <w:rPr>
                <w:b w:val="false"/>
                <w:bCs w:val="false"/>
                <w:sz w:val="18"/>
                <w:szCs w:val="18"/>
              </w:rPr>
              <w:t xml:space="preserve">Standardised column is C</w:t>
            </w:r>
          </w:p>
        </w:tc>
      </w:tr>
      <w:tr>
        <w:tc>
          <w:tcPr>
            <w:tcW w:type="dxa" w:w="1700"/>
            <w:shd w:fill="FFFFFF" w:val="clear"/>
            <w:tcMar>
              <w:top w:type="dxa" w:w="60"/>
              <w:left w:type="dxa" w:w="100"/>
              <w:bottom w:type="dxa" w:w="60"/>
              <w:right w:type="dxa" w:w="100"/>
            </w:tcMar>
          </w:tcPr>
          <w:p>
            <w:pPr>
              <w:spacing w:after="0"/>
            </w:pPr>
            <w:r>
              <w:rPr>
                <w:b w:val="false"/>
                <w:bCs w:val="false"/>
                <w:sz w:val="18"/>
                <w:szCs w:val="18"/>
              </w:rPr>
              <w:t xml:space="preserve">Comparison_between_ref_points</w:t>
            </w:r>
          </w:p>
        </w:tc>
        <w:tc>
          <w:tcPr>
            <w:tcW w:type="dxa" w:w="900"/>
            <w:shd w:fill="FFFFFF"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FFFFF" w:val="clear"/>
            <w:tcMar>
              <w:top w:type="dxa" w:w="60"/>
              <w:left w:type="dxa" w:w="100"/>
              <w:bottom w:type="dxa" w:w="60"/>
              <w:right w:type="dxa" w:w="100"/>
            </w:tcMar>
          </w:tcPr>
          <w:p>
            <w:pPr>
              <w:spacing w:after="0"/>
            </w:pPr>
            <w:r>
              <w:rPr>
                <w:b w:val="false"/>
                <w:bCs w:val="false"/>
                <w:sz w:val="18"/>
                <w:szCs w:val="18"/>
              </w:rPr>
              <w:t xml:space="preserve">Compare two chosen reference points per asset</w:t>
            </w:r>
          </w:p>
        </w:tc>
        <w:tc>
          <w:tcPr>
            <w:tcW w:type="dxa" w:w="700"/>
            <w:shd w:fill="FFF2CC" w:val="clear"/>
            <w:tcMar>
              <w:top w:type="dxa" w:w="60"/>
              <w:left w:type="dxa" w:w="100"/>
              <w:bottom w:type="dxa" w:w="60"/>
              <w:right w:type="dxa" w:w="100"/>
            </w:tcMar>
          </w:tcPr>
          <w:p>
            <w:pPr>
              <w:spacing w:after="0"/>
            </w:pPr>
            <w:r>
              <w:rPr>
                <w:b w:val="false"/>
                <w:bCs w:val="false"/>
                <w:sz w:val="18"/>
                <w:szCs w:val="18"/>
              </w:rPr>
              <w:t xml:space="preserve">B</w:t>
            </w:r>
          </w:p>
        </w:tc>
        <w:tc>
          <w:tcPr>
            <w:tcW w:type="dxa" w:w="3060"/>
            <w:shd w:fill="FFFFFF" w:val="clear"/>
            <w:tcMar>
              <w:top w:type="dxa" w:w="60"/>
              <w:left w:type="dxa" w:w="100"/>
              <w:bottom w:type="dxa" w:w="60"/>
              <w:right w:type="dxa" w:w="100"/>
            </w:tcMar>
          </w:tcPr>
          <w:p>
            <w:pPr>
              <w:spacing w:after="0"/>
            </w:pPr>
            <w:r>
              <w:rPr>
                <w:b w:val="false"/>
                <w:bCs w:val="false"/>
                <w:sz w:val="18"/>
                <w:szCs w:val="18"/>
              </w:rPr>
              <w:t xml:space="preserve">User choice of references</w:t>
            </w:r>
          </w:p>
        </w:tc>
      </w:tr>
      <w:tr>
        <w:tc>
          <w:tcPr>
            <w:tcW w:type="dxa" w:w="1700"/>
            <w:shd w:fill="F2F2F2" w:val="clear"/>
            <w:tcMar>
              <w:top w:type="dxa" w:w="60"/>
              <w:left w:type="dxa" w:w="100"/>
              <w:bottom w:type="dxa" w:w="60"/>
              <w:right w:type="dxa" w:w="100"/>
            </w:tcMar>
          </w:tcPr>
          <w:p>
            <w:pPr>
              <w:spacing w:after="0"/>
            </w:pPr>
            <w:r>
              <w:rPr>
                <w:b w:val="false"/>
                <w:bCs w:val="false"/>
                <w:sz w:val="18"/>
                <w:szCs w:val="18"/>
              </w:rPr>
              <w:t xml:space="preserve">Storage_Reconciled_prod</w:t>
            </w:r>
          </w:p>
        </w:tc>
        <w:tc>
          <w:tcPr>
            <w:tcW w:type="dxa" w:w="900"/>
            <w:shd w:fill="F2F2F2"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2F2F2" w:val="clear"/>
            <w:tcMar>
              <w:top w:type="dxa" w:w="60"/>
              <w:left w:type="dxa" w:w="100"/>
              <w:bottom w:type="dxa" w:w="60"/>
              <w:right w:type="dxa" w:w="100"/>
            </w:tcMar>
          </w:tcPr>
          <w:p>
            <w:pPr>
              <w:spacing w:after="0"/>
            </w:pPr>
            <w:r>
              <w:rPr>
                <w:b w:val="false"/>
                <w:bCs w:val="false"/>
                <w:sz w:val="18"/>
                <w:szCs w:val="18"/>
              </w:rPr>
              <w:t xml:space="preserve">Raw reconciled production store (macro-filled)</w:t>
            </w:r>
          </w:p>
        </w:tc>
        <w:tc>
          <w:tcPr>
            <w:tcW w:type="dxa" w:w="700"/>
            <w:shd w:fill="E2EFDA" w:val="clear"/>
            <w:tcMar>
              <w:top w:type="dxa" w:w="60"/>
              <w:left w:type="dxa" w:w="100"/>
              <w:bottom w:type="dxa" w:w="60"/>
              <w:right w:type="dxa" w:w="100"/>
            </w:tcMar>
          </w:tcPr>
          <w:p>
            <w:pPr>
              <w:spacing w:after="0"/>
            </w:pPr>
            <w:r>
              <w:rPr>
                <w:b w:val="false"/>
                <w:bCs w:val="false"/>
                <w:sz w:val="18"/>
                <w:szCs w:val="18"/>
              </w:rPr>
              <w:t xml:space="preserve">A</w:t>
            </w:r>
          </w:p>
        </w:tc>
        <w:tc>
          <w:tcPr>
            <w:tcW w:type="dxa" w:w="3060"/>
            <w:shd w:fill="F2F2F2" w:val="clear"/>
            <w:tcMar>
              <w:top w:type="dxa" w:w="60"/>
              <w:left w:type="dxa" w:w="100"/>
              <w:bottom w:type="dxa" w:w="60"/>
              <w:right w:type="dxa" w:w="100"/>
            </w:tcMar>
          </w:tcPr>
          <w:p>
            <w:pPr>
              <w:spacing w:after="0"/>
            </w:pPr>
            <w:r>
              <w:rPr>
                <w:b w:val="false"/>
                <w:bCs w:val="false"/>
                <w:sz w:val="18"/>
                <w:szCs w:val="18"/>
              </w:rPr>
              <w:t xml:space="preserve">ZPRA_T_MREC_PRD ÷ days, × PI, ÷ CF</w:t>
            </w:r>
          </w:p>
        </w:tc>
      </w:tr>
      <w:tr>
        <w:tc>
          <w:tcPr>
            <w:tcW w:type="dxa" w:w="1700"/>
            <w:shd w:fill="FFFFFF" w:val="clear"/>
            <w:tcMar>
              <w:top w:type="dxa" w:w="60"/>
              <w:left w:type="dxa" w:w="100"/>
              <w:bottom w:type="dxa" w:w="60"/>
              <w:right w:type="dxa" w:w="100"/>
            </w:tcMar>
          </w:tcPr>
          <w:p>
            <w:pPr>
              <w:spacing w:after="0"/>
            </w:pPr>
            <w:r>
              <w:rPr>
                <w:b w:val="false"/>
                <w:bCs w:val="false"/>
                <w:sz w:val="18"/>
                <w:szCs w:val="18"/>
              </w:rPr>
              <w:t xml:space="preserve">Storage_rounded_off_prod</w:t>
            </w:r>
          </w:p>
        </w:tc>
        <w:tc>
          <w:tcPr>
            <w:tcW w:type="dxa" w:w="900"/>
            <w:shd w:fill="FFFFFF"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FFFFF" w:val="clear"/>
            <w:tcMar>
              <w:top w:type="dxa" w:w="60"/>
              <w:left w:type="dxa" w:w="100"/>
              <w:bottom w:type="dxa" w:w="60"/>
              <w:right w:type="dxa" w:w="100"/>
            </w:tcMar>
          </w:tcPr>
          <w:p>
            <w:pPr>
              <w:spacing w:after="0"/>
            </w:pPr>
            <w:r>
              <w:rPr>
                <w:b w:val="false"/>
                <w:bCs w:val="false"/>
                <w:sz w:val="18"/>
                <w:szCs w:val="18"/>
              </w:rPr>
              <w:t xml:space="preserve">Corporate Planning rounded production (3 decimals), typed</w:t>
            </w:r>
          </w:p>
        </w:tc>
        <w:tc>
          <w:tcPr>
            <w:tcW w:type="dxa" w:w="700"/>
            <w:shd w:fill="FCE4D6" w:val="clear"/>
            <w:tcMar>
              <w:top w:type="dxa" w:w="60"/>
              <w:left w:type="dxa" w:w="100"/>
              <w:bottom w:type="dxa" w:w="60"/>
              <w:right w:type="dxa" w:w="100"/>
            </w:tcMar>
          </w:tcPr>
          <w:p>
            <w:pPr>
              <w:spacing w:after="0"/>
            </w:pPr>
            <w:r>
              <w:rPr>
                <w:b w:val="false"/>
                <w:bCs w:val="false"/>
                <w:sz w:val="18"/>
                <w:szCs w:val="18"/>
              </w:rPr>
              <w:t xml:space="preserve">C</w:t>
            </w:r>
          </w:p>
        </w:tc>
        <w:tc>
          <w:tcPr>
            <w:tcW w:type="dxa" w:w="3060"/>
            <w:shd w:fill="FFFFFF" w:val="clear"/>
            <w:tcMar>
              <w:top w:type="dxa" w:w="60"/>
              <w:left w:type="dxa" w:w="100"/>
              <w:bottom w:type="dxa" w:w="60"/>
              <w:right w:type="dxa" w:w="100"/>
            </w:tcMar>
          </w:tcPr>
          <w:p>
            <w:pPr>
              <w:spacing w:after="0"/>
            </w:pPr>
            <w:r>
              <w:rPr>
                <w:b w:val="false"/>
                <w:bCs w:val="false"/>
                <w:sz w:val="18"/>
                <w:szCs w:val="18"/>
              </w:rPr>
              <w:t xml:space="preserve">Official published figures; may differ from computed</w:t>
            </w:r>
          </w:p>
        </w:tc>
      </w:tr>
      <w:tr>
        <w:tc>
          <w:tcPr>
            <w:tcW w:type="dxa" w:w="1700"/>
            <w:shd w:fill="F2F2F2" w:val="clear"/>
            <w:tcMar>
              <w:top w:type="dxa" w:w="60"/>
              <w:left w:type="dxa" w:w="100"/>
              <w:bottom w:type="dxa" w:w="60"/>
              <w:right w:type="dxa" w:w="100"/>
            </w:tcMar>
          </w:tcPr>
          <w:p>
            <w:pPr>
              <w:spacing w:after="0"/>
            </w:pPr>
            <w:r>
              <w:rPr>
                <w:b w:val="false"/>
                <w:bCs w:val="false"/>
                <w:sz w:val="18"/>
                <w:szCs w:val="18"/>
              </w:rPr>
              <w:t xml:space="preserve">Storage_Reconciled_prod_chosen</w:t>
            </w:r>
          </w:p>
        </w:tc>
        <w:tc>
          <w:tcPr>
            <w:tcW w:type="dxa" w:w="900"/>
            <w:shd w:fill="F2F2F2" w:val="clear"/>
            <w:tcMar>
              <w:top w:type="dxa" w:w="60"/>
              <w:left w:type="dxa" w:w="100"/>
              <w:bottom w:type="dxa" w:w="60"/>
              <w:right w:type="dxa" w:w="100"/>
            </w:tcMar>
          </w:tcPr>
          <w:p>
            <w:pPr>
              <w:spacing w:after="0"/>
            </w:pPr>
            <w:r>
              <w:rPr>
                <w:b w:val="false"/>
                <w:bCs w:val="false"/>
                <w:sz w:val="18"/>
                <w:szCs w:val="18"/>
              </w:rPr>
              <w:t xml:space="preserve">visible</w:t>
            </w:r>
          </w:p>
        </w:tc>
        <w:tc>
          <w:tcPr>
            <w:tcW w:type="dxa" w:w="3000"/>
            <w:shd w:fill="F2F2F2" w:val="clear"/>
            <w:tcMar>
              <w:top w:type="dxa" w:w="60"/>
              <w:left w:type="dxa" w:w="100"/>
              <w:bottom w:type="dxa" w:w="60"/>
              <w:right w:type="dxa" w:w="100"/>
            </w:tcMar>
          </w:tcPr>
          <w:p>
            <w:pPr>
              <w:spacing w:after="0"/>
            </w:pPr>
            <w:r>
              <w:rPr>
                <w:b w:val="false"/>
                <w:bCs w:val="false"/>
                <w:sz w:val="18"/>
                <w:szCs w:val="18"/>
              </w:rPr>
              <w:t xml:space="preserve">Single feed: JV from raw, OVL volumes from raw or rounded per switch</w:t>
            </w:r>
          </w:p>
        </w:tc>
        <w:tc>
          <w:tcPr>
            <w:tcW w:type="dxa" w:w="700"/>
            <w:shd w:fill="FFF2CC" w:val="clear"/>
            <w:tcMar>
              <w:top w:type="dxa" w:w="60"/>
              <w:left w:type="dxa" w:w="100"/>
              <w:bottom w:type="dxa" w:w="60"/>
              <w:right w:type="dxa" w:w="100"/>
            </w:tcMar>
          </w:tcPr>
          <w:p>
            <w:pPr>
              <w:spacing w:after="0"/>
            </w:pPr>
            <w:r>
              <w:rPr>
                <w:b w:val="false"/>
                <w:bCs w:val="false"/>
                <w:sz w:val="18"/>
                <w:szCs w:val="18"/>
              </w:rPr>
              <w:t xml:space="preserve">B</w:t>
            </w:r>
          </w:p>
        </w:tc>
        <w:tc>
          <w:tcPr>
            <w:tcW w:type="dxa" w:w="3060"/>
            <w:shd w:fill="F2F2F2" w:val="clear"/>
            <w:tcMar>
              <w:top w:type="dxa" w:w="60"/>
              <w:left w:type="dxa" w:w="100"/>
              <w:bottom w:type="dxa" w:w="60"/>
              <w:right w:type="dxa" w:w="100"/>
            </w:tcMar>
          </w:tcPr>
          <w:p>
            <w:pPr>
              <w:spacing w:after="0"/>
            </w:pPr>
            <w:r>
              <w:rPr>
                <w:b w:val="false"/>
                <w:bCs w:val="false"/>
                <w:sz w:val="18"/>
                <w:szCs w:val="18"/>
              </w:rPr>
              <w:t xml:space="preserve">Parameter: rounded / raw</w:t>
            </w:r>
          </w:p>
        </w:tc>
      </w:tr>
    </w:tbl>
    <w:p>
      <w:r>
        <w:br w:type="page"/>
      </w:r>
    </w:p>
    <w:p>
      <w:pPr>
        <w:pStyle w:val="Heading1"/>
        <w:spacing w:after="160" w:before="320"/>
      </w:pPr>
      <w:r>
        <w:t xml:space="preserve">4. What is available from SAP (class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2660"/>
      </w:tblGrid>
      <w:tr>
        <w:trPr>
          <w:tblHeader/>
        </w:trPr>
        <w:tc>
          <w:tcPr>
            <w:tcW w:type="dxa" w:w="3400"/>
            <w:shd w:fill="1F4E79" w:val="clear"/>
            <w:tcMar>
              <w:top w:type="dxa" w:w="60"/>
              <w:left w:type="dxa" w:w="100"/>
              <w:bottom w:type="dxa" w:w="60"/>
              <w:right w:type="dxa" w:w="100"/>
            </w:tcMar>
          </w:tcPr>
          <w:p>
            <w:pPr>
              <w:spacing w:after="0"/>
            </w:pPr>
            <w:r>
              <w:rPr>
                <w:b/>
                <w:bCs/>
                <w:color w:val="FFFFFF"/>
                <w:sz w:val="18"/>
                <w:szCs w:val="18"/>
              </w:rPr>
              <w:t xml:space="preserve">Workbook data</w:t>
            </w:r>
          </w:p>
        </w:tc>
        <w:tc>
          <w:tcPr>
            <w:tcW w:type="dxa" w:w="3300"/>
            <w:shd w:fill="1F4E79" w:val="clear"/>
            <w:tcMar>
              <w:top w:type="dxa" w:w="60"/>
              <w:left w:type="dxa" w:w="100"/>
              <w:bottom w:type="dxa" w:w="60"/>
              <w:right w:type="dxa" w:w="100"/>
            </w:tcMar>
          </w:tcPr>
          <w:p>
            <w:pPr>
              <w:spacing w:after="0"/>
            </w:pPr>
            <w:r>
              <w:rPr>
                <w:b/>
                <w:bCs/>
                <w:color w:val="FFFFFF"/>
                <w:sz w:val="18"/>
                <w:szCs w:val="18"/>
              </w:rPr>
              <w:t xml:space="preserve">SAP source</w:t>
            </w:r>
          </w:p>
        </w:tc>
        <w:tc>
          <w:tcPr>
            <w:tcW w:type="dxa" w:w="2660"/>
            <w:shd w:fill="1F4E79" w:val="clear"/>
            <w:tcMar>
              <w:top w:type="dxa" w:w="60"/>
              <w:left w:type="dxa" w:w="100"/>
              <w:bottom w:type="dxa" w:w="60"/>
              <w:right w:type="dxa" w:w="100"/>
            </w:tcMar>
          </w:tcPr>
          <w:p>
            <w:pPr>
              <w:spacing w:after="0"/>
            </w:pPr>
            <w:r>
              <w:rPr>
                <w:b/>
                <w:bCs/>
                <w:color w:val="FFFFFF"/>
                <w:sz w:val="18"/>
                <w:szCs w:val="18"/>
              </w:rPr>
              <w:t xml:space="preserve">Conversion needed</w:t>
            </w:r>
          </w:p>
        </w:tc>
      </w:tr>
      <w:tr>
        <w:tc>
          <w:tcPr>
            <w:tcW w:type="dxa" w:w="3400"/>
            <w:shd w:fill="FFFFFF" w:val="clear"/>
            <w:tcMar>
              <w:top w:type="dxa" w:w="60"/>
              <w:left w:type="dxa" w:w="100"/>
              <w:bottom w:type="dxa" w:w="60"/>
              <w:right w:type="dxa" w:w="100"/>
            </w:tcMar>
          </w:tcPr>
          <w:p>
            <w:pPr>
              <w:spacing w:after="0"/>
            </w:pPr>
            <w:r>
              <w:rPr>
                <w:b w:val="false"/>
                <w:bCs w:val="false"/>
                <w:sz w:val="18"/>
                <w:szCs w:val="18"/>
              </w:rPr>
              <w:t xml:space="preserve">Daily JV oil (BOPD) and gas (MMSCMD) per asset — DPR columns D:Q and S:AF</w:t>
            </w:r>
          </w:p>
        </w:tc>
        <w:tc>
          <w:tcPr>
            <w:tcW w:type="dxa" w:w="3300"/>
            <w:shd w:fill="FFFFFF" w:val="clear"/>
            <w:tcMar>
              <w:top w:type="dxa" w:w="60"/>
              <w:left w:type="dxa" w:w="100"/>
              <w:bottom w:type="dxa" w:w="60"/>
              <w:right w:type="dxa" w:w="100"/>
            </w:tcMar>
          </w:tcPr>
          <w:p>
            <w:pPr>
              <w:spacing w:after="0"/>
            </w:pPr>
            <w:r>
              <w:rPr>
                <w:b w:val="false"/>
                <w:bCs w:val="false"/>
                <w:sz w:val="18"/>
                <w:szCs w:val="18"/>
              </w:rPr>
              <w:t xml:space="preserve">ZPRA_T_DLY_PRD, volume type NET_PROD (gas: GROSS_PROD − GAS_INJ, as the classic DPR report does)</w:t>
            </w:r>
          </w:p>
        </w:tc>
        <w:tc>
          <w:tcPr>
            <w:tcW w:type="dxa" w:w="2660"/>
            <w:shd w:fill="FFFFFF" w:val="clear"/>
            <w:tcMar>
              <w:top w:type="dxa" w:w="60"/>
              <w:left w:type="dxa" w:w="100"/>
              <w:bottom w:type="dxa" w:w="60"/>
              <w:right w:type="dxa" w:w="100"/>
            </w:tcMar>
          </w:tcPr>
          <w:p>
            <w:pPr>
              <w:spacing w:after="0"/>
            </w:pPr>
            <w:r>
              <w:rPr>
                <w:b w:val="false"/>
                <w:bCs w:val="false"/>
                <w:sz w:val="18"/>
                <w:szCs w:val="18"/>
              </w:rPr>
              <w:t xml:space="preserve">Units to bbl/day and MMSCMD (MCF ÷ 35.3, M3 ÷ 1e6)</w:t>
            </w:r>
          </w:p>
        </w:tc>
      </w:tr>
      <w:tr>
        <w:tc>
          <w:tcPr>
            <w:tcW w:type="dxa" w:w="3400"/>
            <w:shd w:fill="F2F2F2" w:val="clear"/>
            <w:tcMar>
              <w:top w:type="dxa" w:w="60"/>
              <w:left w:type="dxa" w:w="100"/>
              <w:bottom w:type="dxa" w:w="60"/>
              <w:right w:type="dxa" w:w="100"/>
            </w:tcMar>
          </w:tcPr>
          <w:p>
            <w:pPr>
              <w:spacing w:after="0"/>
            </w:pPr>
            <w:r>
              <w:rPr>
                <w:b w:val="false"/>
                <w:bCs w:val="false"/>
                <w:sz w:val="18"/>
                <w:szCs w:val="18"/>
              </w:rPr>
              <w:t xml:space="preserve">Monthly reconciled JV barrels and MMSCM — CP sheets columns D and H, Storage_Reconciled_prod</w:t>
            </w:r>
          </w:p>
        </w:tc>
        <w:tc>
          <w:tcPr>
            <w:tcW w:type="dxa" w:w="3300"/>
            <w:shd w:fill="F2F2F2" w:val="clear"/>
            <w:tcMar>
              <w:top w:type="dxa" w:w="60"/>
              <w:left w:type="dxa" w:w="100"/>
              <w:bottom w:type="dxa" w:w="60"/>
              <w:right w:type="dxa" w:w="100"/>
            </w:tcMar>
          </w:tcPr>
          <w:p>
            <w:pPr>
              <w:spacing w:after="0"/>
            </w:pPr>
            <w:r>
              <w:rPr>
                <w:b w:val="false"/>
                <w:bCs w:val="false"/>
                <w:sz w:val="18"/>
                <w:szCs w:val="18"/>
              </w:rPr>
              <w:t xml:space="preserve">ZPRA_T_MREC_PRD</w:t>
            </w:r>
          </w:p>
        </w:tc>
        <w:tc>
          <w:tcPr>
            <w:tcW w:type="dxa" w:w="2660"/>
            <w:shd w:fill="F2F2F2" w:val="clear"/>
            <w:tcMar>
              <w:top w:type="dxa" w:w="60"/>
              <w:left w:type="dxa" w:w="100"/>
              <w:bottom w:type="dxa" w:w="60"/>
              <w:right w:type="dxa" w:w="100"/>
            </w:tcMar>
          </w:tcPr>
          <w:p>
            <w:pPr>
              <w:spacing w:after="0"/>
            </w:pPr>
            <w:r>
              <w:rPr>
                <w:b w:val="false"/>
                <w:bCs w:val="false"/>
                <w:sz w:val="18"/>
                <w:szCs w:val="18"/>
              </w:rPr>
              <w:t xml:space="preserve">÷ days for rates; unit to MMSCM</w:t>
            </w:r>
          </w:p>
        </w:tc>
      </w:tr>
      <w:tr>
        <w:tc>
          <w:tcPr>
            <w:tcW w:type="dxa" w:w="3400"/>
            <w:shd w:fill="FFFFFF" w:val="clear"/>
            <w:tcMar>
              <w:top w:type="dxa" w:w="60"/>
              <w:left w:type="dxa" w:w="100"/>
              <w:bottom w:type="dxa" w:w="60"/>
              <w:right w:type="dxa" w:w="100"/>
            </w:tcMar>
          </w:tcPr>
          <w:p>
            <w:pPr>
              <w:spacing w:after="0"/>
            </w:pPr>
            <w:r>
              <w:rPr>
                <w:b w:val="false"/>
                <w:bCs w:val="false"/>
                <w:sz w:val="18"/>
                <w:szCs w:val="18"/>
              </w:rPr>
              <w:t xml:space="preserve">Participating interest per asset (typed in 6 places)</w:t>
            </w:r>
          </w:p>
        </w:tc>
        <w:tc>
          <w:tcPr>
            <w:tcW w:type="dxa" w:w="3300"/>
            <w:shd w:fill="FFFFFF" w:val="clear"/>
            <w:tcMar>
              <w:top w:type="dxa" w:w="60"/>
              <w:left w:type="dxa" w:w="100"/>
              <w:bottom w:type="dxa" w:w="60"/>
              <w:right w:type="dxa" w:w="100"/>
            </w:tcMar>
          </w:tcPr>
          <w:p>
            <w:pPr>
              <w:spacing w:after="0"/>
            </w:pPr>
            <w:r>
              <w:rPr>
                <w:b w:val="false"/>
                <w:bCs w:val="false"/>
                <w:sz w:val="18"/>
                <w:szCs w:val="18"/>
              </w:rPr>
              <w:t xml:space="preserve">ZPRA_T_PRD_PI with validity dates (removes the hard-coded ACG 1-Nov / 29-Nov-2024 switch)</w:t>
            </w:r>
          </w:p>
        </w:tc>
        <w:tc>
          <w:tcPr>
            <w:tcW w:type="dxa" w:w="2660"/>
            <w:shd w:fill="FFFFFF" w:val="clear"/>
            <w:tcMar>
              <w:top w:type="dxa" w:w="60"/>
              <w:left w:type="dxa" w:w="100"/>
              <w:bottom w:type="dxa" w:w="60"/>
              <w:right w:type="dxa" w:w="100"/>
            </w:tcMar>
          </w:tcPr>
          <w:p>
            <w:pPr>
              <w:spacing w:after="0"/>
            </w:pPr>
            <w:r>
              <w:rPr>
                <w:b w:val="false"/>
                <w:bCs w:val="false"/>
                <w:sz w:val="18"/>
                <w:szCs w:val="18"/>
              </w:rPr>
              <w:t xml:space="preserve">None</w:t>
            </w:r>
          </w:p>
        </w:tc>
      </w:tr>
      <w:tr>
        <w:tc>
          <w:tcPr>
            <w:tcW w:type="dxa" w:w="3400"/>
            <w:shd w:fill="F2F2F2" w:val="clear"/>
            <w:tcMar>
              <w:top w:type="dxa" w:w="60"/>
              <w:left w:type="dxa" w:w="100"/>
              <w:bottom w:type="dxa" w:w="60"/>
              <w:right w:type="dxa" w:w="100"/>
            </w:tcMar>
          </w:tcPr>
          <w:p>
            <w:pPr>
              <w:spacing w:after="0"/>
            </w:pPr>
            <w:r>
              <w:rPr>
                <w:b w:val="false"/>
                <w:bCs w:val="false"/>
                <w:sz w:val="18"/>
                <w:szCs w:val="18"/>
              </w:rPr>
              <w:t xml:space="preserve">Monthly targets BE / RE / MoU, OVL share MMT and BCM — Storage_Targets</w:t>
            </w:r>
          </w:p>
        </w:tc>
        <w:tc>
          <w:tcPr>
            <w:tcW w:type="dxa" w:w="3300"/>
            <w:shd w:fill="F2F2F2" w:val="clear"/>
            <w:tcMar>
              <w:top w:type="dxa" w:w="60"/>
              <w:left w:type="dxa" w:w="100"/>
              <w:bottom w:type="dxa" w:w="60"/>
              <w:right w:type="dxa" w:w="100"/>
            </w:tcMar>
          </w:tcPr>
          <w:p>
            <w:pPr>
              <w:spacing w:after="0"/>
            </w:pPr>
            <w:r>
              <w:rPr>
                <w:b w:val="false"/>
                <w:bCs w:val="false"/>
                <w:sz w:val="18"/>
                <w:szCs w:val="18"/>
              </w:rPr>
              <w:t xml:space="preserve">ZPRA_T_PRD_TAR, target codes TAR_BE, TAR_RE, TAR_EX or TAR_VG</w:t>
            </w:r>
          </w:p>
        </w:tc>
        <w:tc>
          <w:tcPr>
            <w:tcW w:type="dxa" w:w="2660"/>
            <w:shd w:fill="F2F2F2" w:val="clear"/>
            <w:tcMar>
              <w:top w:type="dxa" w:w="60"/>
              <w:left w:type="dxa" w:w="100"/>
              <w:bottom w:type="dxa" w:w="60"/>
              <w:right w:type="dxa" w:w="100"/>
            </w:tcMar>
          </w:tcPr>
          <w:p>
            <w:pPr>
              <w:spacing w:after="0"/>
            </w:pPr>
            <w:r>
              <w:rPr>
                <w:b w:val="false"/>
                <w:bCs w:val="false"/>
                <w:sz w:val="18"/>
                <w:szCs w:val="18"/>
              </w:rPr>
              <w:t xml:space="preserve">MoU must be mapped to one code; targets are MMT/BCM per month, JV rates by the rule in 5.3</w:t>
            </w:r>
          </w:p>
        </w:tc>
      </w:tr>
      <w:tr>
        <w:tc>
          <w:tcPr>
            <w:tcW w:type="dxa" w:w="3400"/>
            <w:shd w:fill="FFFFFF" w:val="clear"/>
            <w:tcMar>
              <w:top w:type="dxa" w:w="60"/>
              <w:left w:type="dxa" w:w="100"/>
              <w:bottom w:type="dxa" w:w="60"/>
              <w:right w:type="dxa" w:w="100"/>
            </w:tcMar>
          </w:tcPr>
          <w:p>
            <w:pPr>
              <w:spacing w:after="0"/>
            </w:pPr>
            <w:r>
              <w:rPr>
                <w:b w:val="false"/>
                <w:bCs w:val="false"/>
                <w:sz w:val="18"/>
                <w:szCs w:val="18"/>
              </w:rPr>
              <w:t xml:space="preserve">Conversion factor tonne → barrel per year and asset</w:t>
            </w:r>
          </w:p>
        </w:tc>
        <w:tc>
          <w:tcPr>
            <w:tcW w:type="dxa" w:w="3300"/>
            <w:shd w:fill="FFFFFF" w:val="clear"/>
            <w:tcMar>
              <w:top w:type="dxa" w:w="60"/>
              <w:left w:type="dxa" w:w="100"/>
              <w:bottom w:type="dxa" w:w="60"/>
              <w:right w:type="dxa" w:w="100"/>
            </w:tcMar>
          </w:tcPr>
          <w:p>
            <w:pPr>
              <w:spacing w:after="0"/>
            </w:pPr>
            <w:r>
              <w:rPr>
                <w:b w:val="false"/>
                <w:bCs w:val="false"/>
                <w:sz w:val="18"/>
                <w:szCs w:val="18"/>
              </w:rPr>
              <w:t xml:space="preserve">ZPRA_T_TAR_CF</w:t>
            </w:r>
          </w:p>
        </w:tc>
        <w:tc>
          <w:tcPr>
            <w:tcW w:type="dxa" w:w="2660"/>
            <w:shd w:fill="FFFFFF" w:val="clear"/>
            <w:tcMar>
              <w:top w:type="dxa" w:w="60"/>
              <w:left w:type="dxa" w:w="100"/>
              <w:bottom w:type="dxa" w:w="60"/>
              <w:right w:type="dxa" w:w="100"/>
            </w:tcMar>
          </w:tcPr>
          <w:p>
            <w:pPr>
              <w:spacing w:after="0"/>
            </w:pPr>
            <w:r>
              <w:rPr>
                <w:b w:val="false"/>
                <w:bCs w:val="false"/>
                <w:sz w:val="18"/>
                <w:szCs w:val="18"/>
              </w:rPr>
              <w:t xml:space="preserve">Only one factor per year; the workbook keeps one per target version and a monthly actual factor (section 5.2)</w:t>
            </w:r>
          </w:p>
        </w:tc>
      </w:tr>
      <w:tr>
        <w:tc>
          <w:tcPr>
            <w:tcW w:type="dxa" w:w="3400"/>
            <w:shd w:fill="F2F2F2" w:val="clear"/>
            <w:tcMar>
              <w:top w:type="dxa" w:w="60"/>
              <w:left w:type="dxa" w:w="100"/>
              <w:bottom w:type="dxa" w:w="60"/>
              <w:right w:type="dxa" w:w="100"/>
            </w:tcMar>
          </w:tcPr>
          <w:p>
            <w:pPr>
              <w:spacing w:after="0"/>
            </w:pPr>
            <w:r>
              <w:rPr>
                <w:b w:val="false"/>
                <w:bCs w:val="false"/>
                <w:sz w:val="18"/>
                <w:szCs w:val="18"/>
              </w:rPr>
              <w:t xml:space="preserve">Asset names, country</w:t>
            </w:r>
          </w:p>
        </w:tc>
        <w:tc>
          <w:tcPr>
            <w:tcW w:type="dxa" w:w="3300"/>
            <w:shd w:fill="F2F2F2" w:val="clear"/>
            <w:tcMar>
              <w:top w:type="dxa" w:w="60"/>
              <w:left w:type="dxa" w:w="100"/>
              <w:bottom w:type="dxa" w:w="60"/>
              <w:right w:type="dxa" w:w="100"/>
            </w:tcMar>
          </w:tcPr>
          <w:p>
            <w:pPr>
              <w:spacing w:after="0"/>
            </w:pPr>
            <w:r>
              <w:rPr>
                <w:b w:val="false"/>
                <w:bCs w:val="false"/>
                <w:sz w:val="18"/>
                <w:szCs w:val="18"/>
              </w:rPr>
              <w:t xml:space="preserve">ZOIU_PR_DN, ZPRA_C_DPR_PROF</w:t>
            </w:r>
          </w:p>
        </w:tc>
        <w:tc>
          <w:tcPr>
            <w:tcW w:type="dxa" w:w="2660"/>
            <w:shd w:fill="F2F2F2" w:val="clear"/>
            <w:tcMar>
              <w:top w:type="dxa" w:w="60"/>
              <w:left w:type="dxa" w:w="100"/>
              <w:bottom w:type="dxa" w:w="60"/>
              <w:right w:type="dxa" w:w="100"/>
            </w:tcMar>
          </w:tcPr>
          <w:p>
            <w:pPr>
              <w:spacing w:after="0"/>
            </w:pPr>
            <w:r>
              <w:rPr>
                <w:b w:val="false"/>
                <w:bCs w:val="false"/>
                <w:sz w:val="18"/>
                <w:szCs w:val="18"/>
              </w:rPr>
              <w:t xml:space="preserve">Business-unit grouping is not stored (section 5.6)</w:t>
            </w:r>
          </w:p>
        </w:tc>
      </w:tr>
      <w:tr>
        <w:tc>
          <w:tcPr>
            <w:tcW w:type="dxa" w:w="3400"/>
            <w:shd w:fill="FFFFFF" w:val="clear"/>
            <w:tcMar>
              <w:top w:type="dxa" w:w="60"/>
              <w:left w:type="dxa" w:w="100"/>
              <w:bottom w:type="dxa" w:w="60"/>
              <w:right w:type="dxa" w:w="100"/>
            </w:tcMar>
          </w:tcPr>
          <w:p>
            <w:pPr>
              <w:spacing w:after="0"/>
            </w:pPr>
            <w:r>
              <w:rPr>
                <w:b w:val="false"/>
                <w:bCs w:val="false"/>
                <w:sz w:val="18"/>
                <w:szCs w:val="18"/>
              </w:rPr>
              <w:t xml:space="preserve">Fiscal calendar (FY Apr–Mar, quarters, Feb days)</w:t>
            </w:r>
          </w:p>
        </w:tc>
        <w:tc>
          <w:tcPr>
            <w:tcW w:type="dxa" w:w="3300"/>
            <w:shd w:fill="FFFFFF" w:val="clear"/>
            <w:tcMar>
              <w:top w:type="dxa" w:w="60"/>
              <w:left w:type="dxa" w:w="100"/>
              <w:bottom w:type="dxa" w:w="60"/>
              <w:right w:type="dxa" w:w="100"/>
            </w:tcMar>
          </w:tcPr>
          <w:p>
            <w:pPr>
              <w:spacing w:after="0"/>
            </w:pPr>
            <w:r>
              <w:rPr>
                <w:b w:val="false"/>
                <w:bCs w:val="false"/>
                <w:sz w:val="18"/>
                <w:szCs w:val="18"/>
              </w:rPr>
              <w:t xml:space="preserve">Fiscal year variant of company code OVL</w:t>
            </w:r>
          </w:p>
        </w:tc>
        <w:tc>
          <w:tcPr>
            <w:tcW w:type="dxa" w:w="2660"/>
            <w:shd w:fill="FFFFFF" w:val="clear"/>
            <w:tcMar>
              <w:top w:type="dxa" w:w="60"/>
              <w:left w:type="dxa" w:w="100"/>
              <w:bottom w:type="dxa" w:w="60"/>
              <w:right w:type="dxa" w:w="100"/>
            </w:tcMar>
          </w:tcPr>
          <w:p>
            <w:pPr>
              <w:spacing w:after="0"/>
            </w:pPr>
            <w:r>
              <w:rPr>
                <w:b w:val="false"/>
                <w:bCs w:val="false"/>
                <w:sz w:val="18"/>
                <w:szCs w:val="18"/>
              </w:rPr>
              <w:t xml:space="preserve">None</w:t>
            </w:r>
          </w:p>
        </w:tc>
      </w:tr>
      <w:tr>
        <w:tc>
          <w:tcPr>
            <w:tcW w:type="dxa" w:w="3400"/>
            <w:shd w:fill="F2F2F2" w:val="clear"/>
            <w:tcMar>
              <w:top w:type="dxa" w:w="60"/>
              <w:left w:type="dxa" w:w="100"/>
              <w:bottom w:type="dxa" w:w="60"/>
              <w:right w:type="dxa" w:w="100"/>
            </w:tcMar>
          </w:tcPr>
          <w:p>
            <w:pPr>
              <w:spacing w:after="0"/>
            </w:pPr>
            <w:r>
              <w:rPr>
                <w:b w:val="false"/>
                <w:bCs w:val="false"/>
                <w:sz w:val="18"/>
                <w:szCs w:val="18"/>
              </w:rPr>
              <w:t xml:space="preserve">Previous-year monthly figures (Previous year, YoY, Prodn Data 24-25)</w:t>
            </w:r>
          </w:p>
        </w:tc>
        <w:tc>
          <w:tcPr>
            <w:tcW w:type="dxa" w:w="3300"/>
            <w:shd w:fill="F2F2F2" w:val="clear"/>
            <w:tcMar>
              <w:top w:type="dxa" w:w="60"/>
              <w:left w:type="dxa" w:w="100"/>
              <w:bottom w:type="dxa" w:w="60"/>
              <w:right w:type="dxa" w:w="100"/>
            </w:tcMar>
          </w:tcPr>
          <w:p>
            <w:pPr>
              <w:spacing w:after="0"/>
            </w:pPr>
            <w:r>
              <w:rPr>
                <w:b w:val="false"/>
                <w:bCs w:val="false"/>
                <w:sz w:val="18"/>
                <w:szCs w:val="18"/>
              </w:rPr>
              <w:t xml:space="preserve">ZPRA_T_MREC_PRD history</w:t>
            </w:r>
          </w:p>
        </w:tc>
        <w:tc>
          <w:tcPr>
            <w:tcW w:type="dxa" w:w="2660"/>
            <w:shd w:fill="F2F2F2" w:val="clear"/>
            <w:tcMar>
              <w:top w:type="dxa" w:w="60"/>
              <w:left w:type="dxa" w:w="100"/>
              <w:bottom w:type="dxa" w:w="60"/>
              <w:right w:type="dxa" w:w="100"/>
            </w:tcMar>
          </w:tcPr>
          <w:p>
            <w:pPr>
              <w:spacing w:after="0"/>
            </w:pPr>
            <w:r>
              <w:rPr>
                <w:b w:val="false"/>
                <w:bCs w:val="false"/>
                <w:sz w:val="18"/>
                <w:szCs w:val="18"/>
              </w:rPr>
              <w:t xml:space="preserve">Only if history is kept in the table; to be confirmed</w:t>
            </w:r>
          </w:p>
        </w:tc>
      </w:tr>
    </w:tbl>
    <w:p>
      <w:r>
        <w:br w:type="page"/>
      </w:r>
    </w:p>
    <w:p>
      <w:pPr>
        <w:pStyle w:val="Heading1"/>
        <w:spacing w:after="160" w:before="320"/>
      </w:pPr>
      <w:r>
        <w:t xml:space="preserve">5. Rules that exist only in the workbook (class B)</w:t>
      </w:r>
    </w:p>
    <w:p>
      <w:pPr>
        <w:spacing w:after="120"/>
      </w:pPr>
      <w:r>
        <w:rPr>
          <w:b w:val="false"/>
          <w:bCs w:val="false"/>
          <w:i w:val="false"/>
          <w:iCs w:val="false"/>
          <w:sz w:val="21"/>
          <w:szCs w:val="21"/>
        </w:rPr>
        <w:t xml:space="preserve">These are not data. They must be implemented in the CDS views or in ABAP and, where they are switches, become parameters or customizing.</w:t>
      </w:r>
    </w:p>
    <w:p>
      <w:pPr>
        <w:pStyle w:val="Heading2"/>
        <w:spacing w:after="120" w:before="260"/>
      </w:pPr>
      <w:r>
        <w:t xml:space="preserve">5.1 OVL share</w:t>
      </w:r>
    </w:p>
    <w:p>
      <w:pPr>
        <w:pStyle w:val="ListParagraph"/>
        <w:numPr>
          <w:ilvl w:val="0"/>
          <w:numId w:val="2"/>
        </w:numPr>
        <w:spacing w:after="80"/>
      </w:pPr>
      <w:r>
        <w:rPr>
          <w:sz w:val="21"/>
          <w:szCs w:val="21"/>
        </w:rPr>
        <w:t xml:space="preserve">OVL quantity = JV quantity × PI. Tonnes = barrels ÷ conversion factor. Gas BCM = MMSCM × PI ÷ 1000. Oil-equivalent (MMTOE) = MMT + BCM added one to one, no 6290 barrel factor. This differs from the classic DPR report, which uses 6290 BOE per MMSCM for the BOEPD total.</w:t>
      </w:r>
    </w:p>
    <w:p>
      <w:pPr>
        <w:pStyle w:val="Heading2"/>
        <w:spacing w:after="120" w:before="260"/>
      </w:pPr>
      <w:r>
        <w:t xml:space="preserve">5.2 Conversion factor logic</w:t>
      </w:r>
    </w:p>
    <w:p>
      <w:pPr>
        <w:pStyle w:val="ListParagraph"/>
        <w:numPr>
          <w:ilvl w:val="0"/>
          <w:numId w:val="2"/>
        </w:numPr>
        <w:spacing w:after="80"/>
      </w:pPr>
      <w:r>
        <w:rPr>
          <w:sz w:val="21"/>
          <w:szCs w:val="21"/>
        </w:rPr>
        <w:t xml:space="preserve">Reconciled months: the factor is computed per month as OVL barrels ÷ OVL tonnes from the partner statement.</w:t>
      </w:r>
    </w:p>
    <w:p>
      <w:pPr>
        <w:pStyle w:val="ListParagraph"/>
        <w:numPr>
          <w:ilvl w:val="0"/>
          <w:numId w:val="2"/>
        </w:numPr>
        <w:spacing w:after="80"/>
      </w:pPr>
      <w:r>
        <w:rPr>
          <w:sz w:val="21"/>
          <w:szCs w:val="21"/>
        </w:rPr>
        <w:t xml:space="preserve">Non-reconciled months (daily data): the factor of the last reconciled month per asset (CF_lat) is used; if that month had zero production, a manual override is typed.</w:t>
      </w:r>
    </w:p>
    <w:p>
      <w:pPr>
        <w:pStyle w:val="ListParagraph"/>
        <w:numPr>
          <w:ilvl w:val="0"/>
          <w:numId w:val="2"/>
        </w:numPr>
        <w:spacing w:after="80"/>
      </w:pPr>
      <w:r>
        <w:rPr>
          <w:sz w:val="21"/>
          <w:szCs w:val="21"/>
        </w:rPr>
        <w:t xml:space="preserve">At the fiscal-year change the previous March factor is carried forward (carryforward_cf); the average factor is MMT-weighted.</w:t>
      </w:r>
    </w:p>
    <w:p>
      <w:pPr>
        <w:pStyle w:val="ListParagraph"/>
        <w:numPr>
          <w:ilvl w:val="0"/>
          <w:numId w:val="2"/>
        </w:numPr>
        <w:spacing w:after="80"/>
      </w:pPr>
      <w:r>
        <w:rPr>
          <w:sz w:val="21"/>
          <w:szCs w:val="21"/>
        </w:rPr>
        <w:t xml:space="preserve">Targets carry their own factor per version and year (Storage_Targets CF blocks).</w:t>
      </w:r>
    </w:p>
    <w:p>
      <w:pPr>
        <w:pStyle w:val="Heading2"/>
        <w:spacing w:after="120" w:before="260"/>
      </w:pPr>
      <w:r>
        <w:t xml:space="preserve">5.3 Targets</w:t>
      </w:r>
    </w:p>
    <w:p>
      <w:pPr>
        <w:pStyle w:val="ListParagraph"/>
        <w:numPr>
          <w:ilvl w:val="0"/>
          <w:numId w:val="2"/>
        </w:numPr>
        <w:spacing w:after="80"/>
      </w:pPr>
      <w:r>
        <w:rPr>
          <w:sz w:val="21"/>
          <w:szCs w:val="21"/>
        </w:rPr>
        <w:t xml:space="preserve">Target version choice: exactly one of BE / RE / MoU (parameter).</w:t>
      </w:r>
    </w:p>
    <w:p>
      <w:pPr>
        <w:pStyle w:val="ListParagraph"/>
        <w:numPr>
          <w:ilvl w:val="0"/>
          <w:numId w:val="2"/>
        </w:numPr>
        <w:spacing w:after="80"/>
      </w:pPr>
      <w:r>
        <w:rPr>
          <w:sz w:val="21"/>
          <w:szCs w:val="21"/>
        </w:rPr>
        <w:t xml:space="preserve">JV BOPD target = OVL MMT ÷ PI × CF × 1,000,000 ÷ days in month; JV MMSCMD target = OVL BCM ÷ PI × 1000 ÷ days in month.</w:t>
      </w:r>
    </w:p>
    <w:p>
      <w:pPr>
        <w:pStyle w:val="ListParagraph"/>
        <w:numPr>
          <w:ilvl w:val="0"/>
          <w:numId w:val="2"/>
        </w:numPr>
        <w:spacing w:after="80"/>
      </w:pPr>
      <w:r>
        <w:rPr>
          <w:sz w:val="21"/>
          <w:szCs w:val="21"/>
        </w:rPr>
        <w:t xml:space="preserve">YTD target = completed months + current month × (days elapsed ÷ days in month); QTD and MTD likewise. The monthly rate is used as the daily target rate (DTR).</w:t>
      </w:r>
    </w:p>
    <w:p>
      <w:pPr>
        <w:pStyle w:val="Heading2"/>
        <w:spacing w:after="120" w:before="260"/>
      </w:pPr>
      <w:r>
        <w:t xml:space="preserve">5.4 Reconciled versus daily data</w:t>
      </w:r>
    </w:p>
    <w:p>
      <w:pPr>
        <w:pStyle w:val="ListParagraph"/>
        <w:numPr>
          <w:ilvl w:val="0"/>
          <w:numId w:val="2"/>
        </w:numPr>
        <w:spacing w:after="80"/>
      </w:pPr>
      <w:r>
        <w:rPr>
          <w:sz w:val="21"/>
          <w:szCs w:val="21"/>
        </w:rPr>
        <w:t xml:space="preserve">A 'reconciled till' month is set by hand (July'26). Months up to it use reconciled data; later months use daily averages. Quarter, half-year and annual rates are day-weighted, with the current month counted only up to the dashboard date.</w:t>
      </w:r>
    </w:p>
    <w:p>
      <w:pPr>
        <w:pStyle w:val="ListParagraph"/>
        <w:numPr>
          <w:ilvl w:val="0"/>
          <w:numId w:val="2"/>
        </w:numPr>
        <w:spacing w:after="80"/>
      </w:pPr>
      <w:r>
        <w:rPr>
          <w:sz w:val="21"/>
          <w:szCs w:val="21"/>
        </w:rPr>
        <w:t xml:space="preserve">OVL volumes come either from the raw reconciled store or from the Corporate Planning rounded store, by a 0/1 switch; JV rates always from the raw store. Reconciled MMT/BCM are rounded to 3 decimals, daily months are not.</w:t>
      </w:r>
    </w:p>
    <w:p>
      <w:pPr>
        <w:pStyle w:val="Heading2"/>
        <w:spacing w:after="120" w:before="260"/>
      </w:pPr>
      <w:r>
        <w:t xml:space="preserve">5.5 Analysis formulas</w:t>
      </w:r>
    </w:p>
    <w:p>
      <w:pPr>
        <w:pStyle w:val="ListParagraph"/>
        <w:numPr>
          <w:ilvl w:val="0"/>
          <w:numId w:val="2"/>
        </w:numPr>
        <w:spacing w:after="80"/>
      </w:pPr>
      <w:r>
        <w:rPr>
          <w:sz w:val="21"/>
          <w:szCs w:val="21"/>
        </w:rPr>
        <w:t xml:space="preserve">Asking rate = (annual target − YTD actual) ÷ remaining days of the FY, converted with the average factor and PI; remaining days from a fixed 365/366.</w:t>
      </w:r>
    </w:p>
    <w:p>
      <w:pPr>
        <w:pStyle w:val="ListParagraph"/>
        <w:numPr>
          <w:ilvl w:val="0"/>
          <w:numId w:val="2"/>
        </w:numPr>
        <w:spacing w:after="80"/>
      </w:pPr>
      <w:r>
        <w:rPr>
          <w:sz w:val="21"/>
          <w:szCs w:val="21"/>
        </w:rPr>
        <w:t xml:space="preserve">Extrapolation (Internal) = YTD × 365 ÷ days elapsed; second-half projection likewise.</w:t>
      </w:r>
    </w:p>
    <w:p>
      <w:pPr>
        <w:pStyle w:val="ListParagraph"/>
        <w:numPr>
          <w:ilvl w:val="0"/>
          <w:numId w:val="2"/>
        </w:numPr>
        <w:spacing w:after="80"/>
      </w:pPr>
      <w:r>
        <w:rPr>
          <w:sz w:val="21"/>
          <w:szCs w:val="21"/>
        </w:rPr>
        <w:t xml:space="preserve">Operational loss = max(0, reference rate − actual rate) × PI, reference chosen among three typed rows.</w:t>
      </w:r>
    </w:p>
    <w:p>
      <w:pPr>
        <w:pStyle w:val="ListParagraph"/>
        <w:numPr>
          <w:ilvl w:val="0"/>
          <w:numId w:val="2"/>
        </w:numPr>
        <w:spacing w:after="80"/>
      </w:pPr>
      <w:r>
        <w:rPr>
          <w:sz w:val="21"/>
          <w:szCs w:val="21"/>
        </w:rPr>
        <w:t xml:space="preserve">Material balance = difference of (rate × PI) between two dates. Previous-month comparison = ratio of per-day rates.</w:t>
      </w:r>
    </w:p>
    <w:p>
      <w:pPr>
        <w:pStyle w:val="Heading2"/>
        <w:spacing w:after="120" w:before="260"/>
      </w:pPr>
      <w:r>
        <w:t xml:space="preserve">5.6 Groupings and parameters</w:t>
      </w:r>
    </w:p>
    <w:p>
      <w:pPr>
        <w:pStyle w:val="ListParagraph"/>
        <w:numPr>
          <w:ilvl w:val="0"/>
          <w:numId w:val="2"/>
        </w:numPr>
        <w:spacing w:after="80"/>
      </w:pPr>
      <w:r>
        <w:rPr>
          <w:sz w:val="21"/>
          <w:szCs w:val="21"/>
        </w:rPr>
        <w:t xml:space="preserve">Business units: Russia = Sakhalin-1, Vankor, Imperial; LAC = BC-10, MECL, CPO-5, Carabobo, Sancristobal; Asia Pacific = A1/A3, B-06.1; MENA CIS = ACG, LZC, GPOC, SPOC. Not stored in SAP; the CDS views derive it from the asset-code prefix.</w:t>
      </w:r>
    </w:p>
    <w:p>
      <w:pPr>
        <w:pStyle w:val="ListParagraph"/>
        <w:numPr>
          <w:ilvl w:val="0"/>
          <w:numId w:val="2"/>
        </w:numPr>
        <w:spacing w:after="80"/>
      </w:pPr>
      <w:r>
        <w:rPr>
          <w:sz w:val="21"/>
          <w:szCs w:val="21"/>
        </w:rPr>
        <w:t xml:space="preserve">Dashboard parameters: date, comparison basis (11 options: annual/quarterly/monthly target, MTD/QTD/YTD actual, previous month/quarter/year, same period last year), target version, rounded/raw, reconciled-till month.</w:t>
      </w:r>
    </w:p>
    <w:p>
      <w:r>
        <w:br w:type="page"/>
      </w:r>
    </w:p>
    <w:p>
      <w:pPr>
        <w:pStyle w:val="Heading1"/>
        <w:spacing w:after="160" w:before="320"/>
      </w:pPr>
      <w:r>
        <w:t xml:space="preserve">6. What is not in SAP (class C) and what to do about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shd w:fill="1F4E79" w:val="clear"/>
            <w:tcMar>
              <w:top w:type="dxa" w:w="60"/>
              <w:left w:type="dxa" w:w="100"/>
              <w:bottom w:type="dxa" w:w="60"/>
              <w:right w:type="dxa" w:w="100"/>
            </w:tcMar>
          </w:tcPr>
          <w:p>
            <w:pPr>
              <w:spacing w:after="0"/>
            </w:pPr>
            <w:r>
              <w:rPr>
                <w:b/>
                <w:bCs/>
                <w:color w:val="FFFFFF"/>
                <w:sz w:val="18"/>
                <w:szCs w:val="18"/>
              </w:rPr>
              <w:t xml:space="preserve">Data</w:t>
            </w:r>
          </w:p>
        </w:tc>
        <w:tc>
          <w:tcPr>
            <w:tcW w:type="dxa" w:w="2600"/>
            <w:shd w:fill="1F4E79" w:val="clear"/>
            <w:tcMar>
              <w:top w:type="dxa" w:w="60"/>
              <w:left w:type="dxa" w:w="100"/>
              <w:bottom w:type="dxa" w:w="60"/>
              <w:right w:type="dxa" w:w="100"/>
            </w:tcMar>
          </w:tcPr>
          <w:p>
            <w:pPr>
              <w:spacing w:after="0"/>
            </w:pPr>
            <w:r>
              <w:rPr>
                <w:b/>
                <w:bCs/>
                <w:color w:val="FFFFFF"/>
                <w:sz w:val="18"/>
                <w:szCs w:val="18"/>
              </w:rPr>
              <w:t xml:space="preserve">Where in the workbook</w:t>
            </w:r>
          </w:p>
        </w:tc>
        <w:tc>
          <w:tcPr>
            <w:tcW w:type="dxa" w:w="3560"/>
            <w:shd w:fill="1F4E79" w:val="clear"/>
            <w:tcMar>
              <w:top w:type="dxa" w:w="60"/>
              <w:left w:type="dxa" w:w="100"/>
              <w:bottom w:type="dxa" w:w="60"/>
              <w:right w:type="dxa" w:w="100"/>
            </w:tcMar>
          </w:tcPr>
          <w:p>
            <w:pPr>
              <w:spacing w:after="0"/>
            </w:pPr>
            <w:r>
              <w:rPr>
                <w:b/>
                <w:bCs/>
                <w:color w:val="FFFFFF"/>
                <w:sz w:val="18"/>
                <w:szCs w:val="18"/>
              </w:rPr>
              <w:t xml:space="preserve">Proposal</w:t>
            </w:r>
          </w:p>
        </w:tc>
      </w:tr>
      <w:tr>
        <w:tc>
          <w:tcPr>
            <w:tcW w:type="dxa" w:w="3200"/>
            <w:shd w:fill="FFFFFF" w:val="clear"/>
            <w:tcMar>
              <w:top w:type="dxa" w:w="60"/>
              <w:left w:type="dxa" w:w="100"/>
              <w:bottom w:type="dxa" w:w="60"/>
              <w:right w:type="dxa" w:w="100"/>
            </w:tcMar>
          </w:tcPr>
          <w:p>
            <w:pPr>
              <w:spacing w:after="0"/>
            </w:pPr>
            <w:r>
              <w:rPr>
                <w:b w:val="false"/>
                <w:bCs w:val="false"/>
                <w:sz w:val="18"/>
                <w:szCs w:val="18"/>
              </w:rPr>
              <w:t xml:space="preserve">Daily remarks and reasons per asset (deferments, shutdowns, 'reason awaited from operator')</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DPR column AJ, all_remarks, Quarterly/Monthly/Yearly 'Remarks' and 'Major Activities'</w:t>
            </w:r>
          </w:p>
        </w:tc>
        <w:tc>
          <w:tcPr>
            <w:tcW w:type="dxa" w:w="3560"/>
            <w:shd w:fill="FFFFFF" w:val="clear"/>
            <w:tcMar>
              <w:top w:type="dxa" w:w="60"/>
              <w:left w:type="dxa" w:w="100"/>
              <w:bottom w:type="dxa" w:w="60"/>
              <w:right w:type="dxa" w:w="100"/>
            </w:tcMar>
          </w:tcPr>
          <w:p>
            <w:pPr>
              <w:spacing w:after="0"/>
            </w:pPr>
            <w:r>
              <w:rPr>
                <w:b w:val="false"/>
                <w:bCs w:val="false"/>
                <w:sz w:val="18"/>
                <w:szCs w:val="18"/>
              </w:rPr>
              <w:t xml:space="preserve">New table ZDPR_T_REMARK (date, asset, category, text) with a simple Fiori maintenance app; shown on the dashboard record cards</w:t>
            </w:r>
          </w:p>
        </w:tc>
      </w:tr>
      <w:tr>
        <w:tc>
          <w:tcPr>
            <w:tcW w:type="dxa" w:w="3200"/>
            <w:shd w:fill="F2F2F2" w:val="clear"/>
            <w:tcMar>
              <w:top w:type="dxa" w:w="60"/>
              <w:left w:type="dxa" w:w="100"/>
              <w:bottom w:type="dxa" w:w="60"/>
              <w:right w:type="dxa" w:w="100"/>
            </w:tcMar>
          </w:tcPr>
          <w:p>
            <w:pPr>
              <w:spacing w:after="0"/>
            </w:pPr>
            <w:r>
              <w:rPr>
                <w:b w:val="false"/>
                <w:bCs w:val="false"/>
                <w:sz w:val="18"/>
                <w:szCs w:val="18"/>
              </w:rPr>
              <w:t xml:space="preserve">Provisional / previous-day flag per asset and day</w:t>
            </w:r>
          </w:p>
        </w:tc>
        <w:tc>
          <w:tcPr>
            <w:tcW w:type="dxa" w:w="2600"/>
            <w:shd w:fill="F2F2F2" w:val="clear"/>
            <w:tcMar>
              <w:top w:type="dxa" w:w="60"/>
              <w:left w:type="dxa" w:w="100"/>
              <w:bottom w:type="dxa" w:w="60"/>
              <w:right w:type="dxa" w:w="100"/>
            </w:tcMar>
          </w:tcPr>
          <w:p>
            <w:pPr>
              <w:spacing w:after="0"/>
            </w:pPr>
            <w:r>
              <w:rPr>
                <w:b w:val="false"/>
                <w:bCs w:val="false"/>
                <w:sz w:val="18"/>
                <w:szCs w:val="18"/>
              </w:rPr>
              <w:t xml:space="preserve">DPR column AI</w:t>
            </w:r>
          </w:p>
        </w:tc>
        <w:tc>
          <w:tcPr>
            <w:tcW w:type="dxa" w:w="3560"/>
            <w:shd w:fill="F2F2F2" w:val="clear"/>
            <w:tcMar>
              <w:top w:type="dxa" w:w="60"/>
              <w:left w:type="dxa" w:w="100"/>
              <w:bottom w:type="dxa" w:w="60"/>
              <w:right w:type="dxa" w:w="100"/>
            </w:tcMar>
          </w:tcPr>
          <w:p>
            <w:pPr>
              <w:spacing w:after="0"/>
            </w:pPr>
            <w:r>
              <w:rPr>
                <w:b w:val="false"/>
                <w:bCs w:val="false"/>
                <w:sz w:val="18"/>
                <w:szCs w:val="18"/>
              </w:rPr>
              <w:t xml:space="preserve">Either a flag column in the remarks table or derived: a daily record whose value equals the previous day and was posted later is provisional</w:t>
            </w:r>
          </w:p>
        </w:tc>
      </w:tr>
      <w:tr>
        <w:tc>
          <w:tcPr>
            <w:tcW w:type="dxa" w:w="3200"/>
            <w:shd w:fill="FFFFFF" w:val="clear"/>
            <w:tcMar>
              <w:top w:type="dxa" w:w="60"/>
              <w:left w:type="dxa" w:w="100"/>
              <w:bottom w:type="dxa" w:w="60"/>
              <w:right w:type="dxa" w:w="100"/>
            </w:tcMar>
          </w:tcPr>
          <w:p>
            <w:pPr>
              <w:spacing w:after="0"/>
            </w:pPr>
            <w:r>
              <w:rPr>
                <w:b w:val="false"/>
                <w:bCs w:val="false"/>
                <w:sz w:val="18"/>
                <w:szCs w:val="18"/>
              </w:rPr>
              <w:t xml:space="preserve">Event labels for charts</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LBL</w:t>
            </w:r>
          </w:p>
        </w:tc>
        <w:tc>
          <w:tcPr>
            <w:tcW w:type="dxa" w:w="3560"/>
            <w:shd w:fill="FFFFFF" w:val="clear"/>
            <w:tcMar>
              <w:top w:type="dxa" w:w="60"/>
              <w:left w:type="dxa" w:w="100"/>
              <w:bottom w:type="dxa" w:w="60"/>
              <w:right w:type="dxa" w:w="100"/>
            </w:tcMar>
          </w:tcPr>
          <w:p>
            <w:pPr>
              <w:spacing w:after="0"/>
            </w:pPr>
            <w:r>
              <w:rPr>
                <w:b w:val="false"/>
                <w:bCs w:val="false"/>
                <w:sz w:val="18"/>
                <w:szCs w:val="18"/>
              </w:rPr>
              <w:t xml:space="preserve">Same remarks table with category 'event'; optional</w:t>
            </w:r>
          </w:p>
        </w:tc>
      </w:tr>
      <w:tr>
        <w:tc>
          <w:tcPr>
            <w:tcW w:type="dxa" w:w="3200"/>
            <w:shd w:fill="F2F2F2" w:val="clear"/>
            <w:tcMar>
              <w:top w:type="dxa" w:w="60"/>
              <w:left w:type="dxa" w:w="100"/>
              <w:bottom w:type="dxa" w:w="60"/>
              <w:right w:type="dxa" w:w="100"/>
            </w:tcMar>
          </w:tcPr>
          <w:p>
            <w:pPr>
              <w:spacing w:after="0"/>
            </w:pPr>
            <w:r>
              <w:rPr>
                <w:b w:val="false"/>
                <w:bCs w:val="false"/>
                <w:sz w:val="18"/>
                <w:szCs w:val="18"/>
              </w:rPr>
              <w:t xml:space="preserve">Partner CP-sheet operational data: wells drilled (development, exploratory, other), 2D/3D/4D survey, water cut %, water injection planned/actual, well details</w:t>
            </w:r>
          </w:p>
        </w:tc>
        <w:tc>
          <w:tcPr>
            <w:tcW w:type="dxa" w:w="2600"/>
            <w:shd w:fill="F2F2F2" w:val="clear"/>
            <w:tcMar>
              <w:top w:type="dxa" w:w="60"/>
              <w:left w:type="dxa" w:w="100"/>
              <w:bottom w:type="dxa" w:w="60"/>
              <w:right w:type="dxa" w:w="100"/>
            </w:tcMar>
          </w:tcPr>
          <w:p>
            <w:pPr>
              <w:spacing w:after="0"/>
            </w:pPr>
            <w:r>
              <w:rPr>
                <w:b w:val="false"/>
                <w:bCs w:val="false"/>
                <w:sz w:val="18"/>
                <w:szCs w:val="18"/>
              </w:rPr>
              <w:t xml:space="preserve">Per-asset sheets columns L:W</w:t>
            </w:r>
          </w:p>
        </w:tc>
        <w:tc>
          <w:tcPr>
            <w:tcW w:type="dxa" w:w="3560"/>
            <w:shd w:fill="F2F2F2" w:val="clear"/>
            <w:tcMar>
              <w:top w:type="dxa" w:w="60"/>
              <w:left w:type="dxa" w:w="100"/>
              <w:bottom w:type="dxa" w:w="60"/>
              <w:right w:type="dxa" w:w="100"/>
            </w:tcMar>
          </w:tcPr>
          <w:p>
            <w:pPr>
              <w:spacing w:after="0"/>
            </w:pPr>
            <w:r>
              <w:rPr>
                <w:b w:val="false"/>
                <w:bCs w:val="false"/>
                <w:sz w:val="18"/>
                <w:szCs w:val="18"/>
              </w:rPr>
              <w:t xml:space="preserve">Not production data. Either a second custom table loaded monthly with the CP statement, or out of scope for the production dashboard. Customer decision.</w:t>
            </w:r>
          </w:p>
        </w:tc>
      </w:tr>
      <w:tr>
        <w:tc>
          <w:tcPr>
            <w:tcW w:type="dxa" w:w="3200"/>
            <w:shd w:fill="FFFFFF" w:val="clear"/>
            <w:tcMar>
              <w:top w:type="dxa" w:w="60"/>
              <w:left w:type="dxa" w:w="100"/>
              <w:bottom w:type="dxa" w:w="60"/>
              <w:right w:type="dxa" w:w="100"/>
            </w:tcMar>
          </w:tcPr>
          <w:p>
            <w:pPr>
              <w:spacing w:after="0"/>
            </w:pPr>
            <w:r>
              <w:rPr>
                <w:b w:val="false"/>
                <w:bCs w:val="false"/>
                <w:sz w:val="18"/>
                <w:szCs w:val="18"/>
              </w:rPr>
              <w:t xml:space="preserve">Corporate Planning rounded production (3 decimals) used as the official OVL figure</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Storage_rounded_off_prod</w:t>
            </w:r>
          </w:p>
        </w:tc>
        <w:tc>
          <w:tcPr>
            <w:tcW w:type="dxa" w:w="3560"/>
            <w:shd w:fill="FFFFFF" w:val="clear"/>
            <w:tcMar>
              <w:top w:type="dxa" w:w="60"/>
              <w:left w:type="dxa" w:w="100"/>
              <w:bottom w:type="dxa" w:w="60"/>
              <w:right w:type="dxa" w:w="100"/>
            </w:tcMar>
          </w:tcPr>
          <w:p>
            <w:pPr>
              <w:spacing w:after="0"/>
            </w:pPr>
            <w:r>
              <w:rPr>
                <w:b w:val="false"/>
                <w:bCs w:val="false"/>
                <w:sz w:val="18"/>
                <w:szCs w:val="18"/>
              </w:rPr>
              <w:t xml:space="preserve">Decide one source of truth. Preferred: compute from ZPRA_T_MREC_PRD and round in the view; if CP figures may deviate, a small table of published figures per month/asset is needed</w:t>
            </w:r>
          </w:p>
        </w:tc>
      </w:tr>
      <w:tr>
        <w:tc>
          <w:tcPr>
            <w:tcW w:type="dxa" w:w="3200"/>
            <w:shd w:fill="F2F2F2" w:val="clear"/>
            <w:tcMar>
              <w:top w:type="dxa" w:w="60"/>
              <w:left w:type="dxa" w:w="100"/>
              <w:bottom w:type="dxa" w:w="60"/>
              <w:right w:type="dxa" w:w="100"/>
            </w:tcMar>
          </w:tcPr>
          <w:p>
            <w:pPr>
              <w:spacing w:after="0"/>
            </w:pPr>
            <w:r>
              <w:rPr>
                <w:b w:val="false"/>
                <w:bCs w:val="false"/>
                <w:sz w:val="18"/>
                <w:szCs w:val="18"/>
              </w:rPr>
              <w:t xml:space="preserve">Monthly actual conversion factor and carry-forward / override factors</w:t>
            </w:r>
          </w:p>
        </w:tc>
        <w:tc>
          <w:tcPr>
            <w:tcW w:type="dxa" w:w="2600"/>
            <w:shd w:fill="F2F2F2" w:val="clear"/>
            <w:tcMar>
              <w:top w:type="dxa" w:w="60"/>
              <w:left w:type="dxa" w:w="100"/>
              <w:bottom w:type="dxa" w:w="60"/>
              <w:right w:type="dxa" w:w="100"/>
            </w:tcMar>
          </w:tcPr>
          <w:p>
            <w:pPr>
              <w:spacing w:after="0"/>
            </w:pPr>
            <w:r>
              <w:rPr>
                <w:b w:val="false"/>
                <w:bCs w:val="false"/>
                <w:sz w:val="18"/>
                <w:szCs w:val="18"/>
              </w:rPr>
              <w:t xml:space="preserve">Processed_Reconciled Prod, CF_lat column S and x-factor, carryforward_cf</w:t>
            </w:r>
          </w:p>
        </w:tc>
        <w:tc>
          <w:tcPr>
            <w:tcW w:type="dxa" w:w="3560"/>
            <w:shd w:fill="F2F2F2" w:val="clear"/>
            <w:tcMar>
              <w:top w:type="dxa" w:w="60"/>
              <w:left w:type="dxa" w:w="100"/>
              <w:bottom w:type="dxa" w:w="60"/>
              <w:right w:type="dxa" w:w="100"/>
            </w:tcMar>
          </w:tcPr>
          <w:p>
            <w:pPr>
              <w:spacing w:after="0"/>
            </w:pPr>
            <w:r>
              <w:rPr>
                <w:b w:val="false"/>
                <w:bCs w:val="false"/>
                <w:sz w:val="18"/>
                <w:szCs w:val="18"/>
              </w:rPr>
              <w:t xml:space="preserve">Compute the monthly factor from ZPRA_T_MREC_PRD if it stores both barrels and tonnes; otherwise extend ZPRA_T_TAR_CF with a period or add a factor table with month validity</w:t>
            </w:r>
          </w:p>
        </w:tc>
      </w:tr>
      <w:tr>
        <w:tc>
          <w:tcPr>
            <w:tcW w:type="dxa" w:w="3200"/>
            <w:shd w:fill="FFFFFF" w:val="clear"/>
            <w:tcMar>
              <w:top w:type="dxa" w:w="60"/>
              <w:left w:type="dxa" w:w="100"/>
              <w:bottom w:type="dxa" w:w="60"/>
              <w:right w:type="dxa" w:w="100"/>
            </w:tcMar>
          </w:tcPr>
          <w:p>
            <w:pPr>
              <w:spacing w:after="0"/>
            </w:pPr>
            <w:r>
              <w:rPr>
                <w:b w:val="false"/>
                <w:bCs w:val="false"/>
                <w:sz w:val="18"/>
                <w:szCs w:val="18"/>
              </w:rPr>
              <w:t xml:space="preserve">Manual adjustments: ACG arrears Nov-2024, arrears +0.068 MMT / +0.014 BCM, typed comparison values on the dashboard</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prod_compiled P3..P56, Internal row 24/42, Dashboard L7/L8</w:t>
            </w:r>
          </w:p>
        </w:tc>
        <w:tc>
          <w:tcPr>
            <w:tcW w:type="dxa" w:w="3560"/>
            <w:shd w:fill="FFFFFF" w:val="clear"/>
            <w:tcMar>
              <w:top w:type="dxa" w:w="60"/>
              <w:left w:type="dxa" w:w="100"/>
              <w:bottom w:type="dxa" w:w="60"/>
              <w:right w:type="dxa" w:w="100"/>
            </w:tcMar>
          </w:tcPr>
          <w:p>
            <w:pPr>
              <w:spacing w:after="0"/>
            </w:pPr>
            <w:r>
              <w:rPr>
                <w:b w:val="false"/>
                <w:bCs w:val="false"/>
                <w:sz w:val="18"/>
                <w:szCs w:val="18"/>
              </w:rPr>
              <w:t xml:space="preserve">Adjustment table (period, asset, product, quantity, reason) or agree that adjustments are posted into ZPRA_T_MREC_PRD</w:t>
            </w:r>
          </w:p>
        </w:tc>
      </w:tr>
      <w:tr>
        <w:tc>
          <w:tcPr>
            <w:tcW w:type="dxa" w:w="3200"/>
            <w:shd w:fill="F2F2F2" w:val="clear"/>
            <w:tcMar>
              <w:top w:type="dxa" w:w="60"/>
              <w:left w:type="dxa" w:w="100"/>
              <w:bottom w:type="dxa" w:w="60"/>
              <w:right w:type="dxa" w:w="100"/>
            </w:tcMar>
          </w:tcPr>
          <w:p>
            <w:pPr>
              <w:spacing w:after="0"/>
            </w:pPr>
            <w:r>
              <w:rPr>
                <w:b w:val="false"/>
                <w:bCs w:val="false"/>
                <w:sz w:val="18"/>
                <w:szCs w:val="18"/>
              </w:rPr>
              <w:t xml:space="preserve">Standardised rates and loss reference rates</w:t>
            </w:r>
          </w:p>
        </w:tc>
        <w:tc>
          <w:tcPr>
            <w:tcW w:type="dxa" w:w="2600"/>
            <w:shd w:fill="F2F2F2" w:val="clear"/>
            <w:tcMar>
              <w:top w:type="dxa" w:w="60"/>
              <w:left w:type="dxa" w:w="100"/>
              <w:bottom w:type="dxa" w:w="60"/>
              <w:right w:type="dxa" w:w="100"/>
            </w:tcMar>
          </w:tcPr>
          <w:p>
            <w:pPr>
              <w:spacing w:after="0"/>
            </w:pPr>
            <w:r>
              <w:rPr>
                <w:b w:val="false"/>
                <w:bCs w:val="false"/>
                <w:sz w:val="18"/>
                <w:szCs w:val="18"/>
              </w:rPr>
              <w:t xml:space="preserve">Standardised rates, OperProdn Loss rows 9–11</w:t>
            </w:r>
          </w:p>
        </w:tc>
        <w:tc>
          <w:tcPr>
            <w:tcW w:type="dxa" w:w="3560"/>
            <w:shd w:fill="F2F2F2" w:val="clear"/>
            <w:tcMar>
              <w:top w:type="dxa" w:w="60"/>
              <w:left w:type="dxa" w:w="100"/>
              <w:bottom w:type="dxa" w:w="60"/>
              <w:right w:type="dxa" w:w="100"/>
            </w:tcMar>
          </w:tcPr>
          <w:p>
            <w:pPr>
              <w:spacing w:after="0"/>
            </w:pPr>
            <w:r>
              <w:rPr>
                <w:b w:val="false"/>
                <w:bCs w:val="false"/>
                <w:sz w:val="18"/>
                <w:szCs w:val="18"/>
              </w:rPr>
              <w:t xml:space="preserve">New table ZDPR_T_REFRATE (asset, product, rate type, valid from, rate) with maintenance</w:t>
            </w:r>
          </w:p>
        </w:tc>
      </w:tr>
      <w:tr>
        <w:tc>
          <w:tcPr>
            <w:tcW w:type="dxa" w:w="3200"/>
            <w:shd w:fill="FFFFFF" w:val="clear"/>
            <w:tcMar>
              <w:top w:type="dxa" w:w="60"/>
              <w:left w:type="dxa" w:w="100"/>
              <w:bottom w:type="dxa" w:w="60"/>
              <w:right w:type="dxa" w:w="100"/>
            </w:tcMar>
          </w:tcPr>
          <w:p>
            <w:pPr>
              <w:spacing w:after="0"/>
            </w:pPr>
            <w:r>
              <w:rPr>
                <w:b w:val="false"/>
                <w:bCs w:val="false"/>
                <w:sz w:val="18"/>
                <w:szCs w:val="18"/>
              </w:rPr>
              <w:t xml:space="preserve">'Operators Target'</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Quarterly/Monthly/Yearly Analysis column F (empty)</w:t>
            </w:r>
          </w:p>
        </w:tc>
        <w:tc>
          <w:tcPr>
            <w:tcW w:type="dxa" w:w="3560"/>
            <w:shd w:fill="FFFFFF" w:val="clear"/>
            <w:tcMar>
              <w:top w:type="dxa" w:w="60"/>
              <w:left w:type="dxa" w:w="100"/>
              <w:bottom w:type="dxa" w:w="60"/>
              <w:right w:type="dxa" w:w="100"/>
            </w:tcMar>
          </w:tcPr>
          <w:p>
            <w:pPr>
              <w:spacing w:after="0"/>
            </w:pPr>
            <w:r>
              <w:rPr>
                <w:b w:val="false"/>
                <w:bCs w:val="false"/>
                <w:sz w:val="18"/>
                <w:szCs w:val="18"/>
              </w:rPr>
              <w:t xml:space="preserve">Could be a further target code in ZPRA_T_PRD_TAR (e.g. TAR_OP) if the customer wants it</w:t>
            </w:r>
          </w:p>
        </w:tc>
      </w:tr>
      <w:tr>
        <w:tc>
          <w:tcPr>
            <w:tcW w:type="dxa" w:w="3200"/>
            <w:shd w:fill="F2F2F2" w:val="clear"/>
            <w:tcMar>
              <w:top w:type="dxa" w:w="60"/>
              <w:left w:type="dxa" w:w="100"/>
              <w:bottom w:type="dxa" w:w="60"/>
              <w:right w:type="dxa" w:w="100"/>
            </w:tcMar>
          </w:tcPr>
          <w:p>
            <w:pPr>
              <w:spacing w:after="0"/>
            </w:pPr>
            <w:r>
              <w:rPr>
                <w:b w:val="false"/>
                <w:bCs w:val="false"/>
                <w:sz w:val="18"/>
                <w:szCs w:val="18"/>
              </w:rPr>
              <w:t xml:space="preserve">Approval sign-off</w:t>
            </w:r>
          </w:p>
        </w:tc>
        <w:tc>
          <w:tcPr>
            <w:tcW w:type="dxa" w:w="2600"/>
            <w:shd w:fill="F2F2F2" w:val="clear"/>
            <w:tcMar>
              <w:top w:type="dxa" w:w="60"/>
              <w:left w:type="dxa" w:w="100"/>
              <w:bottom w:type="dxa" w:w="60"/>
              <w:right w:type="dxa" w:w="100"/>
            </w:tcMar>
          </w:tcPr>
          <w:p>
            <w:pPr>
              <w:spacing w:after="0"/>
            </w:pPr>
            <w:r>
              <w:rPr>
                <w:b w:val="false"/>
                <w:bCs w:val="false"/>
                <w:sz w:val="18"/>
                <w:szCs w:val="18"/>
              </w:rPr>
              <w:t xml:space="preserve">Approval_format</w:t>
            </w:r>
          </w:p>
        </w:tc>
        <w:tc>
          <w:tcPr>
            <w:tcW w:type="dxa" w:w="3560"/>
            <w:shd w:fill="F2F2F2" w:val="clear"/>
            <w:tcMar>
              <w:top w:type="dxa" w:w="60"/>
              <w:left w:type="dxa" w:w="100"/>
              <w:bottom w:type="dxa" w:w="60"/>
              <w:right w:type="dxa" w:w="100"/>
            </w:tcMar>
          </w:tcPr>
          <w:p>
            <w:pPr>
              <w:spacing w:after="0"/>
            </w:pPr>
            <w:r>
              <w:rPr>
                <w:b w:val="false"/>
                <w:bCs w:val="false"/>
                <w:sz w:val="18"/>
                <w:szCs w:val="18"/>
              </w:rPr>
              <w:t xml:space="preserve">Outside the dashboard; the figures themselves are derivable</w:t>
            </w:r>
          </w:p>
        </w:tc>
      </w:tr>
      <w:tr>
        <w:tc>
          <w:tcPr>
            <w:tcW w:type="dxa" w:w="3200"/>
            <w:shd w:fill="FFFFFF" w:val="clear"/>
            <w:tcMar>
              <w:top w:type="dxa" w:w="60"/>
              <w:left w:type="dxa" w:w="100"/>
              <w:bottom w:type="dxa" w:w="60"/>
              <w:right w:type="dxa" w:w="100"/>
            </w:tcMar>
          </w:tcPr>
          <w:p>
            <w:pPr>
              <w:spacing w:after="0"/>
            </w:pPr>
            <w:r>
              <w:rPr>
                <w:b w:val="false"/>
                <w:bCs w:val="false"/>
                <w:sz w:val="18"/>
                <w:szCs w:val="18"/>
              </w:rPr>
              <w:t xml:space="preserve">Archive copies of previous years</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Prodn Data 24-25, external link to 2024 workbook</w:t>
            </w:r>
          </w:p>
        </w:tc>
        <w:tc>
          <w:tcPr>
            <w:tcW w:type="dxa" w:w="3560"/>
            <w:shd w:fill="FFFFFF" w:val="clear"/>
            <w:tcMar>
              <w:top w:type="dxa" w:w="60"/>
              <w:left w:type="dxa" w:w="100"/>
              <w:bottom w:type="dxa" w:w="60"/>
              <w:right w:type="dxa" w:w="100"/>
            </w:tcMar>
          </w:tcPr>
          <w:p>
            <w:pPr>
              <w:spacing w:after="0"/>
            </w:pPr>
            <w:r>
              <w:rPr>
                <w:b w:val="false"/>
                <w:bCs w:val="false"/>
                <w:sz w:val="18"/>
                <w:szCs w:val="18"/>
              </w:rPr>
              <w:t xml:space="preserve">Not needed if ZPRA_T_MREC_PRD keeps history</w:t>
            </w:r>
          </w:p>
        </w:tc>
      </w:tr>
    </w:tbl>
    <w:p>
      <w:r>
        <w:br w:type="page"/>
      </w:r>
    </w:p>
    <w:p>
      <w:pPr>
        <w:pStyle w:val="Heading1"/>
        <w:spacing w:after="160" w:before="320"/>
      </w:pPr>
      <w:r>
        <w:t xml:space="preserve">7. Questions for the customer</w:t>
      </w:r>
    </w:p>
    <w:p>
      <w:pPr>
        <w:pStyle w:val="ListParagraph"/>
        <w:numPr>
          <w:ilvl w:val="0"/>
          <w:numId w:val="2"/>
        </w:numPr>
        <w:spacing w:after="80"/>
      </w:pPr>
      <w:r>
        <w:rPr>
          <w:sz w:val="21"/>
          <w:szCs w:val="21"/>
        </w:rPr>
        <w:t xml:space="preserve">Which target code in SAP corresponds to the workbook's MoU version: TAR_EX or TAR_VG? Are TAR_IN and TAR_PC used at all?</w:t>
      </w:r>
    </w:p>
    <w:p>
      <w:pPr>
        <w:pStyle w:val="ListParagraph"/>
        <w:numPr>
          <w:ilvl w:val="0"/>
          <w:numId w:val="2"/>
        </w:numPr>
        <w:spacing w:after="80"/>
      </w:pPr>
      <w:r>
        <w:rPr>
          <w:sz w:val="21"/>
          <w:szCs w:val="21"/>
        </w:rPr>
        <w:t xml:space="preserve">Is ZPRA_T_MREC_PRD loaded from the same partner CP statements as the per-asset sheets, and does it hold tonnes as well as barrels (so the monthly conversion factor can be computed)? Does it keep prior fiscal years?</w:t>
      </w:r>
    </w:p>
    <w:p>
      <w:pPr>
        <w:pStyle w:val="ListParagraph"/>
        <w:numPr>
          <w:ilvl w:val="0"/>
          <w:numId w:val="2"/>
        </w:numPr>
        <w:spacing w:after="80"/>
      </w:pPr>
      <w:r>
        <w:rPr>
          <w:sz w:val="21"/>
          <w:szCs w:val="21"/>
        </w:rPr>
        <w:t xml:space="preserve">Which OVL figure is official: computed from reconciled JV × PI, or the Corporate Planning rounded figure? Can they differ?</w:t>
      </w:r>
    </w:p>
    <w:p>
      <w:pPr>
        <w:pStyle w:val="ListParagraph"/>
        <w:numPr>
          <w:ilvl w:val="0"/>
          <w:numId w:val="2"/>
        </w:numPr>
        <w:spacing w:after="80"/>
      </w:pPr>
      <w:r>
        <w:rPr>
          <w:sz w:val="21"/>
          <w:szCs w:val="21"/>
        </w:rPr>
        <w:t xml:space="preserve">Oil-equivalent: the workbook adds MMT and BCM one to one; the DPR report uses 6290 BOE per MMSCM. Which convention should the dashboard show, or both?</w:t>
      </w:r>
    </w:p>
    <w:p>
      <w:pPr>
        <w:pStyle w:val="ListParagraph"/>
        <w:numPr>
          <w:ilvl w:val="0"/>
          <w:numId w:val="2"/>
        </w:numPr>
        <w:spacing w:after="80"/>
      </w:pPr>
      <w:r>
        <w:rPr>
          <w:sz w:val="21"/>
          <w:szCs w:val="21"/>
        </w:rPr>
        <w:t xml:space="preserve">Should the operational CP data (wells, surveys, water cut, water injection) be part of the dashboard? If yes, who maintains it in SAP?</w:t>
      </w:r>
    </w:p>
    <w:p>
      <w:pPr>
        <w:pStyle w:val="ListParagraph"/>
        <w:numPr>
          <w:ilvl w:val="0"/>
          <w:numId w:val="2"/>
        </w:numPr>
        <w:spacing w:after="80"/>
      </w:pPr>
      <w:r>
        <w:rPr>
          <w:sz w:val="21"/>
          <w:szCs w:val="21"/>
        </w:rPr>
        <w:t xml:space="preserve">Are the annual goals 7.252 MMT / 2.574 BCM / 9.826 MMTOE exactly the sum of the TAR_BE months in ZPRA_T_PRD_TAR, or a separately approved figure?</w:t>
      </w:r>
    </w:p>
    <w:p>
      <w:pPr>
        <w:pStyle w:val="ListParagraph"/>
        <w:numPr>
          <w:ilvl w:val="0"/>
          <w:numId w:val="2"/>
        </w:numPr>
        <w:spacing w:after="80"/>
      </w:pPr>
      <w:r>
        <w:rPr>
          <w:sz w:val="21"/>
          <w:szCs w:val="21"/>
        </w:rPr>
        <w:t xml:space="preserve">Who will maintain remarks, standardised rates and manual adjustments once they live in SAP tables?</w:t>
      </w:r>
    </w:p>
    <w:p>
      <w:pPr>
        <w:pStyle w:val="ListParagraph"/>
        <w:numPr>
          <w:ilvl w:val="0"/>
          <w:numId w:val="2"/>
        </w:numPr>
        <w:spacing w:after="80"/>
      </w:pPr>
      <w:r>
        <w:rPr>
          <w:sz w:val="21"/>
          <w:szCs w:val="21"/>
        </w:rPr>
        <w:t xml:space="preserve">Which analysis pages are needed in the dashboard's first release: Dashboard page, YTD achievement, asking rate, MTD/YTD, gap analysis, YoY, quarterly/monthly/yearly analysis, material balance, reference-point comparison?</w:t>
      </w:r>
    </w:p>
    <w:p>
      <w:pPr>
        <w:pStyle w:val="Heading1"/>
        <w:spacing w:after="160" w:before="320"/>
      </w:pPr>
      <w:r>
        <w:t xml:space="preserve">8. Defects found in the workbook (for information)</w:t>
      </w:r>
    </w:p>
    <w:p>
      <w:pPr>
        <w:pStyle w:val="ListParagraph"/>
        <w:numPr>
          <w:ilvl w:val="0"/>
          <w:numId w:val="2"/>
        </w:numPr>
        <w:spacing w:after="80"/>
      </w:pPr>
      <w:r>
        <w:rPr>
          <w:sz w:val="21"/>
          <w:szCs w:val="21"/>
        </w:rPr>
        <w:t xml:space="preserve">Gap_analysis looks up DPR only to April 2026: every current value is #N/A. It also uses the old ACG PI 2.31 %.</w:t>
      </w:r>
    </w:p>
    <w:p>
      <w:pPr>
        <w:pStyle w:val="ListParagraph"/>
        <w:numPr>
          <w:ilvl w:val="0"/>
          <w:numId w:val="2"/>
        </w:numPr>
        <w:spacing w:after="80"/>
      </w:pPr>
      <w:r>
        <w:rPr>
          <w:sz w:val="21"/>
          <w:szCs w:val="21"/>
        </w:rPr>
        <w:t xml:space="preserve">OperProdn Loss: all rows from 20-Jul-2025 reference deleted DPR rows (#REF!).</w:t>
      </w:r>
    </w:p>
    <w:p>
      <w:pPr>
        <w:pStyle w:val="ListParagraph"/>
        <w:numPr>
          <w:ilvl w:val="0"/>
          <w:numId w:val="2"/>
        </w:numPr>
        <w:spacing w:after="80"/>
      </w:pPr>
      <w:r>
        <w:rPr>
          <w:sz w:val="21"/>
          <w:szCs w:val="21"/>
        </w:rPr>
        <w:t xml:space="preserve">all_remarks starts at Aug-2025 and ends with about 50 #REF! rows; LBL not maintained since Feb-2024.</w:t>
      </w:r>
    </w:p>
    <w:p>
      <w:pPr>
        <w:pStyle w:val="ListParagraph"/>
        <w:numPr>
          <w:ilvl w:val="0"/>
          <w:numId w:val="2"/>
        </w:numPr>
        <w:spacing w:after="80"/>
      </w:pPr>
      <w:r>
        <w:rPr>
          <w:sz w:val="21"/>
          <w:szCs w:val="21"/>
        </w:rPr>
        <w:t xml:space="preserve">prod_compiled uses MINIFS, which the saved Excel version does not support (#NAME? in the QTD/MTD day counters).</w:t>
      </w:r>
    </w:p>
    <w:p>
      <w:pPr>
        <w:pStyle w:val="ListParagraph"/>
        <w:numPr>
          <w:ilvl w:val="0"/>
          <w:numId w:val="2"/>
        </w:numPr>
        <w:spacing w:after="80"/>
      </w:pPr>
      <w:r>
        <w:rPr>
          <w:sz w:val="21"/>
          <w:szCs w:val="21"/>
        </w:rPr>
        <w:t xml:space="preserve">Targets-chosen OVL average rows omit GPOC, SPOC, B-06.1 and A1/A3; a blank string in J57 produces #VALUE! downstream.</w:t>
      </w:r>
    </w:p>
    <w:p>
      <w:pPr>
        <w:pStyle w:val="ListParagraph"/>
        <w:numPr>
          <w:ilvl w:val="0"/>
          <w:numId w:val="2"/>
        </w:numPr>
        <w:spacing w:after="80"/>
      </w:pPr>
      <w:r>
        <w:rPr>
          <w:sz w:val="21"/>
          <w:szCs w:val="21"/>
        </w:rPr>
        <w:t xml:space="preserve">ACG PI change date is 1-Nov-2024 in DPR and reference_points but 29-Nov-2024 in Internal; DTR and Gap_analysis still use 2.31 %.</w:t>
      </w:r>
    </w:p>
    <w:p>
      <w:pPr>
        <w:pStyle w:val="ListParagraph"/>
        <w:numPr>
          <w:ilvl w:val="0"/>
          <w:numId w:val="2"/>
        </w:numPr>
        <w:spacing w:after="80"/>
      </w:pPr>
      <w:r>
        <w:rPr>
          <w:sz w:val="21"/>
          <w:szCs w:val="21"/>
        </w:rPr>
        <w:t xml:space="preserve">Dashboard L7/L8 comparison figures and Asking Rate annual totals are typed, so they go stale when targets change.</w:t>
      </w:r>
    </w:p>
    <w:p>
      <w:pPr>
        <w:pStyle w:val="ListParagraph"/>
        <w:numPr>
          <w:ilvl w:val="0"/>
          <w:numId w:val="2"/>
        </w:numPr>
        <w:spacing w:after="80"/>
      </w:pPr>
      <w:r>
        <w:rPr>
          <w:sz w:val="21"/>
          <w:szCs w:val="21"/>
        </w:rPr>
        <w:t xml:space="preserve">Yearly_Analysis H63 shows #DIV/0! (B-06.1 has no target); 2FY row offsets assume the DPR still starts in April 2022.</w:t>
      </w:r>
    </w:p>
    <w:p>
      <w:pPr>
        <w:spacing w:after="120"/>
      </w:pPr>
      <w:r>
        <w:rPr>
          <w:b w:val="false"/>
          <w:bCs w:val="false"/>
          <w:i/>
          <w:iCs/>
          <w:sz w:val="21"/>
          <w:szCs w:val="21"/>
        </w:rPr>
        <w:t xml:space="preserve">None of these affect the SAP mapping, but they explain differences the customer may see when comparing workbook and dashboard figures.</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ONGC Videsh — Production Dashboard workbook — SAP data mapping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2026-09-25T10:43:12.167Z</dcterms:created>
  <dcterms:modified xsi:type="dcterms:W3CDTF">2026-09-25T10:43:12.180Z</dcterms:modified>
</cp:coreProperties>
</file>

<file path=docProps/custom.xml><?xml version="1.0" encoding="utf-8"?>
<Properties xmlns="http://schemas.openxmlformats.org/officeDocument/2006/custom-properties" xmlns:vt="http://schemas.openxmlformats.org/officeDocument/2006/docPropsVTypes"/>
</file>