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3864"/>
          <w:sz w:val="38"/>
          <w:szCs w:val="38"/>
        </w:rPr>
        <w:t xml:space="preserve">Centralized PSD Discount Processing at CPC</w:t>
      </w:r>
    </w:p>
    <w:p>
      <w:pPr>
        <w:spacing w:after="40"/>
        <w:jc w:val="center"/>
      </w:pPr>
      <w:r>
        <w:rPr>
          <w:b/>
          <w:bCs/>
          <w:color w:val="2E5496"/>
          <w:sz w:val="26"/>
          <w:szCs w:val="26"/>
        </w:rPr>
        <w:t xml:space="preserve">Response to Proposed Workflow (L1–L6) and Testing Observations</w:t>
      </w:r>
    </w:p>
    <w:p>
      <w:pPr>
        <w:spacing w:after="180"/>
        <w:jc w:val="center"/>
      </w:pPr>
      <w:r>
        <w:rPr>
          <w:i/>
          <w:iCs/>
          <w:color w:val="595959"/>
          <w:sz w:val="20"/>
          <w:szCs w:val="20"/>
        </w:rPr>
        <w:t xml:space="preserve">GAIL CIS 2026-27  •  Prepared by the SAP Implementation Team</w:t>
      </w:r>
    </w:p>
    <w:p>
      <w:pPr>
        <w:pBdr>
          <w:bottom w:val="single" w:color="2E5496" w:sz="8" w:space="1"/>
        </w:pBdr>
        <w:spacing w:after="120" w:before="60"/>
      </w:pPr>
    </w:p>
    <w:p>
      <w:pPr>
        <w:pStyle w:val="Heading1"/>
        <w:spacing w:after="120" w:before="240"/>
      </w:pPr>
      <w:r>
        <w:rPr>
          <w:b/>
          <w:bCs/>
          <w:color w:val="1F3864"/>
        </w:rPr>
        <w:t xml:space="preserve">1.  Purpose of this note</w:t>
      </w:r>
    </w:p>
    <w:p>
      <w:pPr>
        <w:spacing w:after="100"/>
      </w:pPr>
      <w:r>
        <w:rPr>
          <w:sz w:val="21"/>
          <w:szCs w:val="21"/>
        </w:rPr>
        <w:t xml:space="preserve">This note responds to the proposed 6-level PSD approval workflow and the observations shared during testing. For each point we state clearly whether we will implement it, implement it in a controlled way, or recommend using standard SAP instead – with the reason in simple terms.</w:t>
      </w:r>
    </w:p>
    <w:p>
      <w:pPr>
        <w:spacing w:after="100"/>
      </w:pPr>
      <w:r>
        <w:rPr>
          <w:i/>
          <w:iCs/>
          <w:color w:val="595959"/>
          <w:sz w:val="21"/>
          <w:szCs w:val="21"/>
        </w:rPr>
        <w:t xml:space="preserve">Our objective is to give GAIL a workflow that is reliable, audit-friendly and easy to support, while keeping all financial (credit note / accounting) steps inside standard, proven SAP.</w:t>
      </w:r>
    </w:p>
    <w:p>
      <w:pPr>
        <w:pStyle w:val="Heading1"/>
        <w:spacing w:after="120" w:before="240"/>
      </w:pPr>
      <w:r>
        <w:rPr>
          <w:b/>
          <w:bCs/>
          <w:color w:val="1F3864"/>
        </w:rPr>
        <w:t xml:space="preserve">2.  At a glance</w:t>
      </w:r>
    </w:p>
    <w:p>
      <w:pPr>
        <w:spacing w:after="100"/>
      </w:pPr>
      <w:r>
        <w:rPr>
          <w:sz w:val="21"/>
          <w:szCs w:val="21"/>
        </w:rPr>
        <w:t xml:space="preserve">Colour key:</w:t>
      </w:r>
    </w:p>
    <w:p>
      <w:pPr>
        <w:spacing w:after="120"/>
      </w:pPr>
      <w:r>
        <w:rPr>
          <w:color w:val="70AD47"/>
          <w:sz w:val="22"/>
          <w:szCs w:val="22"/>
        </w:rPr>
        <w:t xml:space="preserve">  ■  </w:t>
      </w:r>
      <w:r>
        <w:rPr>
          <w:sz w:val="20"/>
          <w:szCs w:val="20"/>
        </w:rPr>
        <w:t xml:space="preserve">Will implement      </w:t>
      </w:r>
      <w:r>
        <w:rPr>
          <w:color w:val="ED7D31"/>
          <w:sz w:val="22"/>
          <w:szCs w:val="22"/>
        </w:rPr>
        <w:t xml:space="preserve">  ■  </w:t>
      </w:r>
      <w:r>
        <w:rPr>
          <w:sz w:val="20"/>
          <w:szCs w:val="20"/>
        </w:rPr>
        <w:t xml:space="preserve">Will implement as a sign-off step (no accounting)      </w:t>
      </w:r>
      <w:r>
        <w:rPr>
          <w:color w:val="C00000"/>
          <w:sz w:val="22"/>
          <w:szCs w:val="22"/>
        </w:rPr>
        <w:t xml:space="preserve">  ■  </w:t>
      </w:r>
      <w:r>
        <w:rPr>
          <w:sz w:val="20"/>
          <w:szCs w:val="20"/>
        </w:rPr>
        <w:t xml:space="preserve">Recommend standard SAP instead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520"/>
        <w:gridCol w:w="4300"/>
        <w:gridCol w:w="1900"/>
        <w:gridCol w:w="2640"/>
      </w:tblGrid>
      <w:tr>
        <w:trPr>
          <w:tblHeader/>
        </w:trPr>
        <w:tc>
          <w:tcPr>
            <w:tcW w:type="dxa" w:w="520"/>
            <w:shd w:fill="1F3864" w:color="auto" w:val="clear"/>
            <w:tcMar>
              <w:top w:type="dxa" w:w="60"/>
              <w:left w:type="dxa" w:w="100"/>
              <w:bottom w:type="dxa" w:w="60"/>
              <w:right w:type="dxa" w:w="100"/>
            </w:tcMar>
          </w:tcPr>
          <w:p>
            <w:pPr>
              <w:spacing w:after="20"/>
            </w:pPr>
            <w:r>
              <w:rPr>
                <w:b/>
                <w:bCs/>
                <w:color w:val="FFFFFF"/>
                <w:sz w:val="19"/>
                <w:szCs w:val="19"/>
              </w:rPr>
              <w:t xml:space="preserve">Level</w:t>
            </w:r>
          </w:p>
        </w:tc>
        <w:tc>
          <w:tcPr>
            <w:tcW w:type="dxa" w:w="4300"/>
            <w:shd w:fill="1F3864" w:color="auto" w:val="clear"/>
            <w:tcMar>
              <w:top w:type="dxa" w:w="60"/>
              <w:left w:type="dxa" w:w="100"/>
              <w:bottom w:type="dxa" w:w="60"/>
              <w:right w:type="dxa" w:w="100"/>
            </w:tcMar>
          </w:tcPr>
          <w:p>
            <w:pPr>
              <w:spacing w:after="20"/>
            </w:pPr>
            <w:r>
              <w:rPr>
                <w:b/>
                <w:bCs/>
                <w:color w:val="FFFFFF"/>
                <w:sz w:val="19"/>
                <w:szCs w:val="19"/>
              </w:rPr>
              <w:t xml:space="preserve">Step</w:t>
            </w:r>
          </w:p>
        </w:tc>
        <w:tc>
          <w:tcPr>
            <w:tcW w:type="dxa" w:w="1900"/>
            <w:shd w:fill="1F3864" w:color="auto" w:val="clear"/>
            <w:tcMar>
              <w:top w:type="dxa" w:w="60"/>
              <w:left w:type="dxa" w:w="100"/>
              <w:bottom w:type="dxa" w:w="60"/>
              <w:right w:type="dxa" w:w="100"/>
            </w:tcMar>
          </w:tcPr>
          <w:p>
            <w:pPr>
              <w:spacing w:after="20"/>
            </w:pPr>
            <w:r>
              <w:rPr>
                <w:b/>
                <w:bCs/>
                <w:color w:val="FFFFFF"/>
                <w:sz w:val="19"/>
                <w:szCs w:val="19"/>
              </w:rPr>
              <w:t xml:space="preserve">Our response</w:t>
            </w:r>
          </w:p>
        </w:tc>
        <w:tc>
          <w:tcPr>
            <w:tcW w:type="dxa" w:w="2640"/>
            <w:shd w:fill="1F3864" w:color="auto" w:val="clear"/>
            <w:tcMar>
              <w:top w:type="dxa" w:w="60"/>
              <w:left w:type="dxa" w:w="100"/>
              <w:bottom w:type="dxa" w:w="60"/>
              <w:right w:type="dxa" w:w="100"/>
            </w:tcMar>
          </w:tcPr>
          <w:p>
            <w:pPr>
              <w:spacing w:after="20"/>
            </w:pPr>
            <w:r>
              <w:rPr>
                <w:b/>
                <w:bCs/>
                <w:color w:val="FFFFFF"/>
                <w:sz w:val="19"/>
                <w:szCs w:val="19"/>
              </w:rPr>
              <w:t xml:space="preserve">Note</w:t>
            </w:r>
          </w:p>
        </w:tc>
      </w:tr>
      <w:tr>
        <w:tc>
          <w:tcPr>
            <w:tcW w:type="dxa" w:w="520"/>
            <w:shd w:fill="E2EFDA" w:color="auto" w:val="clear"/>
            <w:tcMar>
              <w:top w:type="dxa" w:w="60"/>
              <w:left w:type="dxa" w:w="100"/>
              <w:bottom w:type="dxa" w:w="60"/>
              <w:right w:type="dxa" w:w="100"/>
            </w:tcMar>
          </w:tcPr>
          <w:p>
            <w:pPr>
              <w:spacing w:after="20"/>
            </w:pPr>
            <w:r>
              <w:rPr>
                <w:sz w:val="19"/>
                <w:szCs w:val="19"/>
              </w:rPr>
              <w:t xml:space="preserve">L1</w:t>
            </w:r>
          </w:p>
        </w:tc>
        <w:tc>
          <w:tcPr>
            <w:tcW w:type="dxa" w:w="4300"/>
            <w:shd w:fill="E2EFDA" w:color="auto" w:val="clear"/>
            <w:tcMar>
              <w:top w:type="dxa" w:w="60"/>
              <w:left w:type="dxa" w:w="100"/>
              <w:bottom w:type="dxa" w:w="60"/>
              <w:right w:type="dxa" w:w="100"/>
            </w:tcMar>
          </w:tcPr>
          <w:p>
            <w:pPr>
              <w:spacing w:after="20"/>
            </w:pPr>
            <w:r>
              <w:rPr>
                <w:sz w:val="19"/>
                <w:szCs w:val="19"/>
              </w:rPr>
              <w:t xml:space="preserve">Zonal PC Executive – Verify (already live)</w:t>
            </w:r>
          </w:p>
        </w:tc>
        <w:tc>
          <w:tcPr>
            <w:tcW w:type="dxa" w:w="1900"/>
            <w:shd w:fill="E2EFDA" w:color="auto" w:val="clear"/>
            <w:tcMar>
              <w:top w:type="dxa" w:w="60"/>
              <w:left w:type="dxa" w:w="100"/>
              <w:bottom w:type="dxa" w:w="60"/>
              <w:right w:type="dxa" w:w="100"/>
            </w:tcMar>
          </w:tcPr>
          <w:p>
            <w:pPr>
              <w:spacing w:after="20"/>
            </w:pPr>
            <w:r>
              <w:rPr>
                <w:sz w:val="19"/>
                <w:szCs w:val="19"/>
              </w:rPr>
              <w:t xml:space="preserve">Done</w:t>
            </w:r>
          </w:p>
        </w:tc>
        <w:tc>
          <w:tcPr>
            <w:tcW w:type="dxa" w:w="2640"/>
            <w:shd w:fill="E2EFDA" w:color="auto" w:val="clear"/>
            <w:tcMar>
              <w:top w:type="dxa" w:w="60"/>
              <w:left w:type="dxa" w:w="100"/>
              <w:bottom w:type="dxa" w:w="60"/>
              <w:right w:type="dxa" w:w="100"/>
            </w:tcMar>
          </w:tcPr>
          <w:p>
            <w:pPr>
              <w:spacing w:after="20"/>
            </w:pPr>
            <w:r>
              <w:rPr>
                <w:sz w:val="19"/>
                <w:szCs w:val="19"/>
              </w:rPr>
              <w:t xml:space="preserve">Working</w:t>
            </w:r>
          </w:p>
        </w:tc>
      </w:tr>
      <w:tr>
        <w:tc>
          <w:tcPr>
            <w:tcW w:type="dxa" w:w="520"/>
            <w:shd w:fill="E2EFDA" w:color="auto" w:val="clear"/>
            <w:tcMar>
              <w:top w:type="dxa" w:w="60"/>
              <w:left w:type="dxa" w:w="100"/>
              <w:bottom w:type="dxa" w:w="60"/>
              <w:right w:type="dxa" w:w="100"/>
            </w:tcMar>
          </w:tcPr>
          <w:p>
            <w:pPr>
              <w:spacing w:after="20"/>
            </w:pPr>
            <w:r>
              <w:rPr>
                <w:sz w:val="19"/>
                <w:szCs w:val="19"/>
              </w:rPr>
              <w:t xml:space="preserve">L2</w:t>
            </w:r>
          </w:p>
        </w:tc>
        <w:tc>
          <w:tcPr>
            <w:tcW w:type="dxa" w:w="4300"/>
            <w:shd w:fill="E2EFDA" w:color="auto" w:val="clear"/>
            <w:tcMar>
              <w:top w:type="dxa" w:w="60"/>
              <w:left w:type="dxa" w:w="100"/>
              <w:bottom w:type="dxa" w:w="60"/>
              <w:right w:type="dxa" w:w="100"/>
            </w:tcMar>
          </w:tcPr>
          <w:p>
            <w:pPr>
              <w:spacing w:after="20"/>
            </w:pPr>
            <w:r>
              <w:rPr>
                <w:sz w:val="19"/>
                <w:szCs w:val="19"/>
              </w:rPr>
              <w:t xml:space="preserve">Zonal PC Head – Verify (already live)</w:t>
            </w:r>
          </w:p>
        </w:tc>
        <w:tc>
          <w:tcPr>
            <w:tcW w:type="dxa" w:w="1900"/>
            <w:shd w:fill="E2EFDA" w:color="auto" w:val="clear"/>
            <w:tcMar>
              <w:top w:type="dxa" w:w="60"/>
              <w:left w:type="dxa" w:w="100"/>
              <w:bottom w:type="dxa" w:w="60"/>
              <w:right w:type="dxa" w:w="100"/>
            </w:tcMar>
          </w:tcPr>
          <w:p>
            <w:pPr>
              <w:spacing w:after="20"/>
            </w:pPr>
            <w:r>
              <w:rPr>
                <w:sz w:val="19"/>
                <w:szCs w:val="19"/>
              </w:rPr>
              <w:t xml:space="preserve">Done</w:t>
            </w:r>
          </w:p>
        </w:tc>
        <w:tc>
          <w:tcPr>
            <w:tcW w:type="dxa" w:w="2640"/>
            <w:shd w:fill="E2EFDA" w:color="auto" w:val="clear"/>
            <w:tcMar>
              <w:top w:type="dxa" w:w="60"/>
              <w:left w:type="dxa" w:w="100"/>
              <w:bottom w:type="dxa" w:w="60"/>
              <w:right w:type="dxa" w:w="100"/>
            </w:tcMar>
          </w:tcPr>
          <w:p>
            <w:pPr>
              <w:spacing w:after="20"/>
            </w:pPr>
            <w:r>
              <w:rPr>
                <w:sz w:val="19"/>
                <w:szCs w:val="19"/>
              </w:rPr>
              <w:t xml:space="preserve">Working</w:t>
            </w:r>
          </w:p>
        </w:tc>
      </w:tr>
      <w:tr>
        <w:tc>
          <w:tcPr>
            <w:tcW w:type="dxa" w:w="520"/>
            <w:shd w:fill="E2EFDA" w:color="auto" w:val="clear"/>
            <w:tcMar>
              <w:top w:type="dxa" w:w="60"/>
              <w:left w:type="dxa" w:w="100"/>
              <w:bottom w:type="dxa" w:w="60"/>
              <w:right w:type="dxa" w:w="100"/>
            </w:tcMar>
          </w:tcPr>
          <w:p>
            <w:pPr>
              <w:spacing w:after="20"/>
            </w:pPr>
            <w:r>
              <w:rPr>
                <w:sz w:val="19"/>
                <w:szCs w:val="19"/>
              </w:rPr>
              <w:t xml:space="preserve">L3</w:t>
            </w:r>
          </w:p>
        </w:tc>
        <w:tc>
          <w:tcPr>
            <w:tcW w:type="dxa" w:w="4300"/>
            <w:shd w:fill="E2EFDA" w:color="auto" w:val="clear"/>
            <w:tcMar>
              <w:top w:type="dxa" w:w="60"/>
              <w:left w:type="dxa" w:w="100"/>
              <w:bottom w:type="dxa" w:w="60"/>
              <w:right w:type="dxa" w:w="100"/>
            </w:tcMar>
          </w:tcPr>
          <w:p>
            <w:pPr>
              <w:spacing w:after="20"/>
            </w:pPr>
            <w:r>
              <w:rPr>
                <w:sz w:val="19"/>
                <w:szCs w:val="19"/>
              </w:rPr>
              <w:t xml:space="preserve">CPC Marketing – create rebate orders (already live)</w:t>
            </w:r>
          </w:p>
        </w:tc>
        <w:tc>
          <w:tcPr>
            <w:tcW w:type="dxa" w:w="1900"/>
            <w:shd w:fill="E2EFDA" w:color="auto" w:val="clear"/>
            <w:tcMar>
              <w:top w:type="dxa" w:w="60"/>
              <w:left w:type="dxa" w:w="100"/>
              <w:bottom w:type="dxa" w:w="60"/>
              <w:right w:type="dxa" w:w="100"/>
            </w:tcMar>
          </w:tcPr>
          <w:p>
            <w:pPr>
              <w:spacing w:after="20"/>
            </w:pPr>
            <w:r>
              <w:rPr>
                <w:sz w:val="19"/>
                <w:szCs w:val="19"/>
              </w:rPr>
              <w:t xml:space="preserve">Done</w:t>
            </w:r>
          </w:p>
        </w:tc>
        <w:tc>
          <w:tcPr>
            <w:tcW w:type="dxa" w:w="2640"/>
            <w:shd w:fill="E2EFDA" w:color="auto" w:val="clear"/>
            <w:tcMar>
              <w:top w:type="dxa" w:w="60"/>
              <w:left w:type="dxa" w:w="100"/>
              <w:bottom w:type="dxa" w:w="60"/>
              <w:right w:type="dxa" w:w="100"/>
            </w:tcMar>
          </w:tcPr>
          <w:p>
            <w:pPr>
              <w:spacing w:after="20"/>
            </w:pPr>
            <w:r>
              <w:rPr>
                <w:sz w:val="19"/>
                <w:szCs w:val="19"/>
              </w:rPr>
              <w:t xml:space="preserve">Working</w:t>
            </w:r>
          </w:p>
        </w:tc>
      </w:tr>
      <w:tr>
        <w:tc>
          <w:tcPr>
            <w:tcW w:type="dxa" w:w="520"/>
            <w:shd w:fill="FCE4D6" w:color="auto" w:val="clear"/>
            <w:tcMar>
              <w:top w:type="dxa" w:w="60"/>
              <w:left w:type="dxa" w:w="100"/>
              <w:bottom w:type="dxa" w:w="60"/>
              <w:right w:type="dxa" w:w="100"/>
            </w:tcMar>
          </w:tcPr>
          <w:p>
            <w:pPr>
              <w:spacing w:after="20"/>
            </w:pPr>
            <w:r>
              <w:rPr>
                <w:sz w:val="19"/>
                <w:szCs w:val="19"/>
              </w:rPr>
              <w:t xml:space="preserve">L4</w:t>
            </w:r>
          </w:p>
        </w:tc>
        <w:tc>
          <w:tcPr>
            <w:tcW w:type="dxa" w:w="4300"/>
            <w:shd w:fill="FCE4D6" w:color="auto" w:val="clear"/>
            <w:tcMar>
              <w:top w:type="dxa" w:w="60"/>
              <w:left w:type="dxa" w:w="100"/>
              <w:bottom w:type="dxa" w:w="60"/>
              <w:right w:type="dxa" w:w="100"/>
            </w:tcMar>
          </w:tcPr>
          <w:p>
            <w:pPr>
              <w:spacing w:after="20"/>
            </w:pPr>
            <w:r>
              <w:rPr>
                <w:sz w:val="19"/>
                <w:szCs w:val="19"/>
              </w:rPr>
              <w:t xml:space="preserve">CPC Finance – Financial vetting</w:t>
            </w:r>
          </w:p>
        </w:tc>
        <w:tc>
          <w:tcPr>
            <w:tcW w:type="dxa" w:w="1900"/>
            <w:shd w:fill="FCE4D6" w:color="auto" w:val="clear"/>
            <w:tcMar>
              <w:top w:type="dxa" w:w="60"/>
              <w:left w:type="dxa" w:w="100"/>
              <w:bottom w:type="dxa" w:w="60"/>
              <w:right w:type="dxa" w:w="100"/>
            </w:tcMar>
          </w:tcPr>
          <w:p>
            <w:pPr>
              <w:spacing w:after="20"/>
            </w:pPr>
            <w:r>
              <w:rPr>
                <w:sz w:val="19"/>
                <w:szCs w:val="19"/>
              </w:rPr>
              <w:t xml:space="preserve">Will do (sign-off)</w:t>
            </w:r>
          </w:p>
        </w:tc>
        <w:tc>
          <w:tcPr>
            <w:tcW w:type="dxa" w:w="2640"/>
            <w:shd w:fill="FCE4D6" w:color="auto" w:val="clear"/>
            <w:tcMar>
              <w:top w:type="dxa" w:w="60"/>
              <w:left w:type="dxa" w:w="100"/>
              <w:bottom w:type="dxa" w:w="60"/>
              <w:right w:type="dxa" w:w="100"/>
            </w:tcMar>
          </w:tcPr>
          <w:p>
            <w:pPr>
              <w:spacing w:after="20"/>
            </w:pPr>
            <w:r>
              <w:rPr>
                <w:sz w:val="19"/>
                <w:szCs w:val="19"/>
              </w:rPr>
              <w:t xml:space="preserve">New approval step, no posting</w:t>
            </w:r>
          </w:p>
        </w:tc>
      </w:tr>
      <w:tr>
        <w:tc>
          <w:tcPr>
            <w:tcW w:type="dxa" w:w="520"/>
            <w:shd w:fill="FCE4D6" w:color="auto" w:val="clear"/>
            <w:tcMar>
              <w:top w:type="dxa" w:w="60"/>
              <w:left w:type="dxa" w:w="100"/>
              <w:bottom w:type="dxa" w:w="60"/>
              <w:right w:type="dxa" w:w="100"/>
            </w:tcMar>
          </w:tcPr>
          <w:p>
            <w:pPr>
              <w:spacing w:after="20"/>
            </w:pPr>
            <w:r>
              <w:rPr>
                <w:sz w:val="19"/>
                <w:szCs w:val="19"/>
              </w:rPr>
              <w:t xml:space="preserve">L5</w:t>
            </w:r>
          </w:p>
        </w:tc>
        <w:tc>
          <w:tcPr>
            <w:tcW w:type="dxa" w:w="4300"/>
            <w:shd w:fill="FCE4D6" w:color="auto" w:val="clear"/>
            <w:tcMar>
              <w:top w:type="dxa" w:w="60"/>
              <w:left w:type="dxa" w:w="100"/>
              <w:bottom w:type="dxa" w:w="60"/>
              <w:right w:type="dxa" w:w="100"/>
            </w:tcMar>
          </w:tcPr>
          <w:p>
            <w:pPr>
              <w:spacing w:after="20"/>
            </w:pPr>
            <w:r>
              <w:rPr>
                <w:sz w:val="19"/>
                <w:szCs w:val="19"/>
              </w:rPr>
              <w:t xml:space="preserve">CPC Head – Final approval</w:t>
            </w:r>
          </w:p>
        </w:tc>
        <w:tc>
          <w:tcPr>
            <w:tcW w:type="dxa" w:w="1900"/>
            <w:shd w:fill="FCE4D6" w:color="auto" w:val="clear"/>
            <w:tcMar>
              <w:top w:type="dxa" w:w="60"/>
              <w:left w:type="dxa" w:w="100"/>
              <w:bottom w:type="dxa" w:w="60"/>
              <w:right w:type="dxa" w:w="100"/>
            </w:tcMar>
          </w:tcPr>
          <w:p>
            <w:pPr>
              <w:spacing w:after="20"/>
            </w:pPr>
            <w:r>
              <w:rPr>
                <w:sz w:val="19"/>
                <w:szCs w:val="19"/>
              </w:rPr>
              <w:t xml:space="preserve">Will do (sign-off)</w:t>
            </w:r>
          </w:p>
        </w:tc>
        <w:tc>
          <w:tcPr>
            <w:tcW w:type="dxa" w:w="2640"/>
            <w:shd w:fill="FCE4D6" w:color="auto" w:val="clear"/>
            <w:tcMar>
              <w:top w:type="dxa" w:w="60"/>
              <w:left w:type="dxa" w:w="100"/>
              <w:bottom w:type="dxa" w:w="60"/>
              <w:right w:type="dxa" w:w="100"/>
            </w:tcMar>
          </w:tcPr>
          <w:p>
            <w:pPr>
              <w:spacing w:after="20"/>
            </w:pPr>
            <w:r>
              <w:rPr>
                <w:sz w:val="19"/>
                <w:szCs w:val="19"/>
              </w:rPr>
              <w:t xml:space="preserve">New approval step, no posting</w:t>
            </w:r>
          </w:p>
        </w:tc>
      </w:tr>
      <w:tr>
        <w:tc>
          <w:tcPr>
            <w:tcW w:type="dxa" w:w="520"/>
            <w:shd w:fill="FBE4E4" w:color="auto" w:val="clear"/>
            <w:tcMar>
              <w:top w:type="dxa" w:w="60"/>
              <w:left w:type="dxa" w:w="100"/>
              <w:bottom w:type="dxa" w:w="60"/>
              <w:right w:type="dxa" w:w="100"/>
            </w:tcMar>
          </w:tcPr>
          <w:p>
            <w:pPr>
              <w:spacing w:after="20"/>
            </w:pPr>
            <w:r>
              <w:rPr>
                <w:sz w:val="19"/>
                <w:szCs w:val="19"/>
              </w:rPr>
              <w:t xml:space="preserve">L6</w:t>
            </w:r>
          </w:p>
        </w:tc>
        <w:tc>
          <w:tcPr>
            <w:tcW w:type="dxa" w:w="4300"/>
            <w:shd w:fill="FBE4E4" w:color="auto" w:val="clear"/>
            <w:tcMar>
              <w:top w:type="dxa" w:w="60"/>
              <w:left w:type="dxa" w:w="100"/>
              <w:bottom w:type="dxa" w:w="60"/>
              <w:right w:type="dxa" w:w="100"/>
            </w:tcMar>
          </w:tcPr>
          <w:p>
            <w:pPr>
              <w:spacing w:after="20"/>
            </w:pPr>
            <w:r>
              <w:rPr>
                <w:sz w:val="19"/>
                <w:szCs w:val="19"/>
              </w:rPr>
              <w:t xml:space="preserve">CPC Finance – Generate credit notes &amp; post to customer account</w:t>
            </w:r>
          </w:p>
        </w:tc>
        <w:tc>
          <w:tcPr>
            <w:tcW w:type="dxa" w:w="1900"/>
            <w:shd w:fill="FBE4E4" w:color="auto" w:val="clear"/>
            <w:tcMar>
              <w:top w:type="dxa" w:w="60"/>
              <w:left w:type="dxa" w:w="100"/>
              <w:bottom w:type="dxa" w:w="60"/>
              <w:right w:type="dxa" w:w="100"/>
            </w:tcMar>
          </w:tcPr>
          <w:p>
            <w:pPr>
              <w:spacing w:after="20"/>
            </w:pPr>
            <w:r>
              <w:rPr>
                <w:sz w:val="19"/>
                <w:szCs w:val="19"/>
              </w:rPr>
              <w:t xml:space="preserve">Recommend standard SAP</w:t>
            </w:r>
          </w:p>
        </w:tc>
        <w:tc>
          <w:tcPr>
            <w:tcW w:type="dxa" w:w="2640"/>
            <w:shd w:fill="FBE4E4" w:color="auto" w:val="clear"/>
            <w:tcMar>
              <w:top w:type="dxa" w:w="60"/>
              <w:left w:type="dxa" w:w="100"/>
              <w:bottom w:type="dxa" w:w="60"/>
              <w:right w:type="dxa" w:w="100"/>
            </w:tcMar>
          </w:tcPr>
          <w:p>
            <w:pPr>
              <w:spacing w:after="20"/>
            </w:pPr>
            <w:r>
              <w:rPr>
                <w:sz w:val="19"/>
                <w:szCs w:val="19"/>
              </w:rPr>
              <w:t xml:space="preserve">Financial posting – use SAP billing</w:t>
            </w:r>
          </w:p>
        </w:tc>
      </w:tr>
      <w:tr>
        <w:tc>
          <w:tcPr>
            <w:tcW w:type="dxa" w:w="520"/>
            <w:shd w:fill="FBE4E4" w:color="auto" w:val="clear"/>
            <w:tcMar>
              <w:top w:type="dxa" w:w="60"/>
              <w:left w:type="dxa" w:w="100"/>
              <w:bottom w:type="dxa" w:w="60"/>
              <w:right w:type="dxa" w:w="100"/>
            </w:tcMar>
          </w:tcPr>
          <w:p>
            <w:pPr>
              <w:spacing w:after="20"/>
            </w:pPr>
            <w:r>
              <w:rPr>
                <w:sz w:val="19"/>
                <w:szCs w:val="19"/>
              </w:rPr>
              <w:t xml:space="preserve">–</w:t>
            </w:r>
          </w:p>
        </w:tc>
        <w:tc>
          <w:tcPr>
            <w:tcW w:type="dxa" w:w="4300"/>
            <w:shd w:fill="FBE4E4" w:color="auto" w:val="clear"/>
            <w:tcMar>
              <w:top w:type="dxa" w:w="60"/>
              <w:left w:type="dxa" w:w="100"/>
              <w:bottom w:type="dxa" w:w="60"/>
              <w:right w:type="dxa" w:w="100"/>
            </w:tcMar>
          </w:tcPr>
          <w:p>
            <w:pPr>
              <w:spacing w:after="20"/>
            </w:pPr>
            <w:r>
              <w:rPr>
                <w:sz w:val="19"/>
                <w:szCs w:val="19"/>
              </w:rPr>
              <w:t xml:space="preserve">Transfer to CS account based on renunciation letters (Part-3)</w:t>
            </w:r>
          </w:p>
        </w:tc>
        <w:tc>
          <w:tcPr>
            <w:tcW w:type="dxa" w:w="1900"/>
            <w:shd w:fill="FBE4E4" w:color="auto" w:val="clear"/>
            <w:tcMar>
              <w:top w:type="dxa" w:w="60"/>
              <w:left w:type="dxa" w:w="100"/>
              <w:bottom w:type="dxa" w:w="60"/>
              <w:right w:type="dxa" w:w="100"/>
            </w:tcMar>
          </w:tcPr>
          <w:p>
            <w:pPr>
              <w:spacing w:after="20"/>
            </w:pPr>
            <w:r>
              <w:rPr>
                <w:sz w:val="19"/>
                <w:szCs w:val="19"/>
              </w:rPr>
              <w:t xml:space="preserve">Recommend standard / manual</w:t>
            </w:r>
          </w:p>
        </w:tc>
        <w:tc>
          <w:tcPr>
            <w:tcW w:type="dxa" w:w="2640"/>
            <w:shd w:fill="FBE4E4" w:color="auto" w:val="clear"/>
            <w:tcMar>
              <w:top w:type="dxa" w:w="60"/>
              <w:left w:type="dxa" w:w="100"/>
              <w:bottom w:type="dxa" w:w="60"/>
              <w:right w:type="dxa" w:w="100"/>
            </w:tcMar>
          </w:tcPr>
          <w:p>
            <w:pPr>
              <w:spacing w:after="20"/>
            </w:pPr>
            <w:r>
              <w:rPr>
                <w:sz w:val="19"/>
                <w:szCs w:val="19"/>
              </w:rPr>
              <w:t xml:space="preserve">Legal-document driven</w:t>
            </w:r>
          </w:p>
        </w:tc>
      </w:tr>
    </w:tbl>
    <w:p>
      <w:r>
        <w:br w:type="page"/>
      </w:r>
    </w:p>
    <w:p>
      <w:pPr>
        <w:pStyle w:val="Heading1"/>
        <w:spacing w:after="120" w:before="240"/>
      </w:pPr>
      <w:r>
        <w:rPr>
          <w:b/>
          <w:bCs/>
          <w:color w:val="1F3864"/>
        </w:rPr>
        <w:t xml:space="preserve">3.  What we will implement</w:t>
      </w:r>
    </w:p>
    <w:p>
      <w:pPr>
        <w:spacing w:after="80"/>
      </w:pPr>
      <w:r>
        <w:rPr>
          <w:sz w:val="21"/>
          <w:szCs w:val="21"/>
        </w:rPr>
        <w:t xml:space="preserve">These points are straightforward and we will build them:</w:t>
      </w:r>
    </w:p>
    <w:p>
      <w:pPr>
        <w:pStyle w:val="ListParagraph"/>
        <w:numPr>
          <w:ilvl w:val="0"/>
          <w:numId w:val="2"/>
        </w:numPr>
        <w:spacing w:after="70"/>
      </w:pPr>
      <w:r>
        <w:rPr>
          <w:sz w:val="21"/>
          <w:szCs w:val="21"/>
        </w:rPr>
        <w:t xml:space="preserve">L4 (CPC Finance – Financial vetting) and L5 (CPC Head – Final approval) will be added as two more approval steps, exactly like the existing L2 and L3. Each records who approved and when, and routes the request forward or back on rejection, with e-mail alerts – but they do NOT create any accounting entry.</w:t>
      </w:r>
    </w:p>
    <w:p>
      <w:pPr>
        <w:pStyle w:val="ListParagraph"/>
        <w:numPr>
          <w:ilvl w:val="0"/>
          <w:numId w:val="2"/>
        </w:numPr>
        <w:spacing w:after="70"/>
      </w:pPr>
      <w:r>
        <w:rPr>
          <w:sz w:val="21"/>
          <w:szCs w:val="21"/>
        </w:rPr>
        <w:t xml:space="preserve">Rename “QAIS” to “CIS” on the L1 screen and labels.</w:t>
      </w:r>
    </w:p>
    <w:p>
      <w:pPr>
        <w:pStyle w:val="ListParagraph"/>
        <w:numPr>
          <w:ilvl w:val="0"/>
          <w:numId w:val="2"/>
        </w:numPr>
        <w:spacing w:after="70"/>
      </w:pPr>
      <w:r>
        <w:rPr>
          <w:sz w:val="21"/>
          <w:szCs w:val="21"/>
        </w:rPr>
        <w:t xml:space="preserve">Prevent duplicate e-mails at L1: once a line is forwarded to L2 it will clearly show “Already forwarded to L2” and will not send the e-mail again, so L1 always knows the current status.</w:t>
      </w:r>
    </w:p>
    <w:p>
      <w:pPr>
        <w:pStyle w:val="ListParagraph"/>
        <w:numPr>
          <w:ilvl w:val="0"/>
          <w:numId w:val="2"/>
        </w:numPr>
        <w:spacing w:after="70"/>
      </w:pPr>
      <w:r>
        <w:rPr>
          <w:sz w:val="21"/>
          <w:szCs w:val="21"/>
        </w:rPr>
        <w:t xml:space="preserve">Remove the duplicate amount and quantity columns in the approval table (housekeeping).</w:t>
      </w:r>
    </w:p>
    <w:p>
      <w:pPr>
        <w:pStyle w:val="ListParagraph"/>
        <w:numPr>
          <w:ilvl w:val="0"/>
          <w:numId w:val="2"/>
        </w:numPr>
        <w:spacing w:after="70"/>
      </w:pPr>
      <w:r>
        <w:rPr>
          <w:sz w:val="21"/>
          <w:szCs w:val="21"/>
        </w:rPr>
        <w:t xml:space="preserve">Already delivered earlier: the waiver month is shown (e.g. “Jun Waiver”), and the grade name now appears in the YRVG052 report.</w:t>
      </w:r>
    </w:p>
    <w:p>
      <w:pPr>
        <w:pStyle w:val="Heading1"/>
        <w:spacing w:after="120" w:before="240"/>
      </w:pPr>
      <w:r>
        <w:rPr>
          <w:b/>
          <w:bCs/>
          <w:color w:val="1F3864"/>
        </w:rPr>
        <w:t xml:space="preserve">4.  What we recommend be done through standard SAP (not custom code)</w:t>
      </w:r>
    </w:p>
    <w:p>
      <w:pPr>
        <w:spacing w:after="100"/>
      </w:pPr>
      <w:r>
        <w:rPr>
          <w:sz w:val="21"/>
          <w:szCs w:val="21"/>
        </w:rPr>
        <w:t xml:space="preserve">We recommend GAIL NOT build L6 (credit-note generation and posting to the customer account) or the renunciation-letter fund transfer inside this custom program. Instead, after L5 approval, the credit note and accounting should run through standard SAP billing. The reasons, in simple terms: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360"/>
      </w:tblGrid>
      <w:tr>
        <w:trPr>
          <w:tblHeader/>
        </w:trPr>
        <w:tc>
          <w:tcPr>
            <w:tcW w:type="dxa" w:w="3000"/>
            <w:shd w:fill="C00000" w:color="auto" w:val="clear"/>
            <w:tcMar>
              <w:top w:type="dxa" w:w="60"/>
              <w:left w:type="dxa" w:w="100"/>
              <w:bottom w:type="dxa" w:w="60"/>
              <w:right w:type="dxa" w:w="100"/>
            </w:tcMar>
          </w:tcPr>
          <w:p>
            <w:pPr>
              <w:spacing w:after="20"/>
            </w:pPr>
            <w:r>
              <w:rPr>
                <w:b/>
                <w:bCs/>
                <w:color w:val="FFFFFF"/>
                <w:sz w:val="19"/>
                <w:szCs w:val="19"/>
              </w:rPr>
              <w:t xml:space="preserve">In short</w:t>
            </w:r>
          </w:p>
        </w:tc>
        <w:tc>
          <w:tcPr>
            <w:tcW w:type="dxa" w:w="6360"/>
            <w:shd w:fill="C00000" w:color="auto" w:val="clear"/>
            <w:tcMar>
              <w:top w:type="dxa" w:w="60"/>
              <w:left w:type="dxa" w:w="100"/>
              <w:bottom w:type="dxa" w:w="60"/>
              <w:right w:type="dxa" w:w="100"/>
            </w:tcMar>
          </w:tcPr>
          <w:p>
            <w:pPr>
              <w:spacing w:after="20"/>
            </w:pPr>
            <w:r>
              <w:rPr>
                <w:b/>
                <w:bCs/>
                <w:color w:val="FFFFFF"/>
                <w:sz w:val="19"/>
                <w:szCs w:val="19"/>
              </w:rPr>
              <w:t xml:space="preserve">Why we recommend standard SAP</w:t>
            </w:r>
          </w:p>
        </w:tc>
      </w:tr>
      <w:tr>
        <w:tc>
          <w:tcPr>
            <w:tcW w:type="dxa" w:w="3000"/>
            <w:shd w:fill="FFFFFF" w:color="auto" w:val="clear"/>
            <w:tcMar>
              <w:top w:type="dxa" w:w="60"/>
              <w:left w:type="dxa" w:w="100"/>
              <w:bottom w:type="dxa" w:w="60"/>
              <w:right w:type="dxa" w:w="100"/>
            </w:tcMar>
          </w:tcPr>
          <w:p>
            <w:pPr>
              <w:spacing w:after="20"/>
            </w:pPr>
            <w:r>
              <w:rPr>
                <w:sz w:val="19"/>
                <w:szCs w:val="19"/>
              </w:rPr>
              <w:t xml:space="preserve">It is a financial &amp; statutory activity</w:t>
            </w:r>
          </w:p>
        </w:tc>
        <w:tc>
          <w:tcPr>
            <w:tcW w:type="dxa" w:w="6360"/>
            <w:shd w:fill="FFFFFF" w:color="auto" w:val="clear"/>
            <w:tcMar>
              <w:top w:type="dxa" w:w="60"/>
              <w:left w:type="dxa" w:w="100"/>
              <w:bottom w:type="dxa" w:w="60"/>
              <w:right w:type="dxa" w:w="100"/>
            </w:tcMar>
          </w:tcPr>
          <w:p>
            <w:pPr>
              <w:spacing w:after="20"/>
            </w:pPr>
            <w:r>
              <w:rPr>
                <w:sz w:val="19"/>
                <w:szCs w:val="19"/>
              </w:rPr>
              <w:t xml:space="preserve">Creating a credit note and posting to the customer account involves GST/tax, accounting rules and statutory audit. Standard SAP billing handles tax and accounting correctly and is auditable. Custom code would bypass these controls and create tax / audit / reconciliation risk.</w:t>
            </w:r>
          </w:p>
        </w:tc>
      </w:tr>
      <w:tr>
        <w:tc>
          <w:tcPr>
            <w:tcW w:type="dxa" w:w="3000"/>
            <w:shd w:fill="F2F2F2" w:color="auto" w:val="clear"/>
            <w:tcMar>
              <w:top w:type="dxa" w:w="60"/>
              <w:left w:type="dxa" w:w="100"/>
              <w:bottom w:type="dxa" w:w="60"/>
              <w:right w:type="dxa" w:w="100"/>
            </w:tcMar>
          </w:tcPr>
          <w:p>
            <w:pPr>
              <w:spacing w:after="20"/>
            </w:pPr>
            <w:r>
              <w:rPr>
                <w:sz w:val="19"/>
                <w:szCs w:val="19"/>
              </w:rPr>
              <w:t xml:space="preserve">Standard SAP already does this</w:t>
            </w:r>
          </w:p>
        </w:tc>
        <w:tc>
          <w:tcPr>
            <w:tcW w:type="dxa" w:w="6360"/>
            <w:shd w:fill="F2F2F2" w:color="auto" w:val="clear"/>
            <w:tcMar>
              <w:top w:type="dxa" w:w="60"/>
              <w:left w:type="dxa" w:w="100"/>
              <w:bottom w:type="dxa" w:w="60"/>
              <w:right w:type="dxa" w:w="100"/>
            </w:tcMar>
          </w:tcPr>
          <w:p>
            <w:pPr>
              <w:spacing w:after="20"/>
            </w:pPr>
            <w:r>
              <w:rPr>
                <w:sz w:val="19"/>
                <w:szCs w:val="19"/>
              </w:rPr>
              <w:t xml:space="preserve">SAP already provides approvals, credit-note (credit memo) creation and accounting posting as tested, delivered features. Rebuilding them in custom code costs more, is more error-prone, and can break during SAP upgrades and support packs.</w:t>
            </w:r>
          </w:p>
        </w:tc>
      </w:tr>
      <w:tr>
        <w:tc>
          <w:tcPr>
            <w:tcW w:type="dxa" w:w="3000"/>
            <w:shd w:fill="FFFFFF" w:color="auto" w:val="clear"/>
            <w:tcMar>
              <w:top w:type="dxa" w:w="60"/>
              <w:left w:type="dxa" w:w="100"/>
              <w:bottom w:type="dxa" w:w="60"/>
              <w:right w:type="dxa" w:w="100"/>
            </w:tcMar>
          </w:tcPr>
          <w:p>
            <w:pPr>
              <w:spacing w:after="20"/>
            </w:pPr>
            <w:r>
              <w:rPr>
                <w:sz w:val="19"/>
                <w:szCs w:val="19"/>
              </w:rPr>
              <w:t xml:space="preserve">Money movement should not sit behind custom code</w:t>
            </w:r>
          </w:p>
        </w:tc>
        <w:tc>
          <w:tcPr>
            <w:tcW w:type="dxa" w:w="6360"/>
            <w:shd w:fill="FFFFFF" w:color="auto" w:val="clear"/>
            <w:tcMar>
              <w:top w:type="dxa" w:w="60"/>
              <w:left w:type="dxa" w:w="100"/>
              <w:bottom w:type="dxa" w:w="60"/>
              <w:right w:type="dxa" w:w="100"/>
            </w:tcMar>
          </w:tcPr>
          <w:p>
            <w:pPr>
              <w:spacing w:after="20"/>
            </w:pPr>
            <w:r>
              <w:rPr>
                <w:sz w:val="19"/>
                <w:szCs w:val="19"/>
              </w:rPr>
              <w:t xml:space="preserve">The rebate order is already created at L3. Turning the actual credit note and money posting into custom code means any programming error would directly affect customer payments and statutory books. Standard SAP does this safely.</w:t>
            </w:r>
          </w:p>
        </w:tc>
      </w:tr>
      <w:tr>
        <w:tc>
          <w:tcPr>
            <w:tcW w:type="dxa" w:w="3000"/>
            <w:shd w:fill="F2F2F2" w:color="auto" w:val="clear"/>
            <w:tcMar>
              <w:top w:type="dxa" w:w="60"/>
              <w:left w:type="dxa" w:w="100"/>
              <w:bottom w:type="dxa" w:w="60"/>
              <w:right w:type="dxa" w:w="100"/>
            </w:tcMar>
          </w:tcPr>
          <w:p>
            <w:pPr>
              <w:spacing w:after="20"/>
            </w:pPr>
            <w:r>
              <w:rPr>
                <w:sz w:val="19"/>
                <w:szCs w:val="19"/>
              </w:rPr>
              <w:t xml:space="preserve">Financial approval needs financial controls</w:t>
            </w:r>
          </w:p>
        </w:tc>
        <w:tc>
          <w:tcPr>
            <w:tcW w:type="dxa" w:w="6360"/>
            <w:shd w:fill="F2F2F2" w:color="auto" w:val="clear"/>
            <w:tcMar>
              <w:top w:type="dxa" w:w="60"/>
              <w:left w:type="dxa" w:w="100"/>
              <w:bottom w:type="dxa" w:w="60"/>
              <w:right w:type="dxa" w:w="100"/>
            </w:tcMar>
          </w:tcPr>
          <w:p>
            <w:pPr>
              <w:spacing w:after="20"/>
            </w:pPr>
            <w:r>
              <w:rPr>
                <w:sz w:val="19"/>
                <w:szCs w:val="19"/>
              </w:rPr>
              <w:t xml:space="preserve">Approval of financial amounts should use SAP’s finance approval controls (amount-based release, proper authorisations, finance integration). The marketing approval tool does not have these controls – which is why L4 / L5 are kept as sign-off only.</w:t>
            </w:r>
          </w:p>
        </w:tc>
      </w:tr>
      <w:tr>
        <w:tc>
          <w:tcPr>
            <w:tcW w:type="dxa" w:w="3000"/>
            <w:shd w:fill="FFFFFF" w:color="auto" w:val="clear"/>
            <w:tcMar>
              <w:top w:type="dxa" w:w="60"/>
              <w:left w:type="dxa" w:w="100"/>
              <w:bottom w:type="dxa" w:w="60"/>
              <w:right w:type="dxa" w:w="100"/>
            </w:tcMar>
          </w:tcPr>
          <w:p>
            <w:pPr>
              <w:spacing w:after="20"/>
            </w:pPr>
            <w:r>
              <w:rPr>
                <w:sz w:val="19"/>
                <w:szCs w:val="19"/>
              </w:rPr>
              <w:t xml:space="preserve">More levels = more risk to run</w:t>
            </w:r>
          </w:p>
        </w:tc>
        <w:tc>
          <w:tcPr>
            <w:tcW w:type="dxa" w:w="6360"/>
            <w:shd w:fill="FFFFFF" w:color="auto" w:val="clear"/>
            <w:tcMar>
              <w:top w:type="dxa" w:w="60"/>
              <w:left w:type="dxa" w:w="100"/>
              <w:bottom w:type="dxa" w:w="60"/>
              <w:right w:type="dxa" w:w="100"/>
            </w:tcMar>
          </w:tcPr>
          <w:p>
            <w:pPr>
              <w:spacing w:after="20"/>
            </w:pPr>
            <w:r>
              <w:rPr>
                <w:sz w:val="19"/>
                <w:szCs w:val="19"/>
              </w:rPr>
              <w:t xml:space="preserve">Even at 3 levels we saw duplicate e-mails and status confusion. Every extra custom level multiplies the status handling, visibility rules and e-mail routing, making the whole chain harder and costlier to maintain and test for every future scheme change.</w:t>
            </w:r>
          </w:p>
        </w:tc>
      </w:tr>
      <w:tr>
        <w:tc>
          <w:tcPr>
            <w:tcW w:type="dxa" w:w="3000"/>
            <w:shd w:fill="F2F2F2" w:color="auto" w:val="clear"/>
            <w:tcMar>
              <w:top w:type="dxa" w:w="60"/>
              <w:left w:type="dxa" w:w="100"/>
              <w:bottom w:type="dxa" w:w="60"/>
              <w:right w:type="dxa" w:w="100"/>
            </w:tcMar>
          </w:tcPr>
          <w:p>
            <w:pPr>
              <w:spacing w:after="20"/>
            </w:pPr>
            <w:r>
              <w:rPr>
                <w:sz w:val="19"/>
                <w:szCs w:val="19"/>
              </w:rPr>
              <w:t xml:space="preserve">Renunciation-letter transfer is legal / manual</w:t>
            </w:r>
          </w:p>
        </w:tc>
        <w:tc>
          <w:tcPr>
            <w:tcW w:type="dxa" w:w="6360"/>
            <w:shd w:fill="F2F2F2" w:color="auto" w:val="clear"/>
            <w:tcMar>
              <w:top w:type="dxa" w:w="60"/>
              <w:left w:type="dxa" w:w="100"/>
              <w:bottom w:type="dxa" w:w="60"/>
              <w:right w:type="dxa" w:w="100"/>
            </w:tcMar>
          </w:tcPr>
          <w:p>
            <w:pPr>
              <w:spacing w:after="20"/>
            </w:pPr>
            <w:r>
              <w:rPr>
                <w:sz w:val="19"/>
                <w:szCs w:val="19"/>
              </w:rPr>
              <w:t xml:space="preserve">Transferring funds to a CS account based on renunciation letters depends on legal verification of documents. This is a manual / legal process and should not be automated inside a discount program.</w:t>
            </w:r>
          </w:p>
        </w:tc>
      </w:tr>
    </w:tbl>
    <w:p>
      <w:pPr>
        <w:pStyle w:val="Heading1"/>
        <w:spacing w:after="120" w:before="240"/>
      </w:pPr>
      <w:r>
        <w:rPr>
          <w:b/>
          <w:bCs/>
          <w:color w:val="1F3864"/>
        </w:rPr>
        <w:t xml:space="preserve">5.  Recommended workflow</w:t>
      </w:r>
    </w:p>
    <w:p>
      <w:pPr>
        <w:spacing w:after="100"/>
      </w:pPr>
      <w:r>
        <w:rPr>
          <w:sz w:val="21"/>
          <w:szCs w:val="21"/>
        </w:rPr>
        <w:t xml:space="preserve">Our recommended target flow keeps the approvals in the custom workflow and the financial posting in standard SAP:</w:t>
      </w:r>
    </w:p>
    <w:p>
      <w:pPr>
        <w:spacing w:after="120"/>
        <w:jc w:val="center"/>
      </w:pPr>
      <w:r>
        <w:rPr>
          <w:b/>
          <w:bCs/>
          <w:color w:val="1F3864"/>
          <w:sz w:val="22"/>
          <w:szCs w:val="22"/>
        </w:rPr>
        <w:t xml:space="preserve">L1 Verify  →  L2 Verify  →  L3 Create rebate order  →  L4 Finance vetting (sign-off)  →  L5 CPC Head approval (sign-off)</w:t>
      </w:r>
    </w:p>
    <w:p>
      <w:pPr>
        <w:spacing w:after="160"/>
        <w:jc w:val="center"/>
      </w:pPr>
      <w:r>
        <w:rPr>
          <w:b/>
          <w:bCs/>
          <w:color w:val="2E5496"/>
          <w:sz w:val="24"/>
          <w:szCs w:val="24"/>
        </w:rPr>
        <w:t xml:space="preserve">↓</w:t>
      </w:r>
    </w:p>
    <w:p>
      <w:pPr>
        <w:spacing w:after="160"/>
        <w:jc w:val="center"/>
      </w:pPr>
      <w:r>
        <w:rPr>
          <w:b/>
          <w:bCs/>
          <w:color w:val="C00000"/>
          <w:sz w:val="22"/>
          <w:szCs w:val="22"/>
        </w:rPr>
        <w:t xml:space="preserve">Credit note + posting to customer account  –  through STANDARD SAP (billing &amp; finance)</w:t>
      </w:r>
    </w:p>
    <w:p>
      <w:pPr>
        <w:spacing w:after="100"/>
      </w:pPr>
      <w:r>
        <w:rPr>
          <w:i/>
          <w:iCs/>
          <w:color w:val="595959"/>
          <w:sz w:val="21"/>
          <w:szCs w:val="21"/>
        </w:rPr>
        <w:t xml:space="preserve">This gives GAIL the full L1–L5 verification and approval trail that the proposal asks for, while the actual disbursement stays inside standard, audited SAP.</w:t>
      </w:r>
    </w:p>
    <w:p>
      <w:pPr>
        <w:pStyle w:val="Heading1"/>
        <w:spacing w:after="120" w:before="240"/>
      </w:pPr>
      <w:r>
        <w:rPr>
          <w:b/>
          <w:bCs/>
          <w:color w:val="1F3864"/>
        </w:rPr>
        <w:t xml:space="preserve">6.  Summary recommendation</w:t>
      </w:r>
    </w:p>
    <w:p>
      <w:pPr>
        <w:pStyle w:val="ListParagraph"/>
        <w:numPr>
          <w:ilvl w:val="0"/>
          <w:numId w:val="2"/>
        </w:numPr>
        <w:spacing w:after="70"/>
      </w:pPr>
      <w:r>
        <w:rPr>
          <w:b w:val="false"/>
          <w:bCs w:val="false"/>
          <w:sz w:val="21"/>
          <w:szCs w:val="21"/>
        </w:rPr>
        <w:t xml:space="preserve">Accept: L4 and L5 as approval / sign-off steps, plus the small screen and housekeeping changes.</w:t>
      </w:r>
    </w:p>
    <w:p>
      <w:pPr>
        <w:pStyle w:val="ListParagraph"/>
        <w:numPr>
          <w:ilvl w:val="0"/>
          <w:numId w:val="2"/>
        </w:numPr>
        <w:spacing w:after="70"/>
      </w:pPr>
      <w:r>
        <w:rPr>
          <w:b w:val="false"/>
          <w:bCs w:val="false"/>
          <w:sz w:val="21"/>
          <w:szCs w:val="21"/>
        </w:rPr>
        <w:t xml:space="preserve">Do NOT build L6 (credit note generation &amp; posting) or the renunciation-letter transfer in custom code – use standard SAP billing and finance instead.</w:t>
      </w:r>
    </w:p>
    <w:p>
      <w:pPr>
        <w:pStyle w:val="ListParagraph"/>
        <w:numPr>
          <w:ilvl w:val="0"/>
          <w:numId w:val="2"/>
        </w:numPr>
        <w:spacing w:after="70"/>
      </w:pPr>
      <w:r>
        <w:rPr>
          <w:b w:val="false"/>
          <w:bCs w:val="false"/>
          <w:sz w:val="21"/>
          <w:szCs w:val="21"/>
        </w:rPr>
        <w:t xml:space="preserve">This keeps the solution reliable, compliant, auditable and easy to support.</w:t>
      </w:r>
    </w:p>
    <w:p>
      <w:pPr>
        <w:pBdr>
          <w:bottom w:val="single" w:color="2E5496" w:sz="8" w:space="1"/>
        </w:pBdr>
        <w:spacing w:after="120" w:before="60"/>
      </w:pPr>
    </w:p>
    <w:p>
      <w:pPr>
        <w:spacing w:after="0"/>
      </w:pPr>
      <w:r>
        <w:rPr>
          <w:i/>
          <w:iCs/>
          <w:color w:val="595959"/>
          <w:sz w:val="21"/>
          <w:szCs w:val="21"/>
        </w:rPr>
        <w:t xml:space="preserve">We will be glad to walk GAIL’s marketing and finance teams through this recommendation and finalise the L4 / L5 design and the standard-SAP disbursement step.</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Centralized PSD Discount Processing at CPC – Response &amp;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2E5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2026-08-17T02:47:18.597Z</dcterms:created>
  <dcterms:modified xsi:type="dcterms:W3CDTF">2026-08-17T02:47:18.614Z</dcterms:modified>
</cp:coreProperties>
</file>

<file path=docProps/custom.xml><?xml version="1.0" encoding="utf-8"?>
<Properties xmlns="http://schemas.openxmlformats.org/officeDocument/2006/custom-properties" xmlns:vt="http://schemas.openxmlformats.org/officeDocument/2006/docPropsVTypes"/>
</file>