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0844EC" w14:textId="77777777" w:rsidR="006029BC" w:rsidRDefault="00170EB5">
      <w:pPr>
        <w:spacing w:after="40"/>
      </w:pPr>
      <w:r>
        <w:rPr>
          <w:b/>
          <w:color w:val="1F3A5F"/>
          <w:sz w:val="28"/>
        </w:rPr>
        <w:t>GeM Vendor Auto-Creation – Inputs Required</w:t>
      </w:r>
    </w:p>
    <w:p w14:paraId="4548ED72" w14:textId="77777777" w:rsidR="006029BC" w:rsidRDefault="00170EB5">
      <w:pPr>
        <w:spacing w:after="160"/>
      </w:pPr>
      <w:r>
        <w:rPr>
          <w:color w:val="555555"/>
        </w:rPr>
        <w:t>Program ZGEM_CREATE_VENDOR (S/4HANA, Business Partner via CVI). Vendor creation currently fails on the items below. Please provide the values / confirm the settings.</w:t>
      </w:r>
    </w:p>
    <w:p w14:paraId="19CA14D8" w14:textId="77777777" w:rsidR="006029BC" w:rsidRDefault="00170EB5">
      <w:pPr>
        <w:spacing w:before="120" w:after="60"/>
      </w:pPr>
      <w:r>
        <w:rPr>
          <w:b/>
          <w:color w:val="1F3A5F"/>
          <w:sz w:val="21"/>
        </w:rPr>
        <w:t>A.  Values needed to update the program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3312"/>
        <w:gridCol w:w="5040"/>
        <w:gridCol w:w="1728"/>
      </w:tblGrid>
      <w:tr w:rsidR="006029BC" w14:paraId="2A05A75B" w14:textId="77777777">
        <w:tc>
          <w:tcPr>
            <w:tcW w:w="432" w:type="dxa"/>
            <w:shd w:val="clear" w:color="auto" w:fill="1F3A5F"/>
          </w:tcPr>
          <w:p w14:paraId="788E618E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312" w:type="dxa"/>
            <w:shd w:val="clear" w:color="auto" w:fill="1F3A5F"/>
          </w:tcPr>
          <w:p w14:paraId="0941828B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What we need</w:t>
            </w:r>
          </w:p>
        </w:tc>
        <w:tc>
          <w:tcPr>
            <w:tcW w:w="5040" w:type="dxa"/>
            <w:shd w:val="clear" w:color="auto" w:fill="1F3A5F"/>
          </w:tcPr>
          <w:p w14:paraId="3139CF03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Why / current error</w:t>
            </w:r>
          </w:p>
        </w:tc>
        <w:tc>
          <w:tcPr>
            <w:tcW w:w="1728" w:type="dxa"/>
            <w:shd w:val="clear" w:color="auto" w:fill="1F3A5F"/>
          </w:tcPr>
          <w:p w14:paraId="11C768A1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Your input</w:t>
            </w:r>
          </w:p>
        </w:tc>
      </w:tr>
      <w:tr w:rsidR="006029BC" w14:paraId="18B07674" w14:textId="77777777">
        <w:tc>
          <w:tcPr>
            <w:tcW w:w="432" w:type="dxa"/>
          </w:tcPr>
          <w:p w14:paraId="35F210BF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</w:tcPr>
          <w:p w14:paraId="22793C31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Reconciliation G/L account (AKONT) for GeM vendors in company code OVL</w:t>
            </w:r>
          </w:p>
        </w:tc>
        <w:tc>
          <w:tcPr>
            <w:tcW w:w="5040" w:type="dxa"/>
          </w:tcPr>
          <w:p w14:paraId="2006DE3F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Program uses 190101 – fails: "G/L account 190101 does not exist in company code OVL". Confirm it is created in OVL (SKB1).</w:t>
            </w:r>
          </w:p>
        </w:tc>
        <w:tc>
          <w:tcPr>
            <w:tcW w:w="1728" w:type="dxa"/>
          </w:tcPr>
          <w:p w14:paraId="4288E470" w14:textId="77777777" w:rsidR="006029BC" w:rsidRDefault="00A51621">
            <w:pPr>
              <w:spacing w:before="20" w:after="20"/>
            </w:pPr>
            <w:r>
              <w:rPr>
                <w:sz w:val="17"/>
              </w:rPr>
              <w:t>190101 (Exist in OVL)</w:t>
            </w:r>
          </w:p>
        </w:tc>
      </w:tr>
      <w:tr w:rsidR="006029BC" w14:paraId="5E209114" w14:textId="77777777">
        <w:tc>
          <w:tcPr>
            <w:tcW w:w="432" w:type="dxa"/>
          </w:tcPr>
          <w:p w14:paraId="44BD0AD8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2355DDF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Type of Industry value (field J_1KFTIND)</w:t>
            </w:r>
          </w:p>
        </w:tc>
        <w:tc>
          <w:tcPr>
            <w:tcW w:w="5040" w:type="dxa"/>
          </w:tcPr>
          <w:p w14:paraId="3031B409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Fails: "Type of Industry J_1KFTIND is not filled" – mandatory for GeM vendors.</w:t>
            </w:r>
          </w:p>
        </w:tc>
        <w:tc>
          <w:tcPr>
            <w:tcW w:w="1728" w:type="dxa"/>
          </w:tcPr>
          <w:p w14:paraId="7DD48C8A" w14:textId="77777777" w:rsidR="006029BC" w:rsidRDefault="002947A7">
            <w:pPr>
              <w:spacing w:before="20" w:after="20"/>
            </w:pPr>
            <w:r>
              <w:t>Blank</w:t>
            </w:r>
            <w:r w:rsidR="00170EB5">
              <w:t xml:space="preserve"> used till now</w:t>
            </w:r>
          </w:p>
        </w:tc>
      </w:tr>
      <w:tr w:rsidR="001C4A0B" w14:paraId="64C43CE3" w14:textId="77777777">
        <w:tc>
          <w:tcPr>
            <w:tcW w:w="432" w:type="dxa"/>
          </w:tcPr>
          <w:p w14:paraId="1FE48DA4" w14:textId="77777777" w:rsidR="001C4A0B" w:rsidRDefault="001C4A0B">
            <w:pPr>
              <w:spacing w:before="20" w:after="20"/>
              <w:rPr>
                <w:sz w:val="17"/>
              </w:rPr>
            </w:pPr>
          </w:p>
        </w:tc>
        <w:tc>
          <w:tcPr>
            <w:tcW w:w="3312" w:type="dxa"/>
          </w:tcPr>
          <w:p w14:paraId="1E1A806E" w14:textId="77777777" w:rsidR="001C4A0B" w:rsidRDefault="001C4A0B">
            <w:pPr>
              <w:spacing w:before="20" w:after="20"/>
              <w:rPr>
                <w:sz w:val="17"/>
              </w:rPr>
            </w:pPr>
          </w:p>
        </w:tc>
        <w:tc>
          <w:tcPr>
            <w:tcW w:w="5040" w:type="dxa"/>
          </w:tcPr>
          <w:p w14:paraId="79BDCA1C" w14:textId="77777777" w:rsidR="001C4A0B" w:rsidRDefault="001C4A0B">
            <w:pPr>
              <w:spacing w:before="20" w:after="20"/>
              <w:rPr>
                <w:sz w:val="17"/>
              </w:rPr>
            </w:pPr>
          </w:p>
        </w:tc>
        <w:tc>
          <w:tcPr>
            <w:tcW w:w="1728" w:type="dxa"/>
          </w:tcPr>
          <w:p w14:paraId="00FF7F53" w14:textId="77777777" w:rsidR="001C4A0B" w:rsidRDefault="001C4A0B">
            <w:pPr>
              <w:spacing w:before="20" w:after="20"/>
            </w:pPr>
          </w:p>
        </w:tc>
      </w:tr>
    </w:tbl>
    <w:p w14:paraId="226A8B5A" w14:textId="77777777" w:rsidR="006029BC" w:rsidRDefault="00170EB5">
      <w:pPr>
        <w:spacing w:before="120" w:after="60"/>
      </w:pPr>
      <w:r>
        <w:rPr>
          <w:b/>
          <w:color w:val="1F3A5F"/>
          <w:sz w:val="21"/>
        </w:rPr>
        <w:t>B.  Configuration to be set by Functional / Basis (no code change possible)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3168"/>
        <w:gridCol w:w="4752"/>
        <w:gridCol w:w="2160"/>
      </w:tblGrid>
      <w:tr w:rsidR="006029BC" w14:paraId="300CA558" w14:textId="77777777">
        <w:tc>
          <w:tcPr>
            <w:tcW w:w="432" w:type="dxa"/>
            <w:shd w:val="clear" w:color="auto" w:fill="1F3A5F"/>
          </w:tcPr>
          <w:p w14:paraId="6C70C26D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68" w:type="dxa"/>
            <w:shd w:val="clear" w:color="auto" w:fill="1F3A5F"/>
          </w:tcPr>
          <w:p w14:paraId="3CDFBB6C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w="4752" w:type="dxa"/>
            <w:shd w:val="clear" w:color="auto" w:fill="1F3A5F"/>
          </w:tcPr>
          <w:p w14:paraId="6E25E065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w="2160" w:type="dxa"/>
            <w:shd w:val="clear" w:color="auto" w:fill="1F3A5F"/>
          </w:tcPr>
          <w:p w14:paraId="3E1E6B71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6029BC" w14:paraId="760B3A06" w14:textId="77777777">
        <w:tc>
          <w:tcPr>
            <w:tcW w:w="432" w:type="dxa"/>
          </w:tcPr>
          <w:p w14:paraId="702FEBE5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3168" w:type="dxa"/>
          </w:tcPr>
          <w:p w14:paraId="7979A29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CVI "Same Number" for direction BP → Vendor, grouping GEMV</w:t>
            </w:r>
          </w:p>
        </w:tc>
        <w:tc>
          <w:tcPr>
            <w:tcW w:w="4752" w:type="dxa"/>
          </w:tcPr>
          <w:p w14:paraId="4A5FFC3C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SPRO → Master Data Synchronization → CVI → Business Partner Settings → Settings for Vendor Integration → Field Assignment → Number Assignment → Define Number Assignment for Direction BP to Vendor</w:t>
            </w:r>
          </w:p>
        </w:tc>
        <w:tc>
          <w:tcPr>
            <w:tcW w:w="2160" w:type="dxa"/>
          </w:tcPr>
          <w:p w14:paraId="5F5C613D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Tick "Same Number" for GEMV (fixes "Enter the external supplier number")</w:t>
            </w:r>
          </w:p>
        </w:tc>
      </w:tr>
      <w:tr w:rsidR="006029BC" w14:paraId="55307E6C" w14:textId="77777777">
        <w:tc>
          <w:tcPr>
            <w:tcW w:w="432" w:type="dxa"/>
          </w:tcPr>
          <w:p w14:paraId="27BDE25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3168" w:type="dxa"/>
          </w:tcPr>
          <w:p w14:paraId="3AA17F5F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BP number range 21 (grouping GEMV) must be INTERNAL</w:t>
            </w:r>
          </w:p>
        </w:tc>
        <w:tc>
          <w:tcPr>
            <w:tcW w:w="4752" w:type="dxa"/>
          </w:tcPr>
          <w:p w14:paraId="60A02FD5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BUCF (Number Ranges &amp; Groupings for Business Partner)</w:t>
            </w:r>
          </w:p>
        </w:tc>
        <w:tc>
          <w:tcPr>
            <w:tcW w:w="2160" w:type="dxa"/>
          </w:tcPr>
          <w:p w14:paraId="7C57F3CA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Confirm range 21 is internal so the BP gets a number that CVI copies to the vendor</w:t>
            </w:r>
          </w:p>
        </w:tc>
      </w:tr>
    </w:tbl>
    <w:p w14:paraId="406EE09B" w14:textId="77777777" w:rsidR="006029BC" w:rsidRDefault="00170EB5">
      <w:pPr>
        <w:spacing w:before="120" w:after="60"/>
      </w:pPr>
      <w:r>
        <w:rPr>
          <w:b/>
          <w:color w:val="1F3A5F"/>
          <w:sz w:val="21"/>
        </w:rPr>
        <w:t>C.  Please confirm these values (carried over from ONGC/OVL) are correct for this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512"/>
        <w:gridCol w:w="1656"/>
        <w:gridCol w:w="1944"/>
        <w:gridCol w:w="1512"/>
        <w:gridCol w:w="1656"/>
      </w:tblGrid>
      <w:tr w:rsidR="006029BC" w14:paraId="0C62EE58" w14:textId="77777777">
        <w:tc>
          <w:tcPr>
            <w:tcW w:w="1944" w:type="dxa"/>
            <w:shd w:val="clear" w:color="auto" w:fill="1F3A5F"/>
          </w:tcPr>
          <w:p w14:paraId="78AB7F4F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512" w:type="dxa"/>
            <w:shd w:val="clear" w:color="auto" w:fill="1F3A5F"/>
          </w:tcPr>
          <w:p w14:paraId="663FF434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Current value</w:t>
            </w:r>
          </w:p>
        </w:tc>
        <w:tc>
          <w:tcPr>
            <w:tcW w:w="1656" w:type="dxa"/>
            <w:shd w:val="clear" w:color="auto" w:fill="1F3A5F"/>
          </w:tcPr>
          <w:p w14:paraId="3E886E7E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OK? / Correct value</w:t>
            </w:r>
          </w:p>
        </w:tc>
        <w:tc>
          <w:tcPr>
            <w:tcW w:w="1944" w:type="dxa"/>
            <w:shd w:val="clear" w:color="auto" w:fill="1F3A5F"/>
          </w:tcPr>
          <w:p w14:paraId="1303BE6E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512" w:type="dxa"/>
            <w:shd w:val="clear" w:color="auto" w:fill="1F3A5F"/>
          </w:tcPr>
          <w:p w14:paraId="11AD2F98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Current value</w:t>
            </w:r>
          </w:p>
        </w:tc>
        <w:tc>
          <w:tcPr>
            <w:tcW w:w="1656" w:type="dxa"/>
            <w:shd w:val="clear" w:color="auto" w:fill="1F3A5F"/>
          </w:tcPr>
          <w:p w14:paraId="3C07A573" w14:textId="77777777" w:rsidR="006029BC" w:rsidRDefault="00170EB5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OK? / Correct value</w:t>
            </w:r>
          </w:p>
        </w:tc>
      </w:tr>
      <w:tr w:rsidR="006029BC" w14:paraId="0A439F49" w14:textId="77777777">
        <w:tc>
          <w:tcPr>
            <w:tcW w:w="1944" w:type="dxa"/>
          </w:tcPr>
          <w:p w14:paraId="4A5E56F9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Company code (BUKRS)</w:t>
            </w:r>
          </w:p>
        </w:tc>
        <w:tc>
          <w:tcPr>
            <w:tcW w:w="1512" w:type="dxa"/>
          </w:tcPr>
          <w:p w14:paraId="203B605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OVL</w:t>
            </w:r>
          </w:p>
        </w:tc>
        <w:tc>
          <w:tcPr>
            <w:tcW w:w="1656" w:type="dxa"/>
          </w:tcPr>
          <w:p w14:paraId="20EC4AFE" w14:textId="77777777" w:rsidR="006029BC" w:rsidRDefault="00A51621">
            <w:pPr>
              <w:spacing w:before="20" w:after="20"/>
            </w:pPr>
            <w:r>
              <w:t>OK</w:t>
            </w:r>
          </w:p>
        </w:tc>
        <w:tc>
          <w:tcPr>
            <w:tcW w:w="1944" w:type="dxa"/>
          </w:tcPr>
          <w:p w14:paraId="2405B423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Payment method (ZWELS)</w:t>
            </w:r>
          </w:p>
        </w:tc>
        <w:tc>
          <w:tcPr>
            <w:tcW w:w="1512" w:type="dxa"/>
          </w:tcPr>
          <w:p w14:paraId="09DC6F98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9 SBI / 8 other</w:t>
            </w:r>
          </w:p>
        </w:tc>
        <w:tc>
          <w:tcPr>
            <w:tcW w:w="1656" w:type="dxa"/>
          </w:tcPr>
          <w:p w14:paraId="68B1DBA1" w14:textId="77777777" w:rsidR="006029BC" w:rsidRDefault="00A51621">
            <w:pPr>
              <w:spacing w:before="20" w:after="20"/>
            </w:pPr>
            <w:r>
              <w:t>OK</w:t>
            </w:r>
          </w:p>
        </w:tc>
      </w:tr>
      <w:tr w:rsidR="006029BC" w14:paraId="0FCF27B7" w14:textId="77777777">
        <w:tc>
          <w:tcPr>
            <w:tcW w:w="1944" w:type="dxa"/>
          </w:tcPr>
          <w:p w14:paraId="5F42674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Recon account (AKONT)</w:t>
            </w:r>
          </w:p>
        </w:tc>
        <w:tc>
          <w:tcPr>
            <w:tcW w:w="1512" w:type="dxa"/>
          </w:tcPr>
          <w:p w14:paraId="118195C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190101 (see #1)</w:t>
            </w:r>
          </w:p>
        </w:tc>
        <w:tc>
          <w:tcPr>
            <w:tcW w:w="1656" w:type="dxa"/>
          </w:tcPr>
          <w:p w14:paraId="335C55A7" w14:textId="77777777" w:rsidR="006029BC" w:rsidRDefault="00A51621">
            <w:pPr>
              <w:spacing w:before="20" w:after="20"/>
            </w:pPr>
            <w:r>
              <w:t>Ok</w:t>
            </w:r>
          </w:p>
        </w:tc>
        <w:tc>
          <w:tcPr>
            <w:tcW w:w="1944" w:type="dxa"/>
          </w:tcPr>
          <w:p w14:paraId="784EB763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Withholding tax type</w:t>
            </w:r>
          </w:p>
        </w:tc>
        <w:tc>
          <w:tcPr>
            <w:tcW w:w="1512" w:type="dxa"/>
          </w:tcPr>
          <w:p w14:paraId="7EDE5B5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I0</w:t>
            </w:r>
          </w:p>
        </w:tc>
        <w:tc>
          <w:tcPr>
            <w:tcW w:w="1656" w:type="dxa"/>
          </w:tcPr>
          <w:p w14:paraId="33639EC8" w14:textId="77777777" w:rsidR="006029BC" w:rsidRDefault="00A51621">
            <w:pPr>
              <w:spacing w:before="20" w:after="20"/>
            </w:pPr>
            <w:r>
              <w:t>Ok</w:t>
            </w:r>
          </w:p>
        </w:tc>
      </w:tr>
      <w:tr w:rsidR="006029BC" w14:paraId="0127B221" w14:textId="77777777">
        <w:tc>
          <w:tcPr>
            <w:tcW w:w="1944" w:type="dxa"/>
          </w:tcPr>
          <w:p w14:paraId="19334EC8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Sort key (ZUAWA)</w:t>
            </w:r>
          </w:p>
        </w:tc>
        <w:tc>
          <w:tcPr>
            <w:tcW w:w="1512" w:type="dxa"/>
          </w:tcPr>
          <w:p w14:paraId="60620414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000</w:t>
            </w:r>
          </w:p>
        </w:tc>
        <w:tc>
          <w:tcPr>
            <w:tcW w:w="1656" w:type="dxa"/>
          </w:tcPr>
          <w:p w14:paraId="2B4360AA" w14:textId="77777777" w:rsidR="006029BC" w:rsidRDefault="00A51621">
            <w:pPr>
              <w:spacing w:before="20" w:after="20"/>
            </w:pPr>
            <w:r>
              <w:t>Ok</w:t>
            </w:r>
          </w:p>
        </w:tc>
        <w:tc>
          <w:tcPr>
            <w:tcW w:w="1944" w:type="dxa"/>
          </w:tcPr>
          <w:p w14:paraId="52E014BA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Purch. org (EKORG)</w:t>
            </w:r>
          </w:p>
        </w:tc>
        <w:tc>
          <w:tcPr>
            <w:tcW w:w="1512" w:type="dxa"/>
          </w:tcPr>
          <w:p w14:paraId="7987FB88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PMAT / PSRV</w:t>
            </w:r>
          </w:p>
        </w:tc>
        <w:tc>
          <w:tcPr>
            <w:tcW w:w="1656" w:type="dxa"/>
          </w:tcPr>
          <w:p w14:paraId="70C99A0C" w14:textId="77777777" w:rsidR="006029BC" w:rsidRDefault="00A51621">
            <w:pPr>
              <w:spacing w:before="20" w:after="20"/>
            </w:pPr>
            <w:r>
              <w:t>Ok</w:t>
            </w:r>
          </w:p>
        </w:tc>
      </w:tr>
      <w:tr w:rsidR="006029BC" w14:paraId="59AD6CF6" w14:textId="77777777">
        <w:tc>
          <w:tcPr>
            <w:tcW w:w="1944" w:type="dxa"/>
          </w:tcPr>
          <w:p w14:paraId="6AE94186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Planning group (FDGRV)</w:t>
            </w:r>
          </w:p>
        </w:tc>
        <w:tc>
          <w:tcPr>
            <w:tcW w:w="1512" w:type="dxa"/>
          </w:tcPr>
          <w:p w14:paraId="1183B1F6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DL</w:t>
            </w:r>
          </w:p>
        </w:tc>
        <w:tc>
          <w:tcPr>
            <w:tcW w:w="1656" w:type="dxa"/>
          </w:tcPr>
          <w:p w14:paraId="044EE830" w14:textId="77777777" w:rsidR="006029BC" w:rsidRDefault="00A51621">
            <w:pPr>
              <w:spacing w:before="20" w:after="20"/>
            </w:pPr>
            <w:r>
              <w:t>Ok</w:t>
            </w:r>
          </w:p>
        </w:tc>
        <w:tc>
          <w:tcPr>
            <w:tcW w:w="1944" w:type="dxa"/>
          </w:tcPr>
          <w:p w14:paraId="622E274B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Industry key (BRSCH)</w:t>
            </w:r>
          </w:p>
        </w:tc>
        <w:tc>
          <w:tcPr>
            <w:tcW w:w="1512" w:type="dxa"/>
          </w:tcPr>
          <w:p w14:paraId="1FA64862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VOTH / Z031-Z034</w:t>
            </w:r>
          </w:p>
        </w:tc>
        <w:tc>
          <w:tcPr>
            <w:tcW w:w="1656" w:type="dxa"/>
          </w:tcPr>
          <w:p w14:paraId="49338CCD" w14:textId="77777777" w:rsidR="006029BC" w:rsidRDefault="00A51621">
            <w:pPr>
              <w:spacing w:before="20" w:after="20"/>
            </w:pPr>
            <w:r>
              <w:t>Ok</w:t>
            </w:r>
          </w:p>
        </w:tc>
      </w:tr>
      <w:tr w:rsidR="006029BC" w14:paraId="71BB98B8" w14:textId="77777777">
        <w:tc>
          <w:tcPr>
            <w:tcW w:w="1944" w:type="dxa"/>
          </w:tcPr>
          <w:p w14:paraId="6D3A070F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Payment terms (ZTERM)</w:t>
            </w:r>
          </w:p>
        </w:tc>
        <w:tc>
          <w:tcPr>
            <w:tcW w:w="1512" w:type="dxa"/>
          </w:tcPr>
          <w:p w14:paraId="662DC7A7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0001</w:t>
            </w:r>
          </w:p>
        </w:tc>
        <w:tc>
          <w:tcPr>
            <w:tcW w:w="1656" w:type="dxa"/>
          </w:tcPr>
          <w:p w14:paraId="05513F97" w14:textId="77777777" w:rsidR="006029BC" w:rsidRDefault="00A51621">
            <w:pPr>
              <w:spacing w:before="20" w:after="20"/>
            </w:pPr>
            <w:r>
              <w:t>Ok</w:t>
            </w:r>
          </w:p>
        </w:tc>
        <w:tc>
          <w:tcPr>
            <w:tcW w:w="1944" w:type="dxa"/>
          </w:tcPr>
          <w:p w14:paraId="1901493E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Supplier BP role</w:t>
            </w:r>
          </w:p>
        </w:tc>
        <w:tc>
          <w:tcPr>
            <w:tcW w:w="1512" w:type="dxa"/>
          </w:tcPr>
          <w:p w14:paraId="61638AA4" w14:textId="77777777" w:rsidR="006029BC" w:rsidRDefault="00170EB5">
            <w:pPr>
              <w:spacing w:before="20" w:after="20"/>
            </w:pPr>
            <w:r>
              <w:rPr>
                <w:sz w:val="17"/>
              </w:rPr>
              <w:t>FLVN00</w:t>
            </w:r>
          </w:p>
        </w:tc>
        <w:tc>
          <w:tcPr>
            <w:tcW w:w="1656" w:type="dxa"/>
          </w:tcPr>
          <w:p w14:paraId="42CA9B7B" w14:textId="77777777" w:rsidR="006029BC" w:rsidRDefault="00A51621">
            <w:pPr>
              <w:spacing w:before="20" w:after="20"/>
            </w:pPr>
            <w:r>
              <w:t>OK</w:t>
            </w:r>
          </w:p>
        </w:tc>
      </w:tr>
    </w:tbl>
    <w:p w14:paraId="44DEBF48" w14:textId="77777777" w:rsidR="006029BC" w:rsidRDefault="00170EB5">
      <w:pPr>
        <w:spacing w:before="160"/>
        <w:rPr>
          <w:i/>
          <w:color w:val="555555"/>
          <w:sz w:val="16"/>
        </w:rPr>
      </w:pPr>
      <w:r>
        <w:rPr>
          <w:i/>
          <w:color w:val="555555"/>
          <w:sz w:val="16"/>
        </w:rPr>
        <w:t>Note: Items 3 and 4 are Customizing only. Without the "Same Number" flag (item 3), the external GEMV vendor cannot take the Business Partner number, so vendor creation cannot complete regardless of program changes.</w:t>
      </w:r>
    </w:p>
    <w:p w14:paraId="2D9B2EA5" w14:textId="4DC88243" w:rsidR="001C4A0B" w:rsidRDefault="001C4A0B">
      <w:pPr>
        <w:spacing w:before="160"/>
        <w:rPr>
          <w:iCs/>
          <w:color w:val="555555"/>
          <w:sz w:val="20"/>
          <w:szCs w:val="20"/>
        </w:rPr>
      </w:pPr>
      <w:r w:rsidRPr="005C7019">
        <w:rPr>
          <w:iCs/>
          <w:color w:val="555555"/>
          <w:sz w:val="20"/>
          <w:szCs w:val="20"/>
          <w:highlight w:val="yellow"/>
        </w:rPr>
        <w:t xml:space="preserve">Point A.  1. GL is currently working for </w:t>
      </w:r>
      <w:proofErr w:type="spellStart"/>
      <w:r w:rsidRPr="005C7019">
        <w:rPr>
          <w:iCs/>
          <w:color w:val="555555"/>
          <w:sz w:val="20"/>
          <w:szCs w:val="20"/>
          <w:highlight w:val="yellow"/>
        </w:rPr>
        <w:t>CoCode</w:t>
      </w:r>
      <w:proofErr w:type="spellEnd"/>
      <w:r w:rsidRPr="005C7019">
        <w:rPr>
          <w:iCs/>
          <w:color w:val="555555"/>
          <w:sz w:val="20"/>
          <w:szCs w:val="20"/>
          <w:highlight w:val="yellow"/>
        </w:rPr>
        <w:t xml:space="preserve"> OVL</w:t>
      </w:r>
    </w:p>
    <w:p w14:paraId="700C433C" w14:textId="6C58A42E" w:rsidR="001C4A0B" w:rsidRDefault="001C4A0B">
      <w:pPr>
        <w:spacing w:before="160"/>
        <w:rPr>
          <w:iCs/>
          <w:color w:val="555555"/>
          <w:sz w:val="20"/>
          <w:szCs w:val="20"/>
        </w:rPr>
      </w:pPr>
      <w:r w:rsidRPr="001C4A0B">
        <w:rPr>
          <w:iCs/>
          <w:color w:val="555555"/>
          <w:sz w:val="20"/>
          <w:szCs w:val="20"/>
        </w:rPr>
        <w:drawing>
          <wp:inline distT="0" distB="0" distL="0" distR="0" wp14:anchorId="1F9F7BEA" wp14:editId="30720944">
            <wp:extent cx="6675120" cy="757555"/>
            <wp:effectExtent l="0" t="0" r="5080" b="4445"/>
            <wp:docPr id="11110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13AE" w14:textId="77777777" w:rsidR="001C4A0B" w:rsidRDefault="001C4A0B">
      <w:pPr>
        <w:spacing w:before="160"/>
        <w:rPr>
          <w:iCs/>
          <w:color w:val="555555"/>
          <w:sz w:val="20"/>
          <w:szCs w:val="20"/>
        </w:rPr>
      </w:pPr>
    </w:p>
    <w:p w14:paraId="7204E1E1" w14:textId="61E6B5D3" w:rsidR="001C4A0B" w:rsidRPr="001C4A0B" w:rsidRDefault="001C4A0B" w:rsidP="001C4A0B">
      <w:pPr>
        <w:pStyle w:val="ListParagraph"/>
        <w:numPr>
          <w:ilvl w:val="0"/>
          <w:numId w:val="10"/>
        </w:numPr>
        <w:spacing w:before="160"/>
        <w:rPr>
          <w:iCs/>
          <w:color w:val="555555"/>
          <w:sz w:val="20"/>
          <w:szCs w:val="20"/>
        </w:rPr>
      </w:pPr>
      <w:r w:rsidRPr="001C4A0B">
        <w:rPr>
          <w:iCs/>
          <w:color w:val="555555"/>
          <w:sz w:val="20"/>
          <w:szCs w:val="20"/>
        </w:rPr>
        <w:t>2   Type of industry is currently mandatory, but it’s a free text.</w:t>
      </w:r>
      <w:r w:rsidR="001C6AE1">
        <w:rPr>
          <w:iCs/>
          <w:color w:val="555555"/>
          <w:sz w:val="20"/>
          <w:szCs w:val="20"/>
        </w:rPr>
        <w:t xml:space="preserve"> </w:t>
      </w:r>
      <w:proofErr w:type="gramStart"/>
      <w:r w:rsidR="001C6AE1">
        <w:rPr>
          <w:iCs/>
          <w:color w:val="555555"/>
          <w:sz w:val="20"/>
          <w:szCs w:val="20"/>
        </w:rPr>
        <w:t>( though</w:t>
      </w:r>
      <w:proofErr w:type="gramEnd"/>
      <w:r w:rsidR="001C6AE1">
        <w:rPr>
          <w:iCs/>
          <w:color w:val="555555"/>
          <w:sz w:val="20"/>
          <w:szCs w:val="20"/>
        </w:rPr>
        <w:t xml:space="preserve"> entries are maintained in Config)</w:t>
      </w:r>
    </w:p>
    <w:p w14:paraId="61B32704" w14:textId="6A0733DD" w:rsidR="001C4A0B" w:rsidRDefault="001C4A0B">
      <w:pPr>
        <w:spacing w:before="160"/>
        <w:rPr>
          <w:iCs/>
          <w:color w:val="555555"/>
          <w:sz w:val="20"/>
          <w:szCs w:val="20"/>
        </w:rPr>
      </w:pPr>
      <w:r>
        <w:rPr>
          <w:iCs/>
          <w:color w:val="555555"/>
          <w:sz w:val="20"/>
          <w:szCs w:val="20"/>
        </w:rPr>
        <w:tab/>
        <w:t>As last solution you may default ‘GEM’ there</w:t>
      </w:r>
    </w:p>
    <w:p w14:paraId="7D0A27BF" w14:textId="504F1F2C" w:rsidR="001C4A0B" w:rsidRDefault="001C6AE1">
      <w:pPr>
        <w:spacing w:before="160"/>
        <w:rPr>
          <w:iCs/>
          <w:color w:val="555555"/>
          <w:sz w:val="20"/>
          <w:szCs w:val="20"/>
        </w:rPr>
      </w:pPr>
      <w:r w:rsidRPr="001C6AE1">
        <w:rPr>
          <w:iCs/>
          <w:color w:val="555555"/>
          <w:sz w:val="20"/>
          <w:szCs w:val="20"/>
        </w:rPr>
        <w:lastRenderedPageBreak/>
        <w:drawing>
          <wp:inline distT="0" distB="0" distL="0" distR="0" wp14:anchorId="066BAD2F" wp14:editId="77D1F1A5">
            <wp:extent cx="6675120" cy="1682115"/>
            <wp:effectExtent l="0" t="0" r="5080" b="0"/>
            <wp:docPr id="180218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80C" w14:textId="77777777" w:rsidR="001C4A0B" w:rsidRDefault="001C4A0B">
      <w:pPr>
        <w:spacing w:before="160"/>
        <w:rPr>
          <w:iCs/>
          <w:color w:val="555555"/>
          <w:sz w:val="20"/>
          <w:szCs w:val="20"/>
        </w:rPr>
      </w:pPr>
    </w:p>
    <w:p w14:paraId="1276CA07" w14:textId="1138EC7A" w:rsidR="001C4A0B" w:rsidRPr="005C7019" w:rsidRDefault="001C4A0B" w:rsidP="001C4A0B">
      <w:pPr>
        <w:pStyle w:val="ListParagraph"/>
        <w:numPr>
          <w:ilvl w:val="0"/>
          <w:numId w:val="10"/>
        </w:numPr>
        <w:spacing w:before="160"/>
        <w:rPr>
          <w:iCs/>
          <w:color w:val="555555"/>
          <w:sz w:val="20"/>
          <w:szCs w:val="20"/>
          <w:highlight w:val="yellow"/>
        </w:rPr>
      </w:pPr>
      <w:r w:rsidRPr="005C7019">
        <w:rPr>
          <w:iCs/>
          <w:color w:val="555555"/>
          <w:sz w:val="20"/>
          <w:szCs w:val="20"/>
          <w:highlight w:val="yellow"/>
        </w:rPr>
        <w:t>3. I have created a fresh, without assigning External Vendor Code, and it creates BP same as Vendor code</w:t>
      </w:r>
    </w:p>
    <w:p w14:paraId="2FEC2FA7" w14:textId="5BD69730" w:rsidR="001C4A0B" w:rsidRDefault="001C6AE1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  <w:r w:rsidRPr="001C6AE1">
        <w:rPr>
          <w:iCs/>
          <w:color w:val="555555"/>
          <w:sz w:val="20"/>
          <w:szCs w:val="20"/>
        </w:rPr>
        <w:drawing>
          <wp:inline distT="0" distB="0" distL="0" distR="0" wp14:anchorId="5272E228" wp14:editId="1020E8E2">
            <wp:extent cx="6675120" cy="2729865"/>
            <wp:effectExtent l="0" t="0" r="5080" b="635"/>
            <wp:docPr id="9758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6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CB00" w14:textId="77777777" w:rsidR="001C4A0B" w:rsidRDefault="001C4A0B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</w:p>
    <w:p w14:paraId="4D19525E" w14:textId="77777777" w:rsidR="001C4A0B" w:rsidRDefault="001C4A0B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</w:p>
    <w:p w14:paraId="5B23391E" w14:textId="45518126" w:rsidR="001C4A0B" w:rsidRDefault="001C4A0B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  <w:r>
        <w:rPr>
          <w:iCs/>
          <w:color w:val="555555"/>
          <w:sz w:val="20"/>
          <w:szCs w:val="20"/>
        </w:rPr>
        <w:t xml:space="preserve"> </w:t>
      </w:r>
      <w:r w:rsidRPr="005C7019">
        <w:rPr>
          <w:iCs/>
          <w:color w:val="555555"/>
          <w:sz w:val="20"/>
          <w:szCs w:val="20"/>
          <w:highlight w:val="yellow"/>
        </w:rPr>
        <w:t>b. 4 same as above</w:t>
      </w:r>
    </w:p>
    <w:p w14:paraId="489E995F" w14:textId="77777777" w:rsidR="005C7019" w:rsidRDefault="005C7019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</w:p>
    <w:p w14:paraId="3C6A56D9" w14:textId="5692A762" w:rsidR="005C7019" w:rsidRDefault="005C7019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  <w:r>
        <w:rPr>
          <w:iCs/>
          <w:color w:val="555555"/>
          <w:sz w:val="20"/>
          <w:szCs w:val="20"/>
        </w:rPr>
        <w:tab/>
      </w:r>
    </w:p>
    <w:p w14:paraId="0BF87A03" w14:textId="77777777" w:rsidR="001C4A0B" w:rsidRDefault="001C4A0B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</w:p>
    <w:p w14:paraId="3F1936F9" w14:textId="77777777" w:rsidR="001C4A0B" w:rsidRPr="001C4A0B" w:rsidRDefault="001C4A0B" w:rsidP="001C4A0B">
      <w:pPr>
        <w:pStyle w:val="ListParagraph"/>
        <w:spacing w:before="160"/>
        <w:rPr>
          <w:iCs/>
          <w:color w:val="555555"/>
          <w:sz w:val="20"/>
          <w:szCs w:val="20"/>
        </w:rPr>
      </w:pPr>
    </w:p>
    <w:p w14:paraId="7099DE78" w14:textId="77777777" w:rsidR="001C4A0B" w:rsidRPr="001C4A0B" w:rsidRDefault="001C4A0B">
      <w:pPr>
        <w:spacing w:before="160"/>
        <w:rPr>
          <w:iCs/>
          <w:color w:val="555555"/>
          <w:sz w:val="20"/>
          <w:szCs w:val="20"/>
        </w:rPr>
      </w:pPr>
    </w:p>
    <w:p w14:paraId="699B4F6A" w14:textId="77777777" w:rsidR="001C4A0B" w:rsidRDefault="001C4A0B">
      <w:pPr>
        <w:spacing w:before="160"/>
      </w:pPr>
    </w:p>
    <w:sectPr w:rsidR="001C4A0B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C763A"/>
    <w:multiLevelType w:val="hybridMultilevel"/>
    <w:tmpl w:val="854676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823520">
    <w:abstractNumId w:val="8"/>
  </w:num>
  <w:num w:numId="2" w16cid:durableId="279916804">
    <w:abstractNumId w:val="6"/>
  </w:num>
  <w:num w:numId="3" w16cid:durableId="1063912858">
    <w:abstractNumId w:val="5"/>
  </w:num>
  <w:num w:numId="4" w16cid:durableId="1069309684">
    <w:abstractNumId w:val="4"/>
  </w:num>
  <w:num w:numId="5" w16cid:durableId="290669846">
    <w:abstractNumId w:val="7"/>
  </w:num>
  <w:num w:numId="6" w16cid:durableId="1036126627">
    <w:abstractNumId w:val="3"/>
  </w:num>
  <w:num w:numId="7" w16cid:durableId="2003965932">
    <w:abstractNumId w:val="2"/>
  </w:num>
  <w:num w:numId="8" w16cid:durableId="1803234430">
    <w:abstractNumId w:val="1"/>
  </w:num>
  <w:num w:numId="9" w16cid:durableId="450369480">
    <w:abstractNumId w:val="0"/>
  </w:num>
  <w:num w:numId="10" w16cid:durableId="77282166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EB5"/>
    <w:rsid w:val="001C4A0B"/>
    <w:rsid w:val="001C6AE1"/>
    <w:rsid w:val="002947A7"/>
    <w:rsid w:val="0029639D"/>
    <w:rsid w:val="00326F90"/>
    <w:rsid w:val="005C7019"/>
    <w:rsid w:val="006029BC"/>
    <w:rsid w:val="00A51621"/>
    <w:rsid w:val="00AA1D8D"/>
    <w:rsid w:val="00B47730"/>
    <w:rsid w:val="00CB0664"/>
    <w:rsid w:val="00D17E16"/>
    <w:rsid w:val="00F42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5D2A2"/>
  <w14:defaultImageDpi w14:val="300"/>
  <w15:docId w15:val="{48AEFEDE-5B8F-4555-B9F6-0B980398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E6831E-A903-4242-85B8-22573B049A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Dayal, Udayan</cp:lastModifiedBy>
  <cp:revision>2</cp:revision>
  <dcterms:created xsi:type="dcterms:W3CDTF">2026-07-31T10:37:00Z</dcterms:created>
  <dcterms:modified xsi:type="dcterms:W3CDTF">2026-07-31T10:37:00Z</dcterms:modified>
  <cp:category/>
</cp:coreProperties>
</file>