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Portal Interface - Business Partner Creation</w:t>
      </w:r>
    </w:p>
    <w:p>
      <w:r>
        <w:rPr>
          <w:b/>
          <w:i w:val="0"/>
          <w:sz w:val="26"/>
        </w:rPr>
        <w:t>Open points - round two</w:t>
      </w:r>
    </w:p>
    <w:p/>
    <w:p>
      <w:pPr>
        <w:pStyle w:val="Heading1"/>
      </w:pPr>
      <w:r>
        <w:t>1. Where we stand</w:t>
      </w:r>
    </w:p>
    <w:p>
      <w:r>
        <w:rPr>
          <w:b w:val="0"/>
          <w:i w:val="0"/>
        </w:rPr>
        <w:t>Thank you for the four replies and for the account group and number range workbook. Between them they settle the Business Partner category and the number assignment, which were the two heaviest points.</w:t>
      </w:r>
    </w:p>
    <w:p>
      <w:r>
        <w:rPr>
          <w:b w:val="0"/>
          <w:i w:val="0"/>
        </w:rPr>
        <w:t>This document carries what is still needed: six follow-ups that arise from the replies themselves, the field mapping that has yet to be decided, two questions that were not answered in the last round, and the files and objects we need in order to build and test.</w:t>
      </w:r>
    </w:p>
    <w:p>
      <w:pPr>
        <w:pStyle w:val="Heading1"/>
      </w:pPr>
      <w:r>
        <w:t>2. Settled - recorded so it is not asked again</w:t>
      </w:r>
    </w:p>
    <w:tbl>
      <w:tblPr>
        <w:tblStyle w:val="LightGrid-Accent1"/>
        <w:tblW w:type="auto" w:w="0"/>
        <w:jc w:val="left"/>
        <w:tblLook w:firstColumn="1" w:firstRow="1" w:lastColumn="0" w:lastRow="0" w:noHBand="0" w:noVBand="1" w:val="04A0"/>
      </w:tblPr>
      <w:tblGrid>
        <w:gridCol w:w="4986"/>
        <w:gridCol w:w="4986"/>
      </w:tblGrid>
      <w:tr>
        <w:tc>
          <w:tcPr>
            <w:tcW w:type="dxa" w:w="2551"/>
          </w:tcPr>
          <w:p>
            <w:r/>
            <w:r>
              <w:rPr>
                <w:b/>
                <w:sz w:val="19"/>
              </w:rPr>
              <w:t>Point</w:t>
            </w:r>
          </w:p>
        </w:tc>
        <w:tc>
          <w:tcPr>
            <w:tcW w:type="dxa" w:w="6803"/>
          </w:tcPr>
          <w:p>
            <w:r/>
            <w:r>
              <w:rPr>
                <w:b/>
                <w:sz w:val="19"/>
              </w:rPr>
              <w:t>Position</w:t>
            </w:r>
          </w:p>
        </w:tc>
      </w:tr>
      <w:tr>
        <w:tc>
          <w:tcPr>
            <w:tcW w:type="dxa" w:w="2551"/>
          </w:tcPr>
          <w:p>
            <w:r/>
            <w:r>
              <w:rPr>
                <w:sz w:val="19"/>
              </w:rPr>
              <w:t>Business Partner category</w:t>
            </w:r>
          </w:p>
        </w:tc>
        <w:tc>
          <w:tcPr>
            <w:tcW w:type="dxa" w:w="6803"/>
          </w:tcPr>
          <w:p>
            <w:r/>
            <w:r>
              <w:rPr>
                <w:sz w:val="19"/>
              </w:rPr>
              <w:t>Organisation Business Partner for every account group, except Z008 (Employee Vendors) and Z014 (Employee Vendors - Associate), which are person Business Partners. For the Cimmra vendor file this means Z001 and Z002 are organisation Business Partners, proprietorships included.</w:t>
            </w:r>
          </w:p>
        </w:tc>
      </w:tr>
      <w:tr>
        <w:tc>
          <w:tcPr>
            <w:tcW w:type="dxa" w:w="2551"/>
          </w:tcPr>
          <w:p>
            <w:r/>
            <w:r>
              <w:rPr>
                <w:sz w:val="19"/>
              </w:rPr>
              <w:t>Number assignment</w:t>
            </w:r>
          </w:p>
        </w:tc>
        <w:tc>
          <w:tcPr>
            <w:tcW w:type="dxa" w:w="6803"/>
          </w:tcPr>
          <w:p>
            <w:r/>
            <w:r>
              <w:rPr>
                <w:sz w:val="19"/>
              </w:rPr>
              <w:t>External only for 0007, Z006, Z008, Z011, Z013 and Z014. Z001 and Z002 are internal. Vendor intervals: Z001 to Z1, Z002 to Z2, Z008 to 01, Z014 to A1.</w:t>
            </w:r>
          </w:p>
        </w:tc>
      </w:tr>
      <w:tr>
        <w:tc>
          <w:tcPr>
            <w:tcW w:type="dxa" w:w="2551"/>
          </w:tcPr>
          <w:p>
            <w:r/>
            <w:r>
              <w:rPr>
                <w:sz w:val="19"/>
              </w:rPr>
              <w:t>Business Partner number</w:t>
            </w:r>
          </w:p>
        </w:tc>
        <w:tc>
          <w:tcPr>
            <w:tcW w:type="dxa" w:w="6803"/>
          </w:tcPr>
          <w:p>
            <w:r/>
            <w:r>
              <w:rPr>
                <w:sz w:val="19"/>
              </w:rPr>
              <w:t>Same as the vendor number, captured in the existing SAPVendorN field. No new column is added to the response file.</w:t>
            </w:r>
          </w:p>
        </w:tc>
      </w:tr>
      <w:tr>
        <w:tc>
          <w:tcPr>
            <w:tcW w:type="dxa" w:w="2551"/>
          </w:tcPr>
          <w:p>
            <w:r/>
            <w:r>
              <w:rPr>
                <w:sz w:val="19"/>
              </w:rPr>
              <w:t>Previous account number (ALTKN)</w:t>
            </w:r>
          </w:p>
        </w:tc>
        <w:tc>
          <w:tcPr>
            <w:tcW w:type="dxa" w:w="6803"/>
          </w:tcPr>
          <w:p>
            <w:r/>
            <w:r>
              <w:rPr>
                <w:sz w:val="19"/>
              </w:rPr>
              <w:t>Optional, supplied by the portal, and only for Z008 and Z014.</w:t>
            </w:r>
          </w:p>
        </w:tc>
      </w:tr>
    </w:tbl>
    <w:p/>
    <w:p>
      <w:pPr>
        <w:pStyle w:val="Heading1"/>
      </w:pPr>
      <w:r>
        <w:t>3. Follow-ups on the replies</w:t>
      </w:r>
    </w:p>
    <w:p>
      <w:r>
        <w:rPr>
          <w:b w:val="0"/>
          <w:i/>
        </w:rPr>
        <w:t>Each of these arises directly from an answer given, and is needed before the answer can be implemented.</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175"/>
          </w:tcPr>
          <w:p>
            <w:r/>
            <w:r>
              <w:rPr>
                <w:b/>
                <w:sz w:val="19"/>
              </w:rPr>
              <w:t>What we need</w:t>
            </w:r>
          </w:p>
        </w:tc>
        <w:tc>
          <w:tcPr>
            <w:tcW w:type="dxa" w:w="5499"/>
          </w:tcPr>
          <w:p>
            <w:r/>
            <w:r>
              <w:rPr>
                <w:b/>
                <w:sz w:val="19"/>
              </w:rPr>
              <w:t>Why</w:t>
            </w:r>
          </w:p>
        </w:tc>
      </w:tr>
      <w:tr>
        <w:tc>
          <w:tcPr>
            <w:tcW w:type="dxa" w:w="680"/>
          </w:tcPr>
          <w:p>
            <w:r/>
            <w:r>
              <w:rPr>
                <w:sz w:val="19"/>
              </w:rPr>
              <w:t>F1</w:t>
            </w:r>
          </w:p>
        </w:tc>
        <w:tc>
          <w:tcPr>
            <w:tcW w:type="dxa" w:w="3175"/>
          </w:tcPr>
          <w:p>
            <w:r/>
            <w:r>
              <w:rPr>
                <w:sz w:val="19"/>
              </w:rPr>
              <w:t>The Business Partner grouping for each account group - the contents of CVIC_VEND_TO_BP1, and of CVIC_VEND_TO_BP2 for the roles.</w:t>
            </w:r>
          </w:p>
        </w:tc>
        <w:tc>
          <w:tcPr>
            <w:tcW w:type="dxa" w:w="5499"/>
          </w:tcPr>
          <w:p>
            <w:r/>
            <w:r>
              <w:rPr>
                <w:sz w:val="19"/>
              </w:rPr>
              <w:t>The workbook gives the vendor number ranges: every row carries object KREDITOR. A Business Partner takes its number from its grouping, which is a different number range object (BU_PARTNER). "Business Partner number = vendor number" holds only if, for each account group, the grouping points at the same interval and is flagged for the same number. We cannot confirm the answer to the number question until we can see that mapping.</w:t>
            </w:r>
          </w:p>
          <w:p>
            <w:r>
              <w:rPr>
                <w:sz w:val="19"/>
              </w:rPr>
            </w:r>
          </w:p>
          <w:p>
            <w:r>
              <w:rPr>
                <w:sz w:val="19"/>
              </w:rPr>
              <w:t>Worth noting with it: four vendor intervals are shared by two account groups each - Z1 by Z001 and Z015, Z3 by Y002 and Z012, 30 by Y001 and Z005, and XX by 0007 and Z011. That is workable, but it means the account group to grouping mapping is not one to one and has to be read from the table rather than assumed.</w:t>
            </w:r>
          </w:p>
        </w:tc>
      </w:tr>
      <w:tr>
        <w:tc>
          <w:tcPr>
            <w:tcW w:type="dxa" w:w="680"/>
          </w:tcPr>
          <w:p>
            <w:r/>
            <w:r>
              <w:rPr>
                <w:sz w:val="19"/>
              </w:rPr>
              <w:t>F2</w:t>
            </w:r>
          </w:p>
        </w:tc>
        <w:tc>
          <w:tcPr>
            <w:tcW w:type="dxa" w:w="3175"/>
          </w:tcPr>
          <w:p>
            <w:r/>
            <w:r>
              <w:rPr>
                <w:sz w:val="19"/>
              </w:rPr>
              <w:t>Which column of which file carries the previous account number (ALTKN)?</w:t>
            </w:r>
          </w:p>
        </w:tc>
        <w:tc>
          <w:tcPr>
            <w:tcW w:type="dxa" w:w="5499"/>
          </w:tcPr>
          <w:p>
            <w:r/>
            <w:r>
              <w:rPr>
                <w:sz w:val="19"/>
              </w:rPr>
              <w:t>The vendor file has 124 columns and none of them can carry it. The reply says it comes from the portal for Z008 and Z014 - employee vendors, which arrive through ZFI_CIMMRA_EMPVEND, a file we have not seen. Please point us at the column, or send a sample of that file.</w:t>
            </w:r>
          </w:p>
        </w:tc>
      </w:tr>
      <w:tr>
        <w:tc>
          <w:tcPr>
            <w:tcW w:type="dxa" w:w="680"/>
          </w:tcPr>
          <w:p>
            <w:r/>
            <w:r>
              <w:rPr>
                <w:sz w:val="19"/>
              </w:rPr>
              <w:t>F3</w:t>
            </w:r>
          </w:p>
        </w:tc>
        <w:tc>
          <w:tcPr>
            <w:tcW w:type="dxa" w:w="3175"/>
          </w:tcPr>
          <w:p>
            <w:r/>
            <w:r>
              <w:rPr>
                <w:sz w:val="19"/>
              </w:rPr>
              <w:t>The contents of ZFI_VEN_GRP.</w:t>
            </w:r>
          </w:p>
        </w:tc>
        <w:tc>
          <w:tcPr>
            <w:tcW w:type="dxa" w:w="5499"/>
          </w:tcPr>
          <w:p>
            <w:r/>
            <w:r>
              <w:rPr>
                <w:sz w:val="19"/>
              </w:rPr>
              <w:t>Z001 and Z002 are confirmed as internally numbered, but today the program assigns the vendor number itself for any account group flagged in ZFI_VEN_GRP - it reads the highest existing vendor for the group and adds one. That is external behaviour on an internal group. The table will tell us whether this only ever fires for the six external groups, in which case there is no conflict and the logic simply disappears.</w:t>
            </w:r>
          </w:p>
        </w:tc>
      </w:tr>
      <w:tr>
        <w:tc>
          <w:tcPr>
            <w:tcW w:type="dxa" w:w="680"/>
          </w:tcPr>
          <w:p>
            <w:r/>
            <w:r>
              <w:rPr>
                <w:sz w:val="19"/>
              </w:rPr>
              <w:t>F4</w:t>
            </w:r>
          </w:p>
        </w:tc>
        <w:tc>
          <w:tcPr>
            <w:tcW w:type="dxa" w:w="3175"/>
          </w:tcPr>
          <w:p>
            <w:r/>
            <w:r>
              <w:rPr>
                <w:sz w:val="19"/>
              </w:rPr>
              <w:t>For Z008 and Z014, does the file carry first name and last name separately, or as one string?</w:t>
            </w:r>
          </w:p>
        </w:tc>
        <w:tc>
          <w:tcPr>
            <w:tcW w:type="dxa" w:w="5499"/>
          </w:tcPr>
          <w:p>
            <w:r/>
            <w:r>
              <w:rPr>
                <w:sz w:val="19"/>
              </w:rPr>
              <w:t>A person Business Partner stores a first name and a last name, not a single name. If the file sends one string we need the rule for splitting it, and a name such as "KURUBARABUDIHAL CHANDRASHEKAR CHINMAY SHETTY" cannot be split safely without one.</w:t>
            </w:r>
          </w:p>
        </w:tc>
      </w:tr>
      <w:tr>
        <w:tc>
          <w:tcPr>
            <w:tcW w:type="dxa" w:w="680"/>
          </w:tcPr>
          <w:p>
            <w:r/>
            <w:r>
              <w:rPr>
                <w:sz w:val="19"/>
              </w:rPr>
              <w:t>F5</w:t>
            </w:r>
          </w:p>
        </w:tc>
        <w:tc>
          <w:tcPr>
            <w:tcW w:type="dxa" w:w="3175"/>
          </w:tcPr>
          <w:p>
            <w:r/>
            <w:r>
              <w:rPr>
                <w:sz w:val="19"/>
              </w:rPr>
              <w:t>For the externally numbered groups, which column supplies the number, and is the Business Partner grouping external as well?</w:t>
            </w:r>
          </w:p>
        </w:tc>
        <w:tc>
          <w:tcPr>
            <w:tcW w:type="dxa" w:w="5499"/>
          </w:tcPr>
          <w:p>
            <w:r/>
            <w:r>
              <w:rPr>
                <w:sz w:val="19"/>
              </w:rPr>
              <w:t>With external assignment the number has to come from the file. With the Business Partner and the vendor carrying the same number, the grouping has to be external too, or the two cannot match.</w:t>
            </w:r>
          </w:p>
        </w:tc>
      </w:tr>
      <w:tr>
        <w:tc>
          <w:tcPr>
            <w:tcW w:type="dxa" w:w="680"/>
          </w:tcPr>
          <w:p>
            <w:r/>
            <w:r>
              <w:rPr>
                <w:sz w:val="19"/>
              </w:rPr>
              <w:t>F6</w:t>
            </w:r>
          </w:p>
        </w:tc>
        <w:tc>
          <w:tcPr>
            <w:tcW w:type="dxa" w:w="3175"/>
          </w:tcPr>
          <w:p>
            <w:r/>
            <w:r>
              <w:rPr>
                <w:sz w:val="19"/>
              </w:rPr>
              <w:t>Which account groups actually arrive through each interface file?</w:t>
            </w:r>
          </w:p>
        </w:tc>
        <w:tc>
          <w:tcPr>
            <w:tcW w:type="dxa" w:w="5499"/>
          </w:tcPr>
          <w:p>
            <w:r/>
            <w:r>
              <w:rPr>
                <w:sz w:val="19"/>
              </w:rPr>
              <w:t>The workbook lists 36. The Cimmra vendor file only ever carries Z001 and Z002 in the nine sample records; the employee files presumably carry Z008 and Z014. Confirming the set keeps us from building mapping for groups that never arrive.</w:t>
            </w:r>
          </w:p>
        </w:tc>
      </w:tr>
    </w:tbl>
    <w:p/>
    <w:p>
      <w:pPr>
        <w:pStyle w:val="Heading1"/>
      </w:pPr>
      <w:r>
        <w:t>4. Field mapping still to be decided</w:t>
      </w:r>
    </w:p>
    <w:p>
      <w:r>
        <w:rPr>
          <w:b w:val="0"/>
          <w:i w:val="0"/>
        </w:rPr>
        <w:t>Cipla has asked that every column be mapped, whether or not the portal fills it. Of the 134 columns the program reads, 53 are posted and 81 are read and then discarded. Those 81 are the work, and they cannot be mapped until we know where they should go. We will propose a target for the obvious ones; the groups below need a decision.</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175"/>
          </w:tcPr>
          <w:p>
            <w:r/>
            <w:r>
              <w:rPr>
                <w:b/>
                <w:sz w:val="19"/>
              </w:rPr>
              <w:t>Columns</w:t>
            </w:r>
          </w:p>
        </w:tc>
        <w:tc>
          <w:tcPr>
            <w:tcW w:type="dxa" w:w="5499"/>
          </w:tcPr>
          <w:p>
            <w:r/>
            <w:r>
              <w:rPr>
                <w:b/>
                <w:sz w:val="19"/>
              </w:rPr>
              <w:t>What we need to know</w:t>
            </w:r>
          </w:p>
        </w:tc>
      </w:tr>
      <w:tr>
        <w:tc>
          <w:tcPr>
            <w:tcW w:type="dxa" w:w="680"/>
          </w:tcPr>
          <w:p>
            <w:r/>
            <w:r>
              <w:rPr>
                <w:sz w:val="19"/>
              </w:rPr>
              <w:t>M1</w:t>
            </w:r>
          </w:p>
        </w:tc>
        <w:tc>
          <w:tcPr>
            <w:tcW w:type="dxa" w:w="3175"/>
          </w:tcPr>
          <w:p>
            <w:r/>
            <w:r>
              <w:rPr>
                <w:sz w:val="19"/>
              </w:rPr>
              <w:t>The location block - country, state, city, pin_code, address_line1 to 3, location_email, location_phone, location_type, sez_type, together with is_header_address_same_in_location</w:t>
            </w:r>
          </w:p>
        </w:tc>
        <w:tc>
          <w:tcPr>
            <w:tcW w:type="dxa" w:w="5499"/>
          </w:tcPr>
          <w:p>
            <w:r/>
            <w:r>
              <w:rPr>
                <w:sz w:val="19"/>
              </w:rPr>
              <w:t>Is this a second address for the vendor? A Business Partner holds several addresses, which the vendor master could not, so this can now be stored properly. Please confirm what the block represents and when the flag applies.</w:t>
            </w:r>
          </w:p>
        </w:tc>
      </w:tr>
      <w:tr>
        <w:tc>
          <w:tcPr>
            <w:tcW w:type="dxa" w:w="680"/>
          </w:tcPr>
          <w:p>
            <w:r/>
            <w:r>
              <w:rPr>
                <w:sz w:val="19"/>
              </w:rPr>
              <w:t>M2</w:t>
            </w:r>
          </w:p>
        </w:tc>
        <w:tc>
          <w:tcPr>
            <w:tcW w:type="dxa" w:w="3175"/>
          </w:tcPr>
          <w:p>
            <w:r/>
            <w:r>
              <w:rPr>
                <w:sz w:val="19"/>
              </w:rPr>
              <w:t>Tan, Cin, RegistrationNumber, TaxCode, TaxNo, w8_w9</w:t>
            </w:r>
          </w:p>
        </w:tc>
        <w:tc>
          <w:tcPr>
            <w:tcW w:type="dxa" w:w="5499"/>
          </w:tcPr>
          <w:p>
            <w:r/>
            <w:r>
              <w:rPr>
                <w:sz w:val="19"/>
              </w:rPr>
              <w:t>Which SAP field each of these should be written to.</w:t>
            </w:r>
          </w:p>
        </w:tc>
      </w:tr>
      <w:tr>
        <w:tc>
          <w:tcPr>
            <w:tcW w:type="dxa" w:w="680"/>
          </w:tcPr>
          <w:p>
            <w:r/>
            <w:r>
              <w:rPr>
                <w:sz w:val="19"/>
              </w:rPr>
              <w:t>M3</w:t>
            </w:r>
          </w:p>
        </w:tc>
        <w:tc>
          <w:tcPr>
            <w:tcW w:type="dxa" w:w="3175"/>
          </w:tcPr>
          <w:p>
            <w:r/>
            <w:r>
              <w:rPr>
                <w:sz w:val="19"/>
              </w:rPr>
              <w:t>gr_based_iv, schema_code</w:t>
            </w:r>
          </w:p>
        </w:tc>
        <w:tc>
          <w:tcPr>
            <w:tcW w:type="dxa" w:w="5499"/>
          </w:tcPr>
          <w:p>
            <w:r/>
            <w:r>
              <w:rPr>
                <w:sz w:val="19"/>
              </w:rPr>
              <w:t>The program hard-codes GR based invoice verification as X, and derives the schema group from a set rather than from the file. Mapping these columns changes current behaviour - please confirm that is wanted.</w:t>
            </w:r>
          </w:p>
        </w:tc>
      </w:tr>
      <w:tr>
        <w:tc>
          <w:tcPr>
            <w:tcW w:type="dxa" w:w="680"/>
          </w:tcPr>
          <w:p>
            <w:r/>
            <w:r>
              <w:rPr>
                <w:sz w:val="19"/>
              </w:rPr>
              <w:t>M4</w:t>
            </w:r>
          </w:p>
        </w:tc>
        <w:tc>
          <w:tcPr>
            <w:tcW w:type="dxa" w:w="3175"/>
          </w:tcPr>
          <w:p>
            <w:r/>
            <w:r>
              <w:rPr>
                <w:sz w:val="19"/>
              </w:rPr>
              <w:t>bnkcountry</w:t>
            </w:r>
          </w:p>
        </w:tc>
        <w:tc>
          <w:tcPr>
            <w:tcW w:type="dxa" w:w="5499"/>
          </w:tcPr>
          <w:p>
            <w:r/>
            <w:r>
              <w:rPr>
                <w:sz w:val="19"/>
              </w:rPr>
              <w:t>The vendor’s own country is used as the bank country today. Mapping this column changes behaviour for foreign vendors.</w:t>
            </w:r>
          </w:p>
        </w:tc>
      </w:tr>
      <w:tr>
        <w:tc>
          <w:tcPr>
            <w:tcW w:type="dxa" w:w="680"/>
          </w:tcPr>
          <w:p>
            <w:r/>
            <w:r>
              <w:rPr>
                <w:sz w:val="19"/>
              </w:rPr>
              <w:t>M5</w:t>
            </w:r>
          </w:p>
        </w:tc>
        <w:tc>
          <w:tcPr>
            <w:tcW w:type="dxa" w:w="3175"/>
          </w:tcPr>
          <w:p>
            <w:r/>
            <w:r>
              <w:rPr>
                <w:sz w:val="19"/>
              </w:rPr>
              <w:t>bank_name, branch_address, bic, micr, iban</w:t>
            </w:r>
          </w:p>
        </w:tc>
        <w:tc>
          <w:tcPr>
            <w:tcW w:type="dxa" w:w="5499"/>
          </w:tcPr>
          <w:p>
            <w:r/>
            <w:r>
              <w:rPr>
                <w:sz w:val="19"/>
              </w:rPr>
              <w:t>Which bank master field each belongs to. Two points to settle with it: a 24-character IBAN is being written into the 18-character bank account number and truncated, while the file’s own iban column is discarded; and bic holds a branch name in eight of the nine sample records, not a BIC.</w:t>
            </w:r>
          </w:p>
        </w:tc>
      </w:tr>
      <w:tr>
        <w:tc>
          <w:tcPr>
            <w:tcW w:type="dxa" w:w="680"/>
          </w:tcPr>
          <w:p>
            <w:r/>
            <w:r>
              <w:rPr>
                <w:sz w:val="19"/>
              </w:rPr>
              <w:t>M6</w:t>
            </w:r>
          </w:p>
        </w:tc>
        <w:tc>
          <w:tcPr>
            <w:tcW w:type="dxa" w:w="3175"/>
          </w:tcPr>
          <w:p>
            <w:r/>
            <w:r>
              <w:rPr>
                <w:sz w:val="19"/>
              </w:rPr>
              <w:t>contact_number, contact_purpose, Contactlocation_id, SupplierIntroducerName / Id / Email, CompanyWebsite, Phone</w:t>
            </w:r>
          </w:p>
        </w:tc>
        <w:tc>
          <w:tcPr>
            <w:tcW w:type="dxa" w:w="5499"/>
          </w:tcPr>
          <w:p>
            <w:r/>
            <w:r>
              <w:rPr>
                <w:sz w:val="19"/>
              </w:rPr>
              <w:t>Should these become a Business Partner contact person, or communication data on the address?</w:t>
            </w:r>
          </w:p>
        </w:tc>
      </w:tr>
      <w:tr>
        <w:tc>
          <w:tcPr>
            <w:tcW w:type="dxa" w:w="680"/>
          </w:tcPr>
          <w:p>
            <w:r/>
            <w:r>
              <w:rPr>
                <w:sz w:val="19"/>
              </w:rPr>
              <w:t>M7</w:t>
            </w:r>
          </w:p>
        </w:tc>
        <w:tc>
          <w:tcPr>
            <w:tcW w:type="dxa" w:w="3175"/>
          </w:tcPr>
          <w:p>
            <w:r/>
            <w:r>
              <w:rPr>
                <w:sz w:val="19"/>
              </w:rPr>
              <w:t>Status, is_agree, IsUpdateBySupplier, CreatedSource, SupplierInvitationId, and the GST and PAN verification flags</w:t>
            </w:r>
          </w:p>
        </w:tc>
        <w:tc>
          <w:tcPr>
            <w:tcW w:type="dxa" w:w="5499"/>
          </w:tcPr>
          <w:p>
            <w:r/>
            <w:r>
              <w:rPr>
                <w:sz w:val="19"/>
              </w:rPr>
              <w:t>These look like portal control fields. Should they be stored, and if so where, or ignored?</w:t>
            </w:r>
          </w:p>
        </w:tc>
      </w:tr>
      <w:tr>
        <w:tc>
          <w:tcPr>
            <w:tcW w:type="dxa" w:w="680"/>
          </w:tcPr>
          <w:p>
            <w:r/>
            <w:r>
              <w:rPr>
                <w:sz w:val="19"/>
              </w:rPr>
              <w:t>M8</w:t>
            </w:r>
          </w:p>
        </w:tc>
        <w:tc>
          <w:tcPr>
            <w:tcW w:type="dxa" w:w="3175"/>
          </w:tcPr>
          <w:p>
            <w:r/>
            <w:r>
              <w:rPr>
                <w:sz w:val="19"/>
              </w:rPr>
              <w:t>Address3</w:t>
            </w:r>
          </w:p>
        </w:tc>
        <w:tc>
          <w:tcPr>
            <w:tcW w:type="dxa" w:w="5499"/>
          </w:tcPr>
          <w:p>
            <w:r/>
            <w:r>
              <w:rPr>
                <w:sz w:val="19"/>
              </w:rPr>
              <w:t>Populated but not used today. We propose street supplement 2.</w:t>
            </w:r>
          </w:p>
        </w:tc>
      </w:tr>
      <w:tr>
        <w:tc>
          <w:tcPr>
            <w:tcW w:type="dxa" w:w="680"/>
          </w:tcPr>
          <w:p>
            <w:r/>
            <w:r>
              <w:rPr>
                <w:sz w:val="19"/>
              </w:rPr>
              <w:t>M9</w:t>
            </w:r>
          </w:p>
        </w:tc>
        <w:tc>
          <w:tcPr>
            <w:tcW w:type="dxa" w:w="3175"/>
          </w:tcPr>
          <w:p>
            <w:r/>
            <w:r>
              <w:rPr>
                <w:sz w:val="19"/>
              </w:rPr>
              <w:t>CountryName, company, payment_term, purchasing_organization, reco_account, industry_key, schema, currency, gst_classification, OrganizationTypeCode</w:t>
            </w:r>
          </w:p>
        </w:tc>
        <w:tc>
          <w:tcPr>
            <w:tcW w:type="dxa" w:w="5499"/>
          </w:tcPr>
          <w:p>
            <w:r/>
            <w:r>
              <w:rPr>
                <w:sz w:val="19"/>
              </w:rPr>
              <w:t>We assume these are text echoes of the code columns next to them and that nothing is stored. Please confirm.</w:t>
            </w:r>
          </w:p>
        </w:tc>
      </w:tr>
    </w:tbl>
    <w:p/>
    <w:p>
      <w:pPr>
        <w:pStyle w:val="Heading1"/>
      </w:pPr>
      <w:r>
        <w:t>5. Two questions still open from the last round</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175"/>
          </w:tcPr>
          <w:p>
            <w:r/>
            <w:r>
              <w:rPr>
                <w:b/>
                <w:sz w:val="19"/>
              </w:rPr>
              <w:t>Question</w:t>
            </w:r>
          </w:p>
        </w:tc>
        <w:tc>
          <w:tcPr>
            <w:tcW w:type="dxa" w:w="5499"/>
          </w:tcPr>
          <w:p>
            <w:r/>
            <w:r>
              <w:rPr>
                <w:b/>
                <w:sz w:val="19"/>
              </w:rPr>
              <w:t>Why we are asking</w:t>
            </w:r>
          </w:p>
        </w:tc>
      </w:tr>
      <w:tr>
        <w:tc>
          <w:tcPr>
            <w:tcW w:type="dxa" w:w="680"/>
          </w:tcPr>
          <w:p>
            <w:r/>
            <w:r>
              <w:rPr>
                <w:sz w:val="19"/>
              </w:rPr>
              <w:t>Q1</w:t>
            </w:r>
          </w:p>
        </w:tc>
        <w:tc>
          <w:tcPr>
            <w:tcW w:type="dxa" w:w="3175"/>
          </w:tcPr>
          <w:p>
            <w:r/>
            <w:r>
              <w:rPr>
                <w:sz w:val="19"/>
              </w:rPr>
              <w:t>Please provide the mapping from the portal’s State code to the SAP region.</w:t>
            </w:r>
          </w:p>
        </w:tc>
        <w:tc>
          <w:tcPr>
            <w:tcW w:type="dxa" w:w="5499"/>
          </w:tcPr>
          <w:p>
            <w:r/>
            <w:r>
              <w:rPr>
                <w:sz w:val="19"/>
              </w:rPr>
              <w:t>The portal’s codes are self-consistent - Gujarat 06, Karnataka 10, Madhya Pradesh 12, Maharashtra 13 - but they are not the codes carried in the GST numbers on the same records (24, 29, 23, 27), and two records fit neither pattern (Kolkata 25, Hyderabad 01). The value is written straight into the address region today, so it is worth confirming for the existing interface as well.</w:t>
            </w:r>
          </w:p>
        </w:tc>
      </w:tr>
      <w:tr>
        <w:tc>
          <w:tcPr>
            <w:tcW w:type="dxa" w:w="680"/>
          </w:tcPr>
          <w:p>
            <w:r/>
            <w:r>
              <w:rPr>
                <w:sz w:val="19"/>
              </w:rPr>
              <w:t>Q2</w:t>
            </w:r>
          </w:p>
        </w:tc>
        <w:tc>
          <w:tcPr>
            <w:tcW w:type="dxa" w:w="3175"/>
          </w:tcPr>
          <w:p>
            <w:r/>
            <w:r>
              <w:rPr>
                <w:sz w:val="19"/>
              </w:rPr>
              <w:t>Do the columns always appear in the same order, and is a column the portal does not send always absent from the end of the line rather than from the middle?</w:t>
            </w:r>
          </w:p>
        </w:tc>
        <w:tc>
          <w:tcPr>
            <w:tcW w:type="dxa" w:w="5499"/>
          </w:tcPr>
          <w:p>
            <w:r/>
            <w:r>
              <w:rPr>
                <w:sz w:val="19"/>
              </w:rPr>
              <w:t>The line is read by position, not by heading. A column dropped from the middle shifts every value after it, and the record is created with the wrong value in every remaining field - silently, with no error. The five sample files carry 124 columns while the program reads 134, so the last ten are already absent; that is handled, but only because they are at the end.</w:t>
            </w:r>
          </w:p>
        </w:tc>
      </w:tr>
    </w:tbl>
    <w:p/>
    <w:p>
      <w:pPr>
        <w:pStyle w:val="Heading1"/>
      </w:pPr>
      <w:r>
        <w:t>6. Files and objects we need</w:t>
      </w:r>
    </w:p>
    <w:tbl>
      <w:tblPr>
        <w:tblStyle w:val="LightGrid-Accent1"/>
        <w:tblW w:type="auto" w:w="0"/>
        <w:jc w:val="left"/>
        <w:tblLook w:firstColumn="1" w:firstRow="1" w:lastColumn="0" w:lastRow="0" w:noHBand="0" w:noVBand="1" w:val="04A0"/>
      </w:tblPr>
      <w:tblGrid>
        <w:gridCol w:w="3324"/>
        <w:gridCol w:w="3324"/>
        <w:gridCol w:w="3324"/>
      </w:tblGrid>
      <w:tr>
        <w:tc>
          <w:tcPr>
            <w:tcW w:type="dxa" w:w="680"/>
          </w:tcPr>
          <w:p>
            <w:r/>
            <w:r>
              <w:rPr>
                <w:b/>
                <w:sz w:val="19"/>
              </w:rPr>
              <w:t>#</w:t>
            </w:r>
          </w:p>
        </w:tc>
        <w:tc>
          <w:tcPr>
            <w:tcW w:type="dxa" w:w="3175"/>
          </w:tcPr>
          <w:p>
            <w:r/>
            <w:r>
              <w:rPr>
                <w:b/>
                <w:sz w:val="19"/>
              </w:rPr>
              <w:t>What</w:t>
            </w:r>
          </w:p>
        </w:tc>
        <w:tc>
          <w:tcPr>
            <w:tcW w:type="dxa" w:w="5499"/>
          </w:tcPr>
          <w:p>
            <w:r/>
            <w:r>
              <w:rPr>
                <w:b/>
                <w:sz w:val="19"/>
              </w:rPr>
              <w:t>Why</w:t>
            </w:r>
          </w:p>
        </w:tc>
      </w:tr>
      <w:tr>
        <w:tc>
          <w:tcPr>
            <w:tcW w:type="dxa" w:w="680"/>
          </w:tcPr>
          <w:p>
            <w:r/>
            <w:r>
              <w:rPr>
                <w:sz w:val="19"/>
              </w:rPr>
              <w:t>R1</w:t>
            </w:r>
          </w:p>
        </w:tc>
        <w:tc>
          <w:tcPr>
            <w:tcW w:type="dxa" w:w="3175"/>
          </w:tcPr>
          <w:p>
            <w:r/>
            <w:r>
              <w:rPr>
                <w:sz w:val="19"/>
              </w:rPr>
              <w:t>One sample file each for vendor change, employee vendor creation, employee vendor change and vendor extension, and one record carrying withholding tax and exemption data</w:t>
            </w:r>
          </w:p>
        </w:tc>
        <w:tc>
          <w:tcPr>
            <w:tcW w:type="dxa" w:w="5499"/>
          </w:tcPr>
          <w:p>
            <w:r/>
            <w:r>
              <w:rPr>
                <w:sz w:val="19"/>
              </w:rPr>
              <w:t>All nine records supplied are creations with no withholding tax, so those paths cannot be tested against a real file. The employee file also answers F2 and F4.</w:t>
            </w:r>
          </w:p>
        </w:tc>
      </w:tr>
      <w:tr>
        <w:tc>
          <w:tcPr>
            <w:tcW w:type="dxa" w:w="680"/>
          </w:tcPr>
          <w:p>
            <w:r/>
            <w:r>
              <w:rPr>
                <w:sz w:val="19"/>
              </w:rPr>
              <w:t>R2</w:t>
            </w:r>
          </w:p>
        </w:tc>
        <w:tc>
          <w:tcPr>
            <w:tcW w:type="dxa" w:w="3175"/>
          </w:tcPr>
          <w:p>
            <w:r/>
            <w:r>
              <w:rPr>
                <w:sz w:val="19"/>
              </w:rPr>
              <w:t>One sample response file</w:t>
            </w:r>
          </w:p>
        </w:tc>
        <w:tc>
          <w:tcPr>
            <w:tcW w:type="dxa" w:w="5499"/>
          </w:tcPr>
          <w:p>
            <w:r/>
            <w:r>
              <w:rPr>
                <w:sz w:val="19"/>
              </w:rPr>
              <w:t>To locate the SAPVendorN field in the layout we have, and confirm nothing else has to move.</w:t>
            </w:r>
          </w:p>
        </w:tc>
      </w:tr>
      <w:tr>
        <w:tc>
          <w:tcPr>
            <w:tcW w:type="dxa" w:w="680"/>
          </w:tcPr>
          <w:p>
            <w:r/>
            <w:r>
              <w:rPr>
                <w:sz w:val="19"/>
              </w:rPr>
              <w:t>R3</w:t>
            </w:r>
          </w:p>
        </w:tc>
        <w:tc>
          <w:tcPr>
            <w:tcW w:type="dxa" w:w="3175"/>
          </w:tcPr>
          <w:p>
            <w:r/>
            <w:r>
              <w:rPr>
                <w:sz w:val="19"/>
              </w:rPr>
              <w:t>ZGEN_UPDATE_X and ZPARAM_TABLE</w:t>
            </w:r>
          </w:p>
        </w:tc>
        <w:tc>
          <w:tcPr>
            <w:tcW w:type="dxa" w:w="5499"/>
          </w:tcPr>
          <w:p>
            <w:r/>
            <w:r>
              <w:rPr>
                <w:sz w:val="19"/>
              </w:rPr>
              <w:t>Used throughout. We have the calls but not the definitions.</w:t>
            </w:r>
          </w:p>
        </w:tc>
      </w:tr>
      <w:tr>
        <w:tc>
          <w:tcPr>
            <w:tcW w:type="dxa" w:w="680"/>
          </w:tcPr>
          <w:p>
            <w:r/>
            <w:r>
              <w:rPr>
                <w:sz w:val="19"/>
              </w:rPr>
              <w:t>R4</w:t>
            </w:r>
          </w:p>
        </w:tc>
        <w:tc>
          <w:tcPr>
            <w:tcW w:type="dxa" w:w="3175"/>
          </w:tcPr>
          <w:p>
            <w:r/>
            <w:r>
              <w:rPr>
                <w:sz w:val="19"/>
              </w:rPr>
              <w:t>The ZKRP_* structures used by the two function modules</w:t>
            </w:r>
          </w:p>
        </w:tc>
        <w:tc>
          <w:tcPr>
            <w:tcW w:type="dxa" w:w="5499"/>
          </w:tcPr>
          <w:p>
            <w:r/>
            <w:r>
              <w:rPr>
                <w:sz w:val="19"/>
              </w:rPr>
              <w:t>About forty structures carrying the interface parameters.</w:t>
            </w:r>
          </w:p>
        </w:tc>
      </w:tr>
      <w:tr>
        <w:tc>
          <w:tcPr>
            <w:tcW w:type="dxa" w:w="680"/>
          </w:tcPr>
          <w:p>
            <w:r/>
            <w:r>
              <w:rPr>
                <w:sz w:val="19"/>
              </w:rPr>
              <w:t>R5</w:t>
            </w:r>
          </w:p>
        </w:tc>
        <w:tc>
          <w:tcPr>
            <w:tcW w:type="dxa" w:w="3175"/>
          </w:tcPr>
          <w:p>
            <w:r/>
            <w:r>
              <w:rPr>
                <w:sz w:val="19"/>
              </w:rPr>
              <w:t>ZFI_VEND_MSME and ZFI_TAX_TAB - the table definitions</w:t>
            </w:r>
          </w:p>
        </w:tc>
        <w:tc>
          <w:tcPr>
            <w:tcW w:type="dxa" w:w="5499"/>
          </w:tcPr>
          <w:p>
            <w:r/>
            <w:r>
              <w:rPr>
                <w:sz w:val="19"/>
              </w:rPr>
              <w:t>Both are written directly by the interface. We need the field types before we can map to them.</w:t>
            </w:r>
          </w:p>
        </w:tc>
      </w:tr>
      <w:tr>
        <w:tc>
          <w:tcPr>
            <w:tcW w:type="dxa" w:w="680"/>
          </w:tcPr>
          <w:p>
            <w:r/>
            <w:r>
              <w:rPr>
                <w:sz w:val="19"/>
              </w:rPr>
              <w:t>R6</w:t>
            </w:r>
          </w:p>
        </w:tc>
        <w:tc>
          <w:tcPr>
            <w:tcW w:type="dxa" w:w="3175"/>
          </w:tcPr>
          <w:p>
            <w:r/>
            <w:r>
              <w:rPr>
                <w:sz w:val="19"/>
              </w:rPr>
              <w:t>The screen enhancement on XK01 that maintains ZFI_TAX_TAB</w:t>
            </w:r>
          </w:p>
        </w:tc>
        <w:tc>
          <w:tcPr>
            <w:tcW w:type="dxa" w:w="5499"/>
          </w:tcPr>
          <w:p>
            <w:r/>
            <w:r>
              <w:rPr>
                <w:sz w:val="19"/>
              </w:rPr>
              <w:t>Needed for the vendor extension program, where the table is filled from the screen rather than from the file.</w:t>
            </w:r>
          </w:p>
        </w:tc>
      </w:tr>
      <w:tr>
        <w:tc>
          <w:tcPr>
            <w:tcW w:type="dxa" w:w="680"/>
          </w:tcPr>
          <w:p>
            <w:r/>
            <w:r>
              <w:rPr>
                <w:sz w:val="19"/>
              </w:rPr>
              <w:t>R7</w:t>
            </w:r>
          </w:p>
        </w:tc>
        <w:tc>
          <w:tcPr>
            <w:tcW w:type="dxa" w:w="3175"/>
          </w:tcPr>
          <w:p>
            <w:r/>
            <w:r>
              <w:rPr>
                <w:sz w:val="19"/>
              </w:rPr>
              <w:t>A development system and a transport, and development authorisation for vendor and Business Partner master data, with read access to the AL11 inbound and outbound directories</w:t>
            </w:r>
          </w:p>
        </w:tc>
        <w:tc>
          <w:tcPr>
            <w:tcW w:type="dxa" w:w="5499"/>
          </w:tcPr>
          <w:p>
            <w:r/>
            <w:r>
              <w:rPr>
                <w:sz w:val="19"/>
              </w:rPr>
              <w:t>To develop and to test against the real files.</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