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8037b58d5c2795947bd07c37b3e297e7d1429c1"/>
    <w:p>
      <w:pPr>
        <w:pStyle w:val="Heading1"/>
      </w:pPr>
      <w:r>
        <w:t xml:space="preserve">ASRS / TrackWise Interfaces — S/4HANA API Migration Specification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Client review + CPI (SAP Integration Suite) consultant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Replacing direct database (</w:t>
      </w:r>
      <w:r>
        <w:rPr>
          <w:rStyle w:val="VerbatimChar"/>
        </w:rPr>
        <w:t xml:space="preserve">EXEC SQL</w:t>
      </w:r>
      <w:r>
        <w:t xml:space="preserve">) integration with API / HTTP calls</w:t>
      </w:r>
      <w:r>
        <w:t xml:space="preserve"> </w:t>
      </w:r>
      <w:r>
        <w:rPr>
          <w:bCs/>
          <w:b/>
        </w:rPr>
        <w:t xml:space="preserve">Programs covered:</w:t>
      </w:r>
      <w:r>
        <w:t xml:space="preserve"> </w:t>
      </w:r>
      <w:r>
        <w:t xml:space="preserve">10 (reconstructed from the PDF listings in</w:t>
      </w:r>
      <w:r>
        <w:t xml:space="preserve"> </w:t>
      </w:r>
      <w:r>
        <w:rPr>
          <w:rStyle w:val="VerbatimChar"/>
        </w:rPr>
        <w:t xml:space="preserve">interface/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part-a-executive-summary"/>
    <w:p>
      <w:pPr>
        <w:pStyle w:val="Heading2"/>
      </w:pPr>
      <w:r>
        <w:t xml:space="preserve">Part A — Executive summary</w:t>
      </w:r>
    </w:p>
    <w:p>
      <w:pPr>
        <w:pStyle w:val="FirstParagraph"/>
      </w:pPr>
      <w:r>
        <w:t xml:space="preserve">These 10 interface programs exchange data between SAP and two external, non-SAP systems: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ASRS / WMS</w:t>
      </w:r>
      <w:r>
        <w:t xml:space="preserve"> </w:t>
      </w:r>
      <w:r>
        <w:t xml:space="preserve">— the automated warehouse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TrackWise</w:t>
      </w:r>
      <w:r>
        <w:t xml:space="preserve"> </w:t>
      </w:r>
      <w:r>
        <w:t xml:space="preserve">— the Sparta/Honeywell TrackWise Quality Management system (+ RA/MDM material feed)</w:t>
      </w:r>
    </w:p>
    <w:p>
      <w:pPr>
        <w:pStyle w:val="FirstParagraph"/>
      </w:pPr>
      <w:r>
        <w:rPr>
          <w:bCs/>
          <w:b/>
        </w:rPr>
        <w:t xml:space="preserve">Current integration mechanism (as-is):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None of the 10 programs use any API, HTTP, OData, REST, SOAP or RFC call today.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100% of the external integration is done with Native SQL (</w:t>
      </w:r>
      <w:r>
        <w:rPr>
          <w:rStyle w:val="VerbatimChar"/>
          <w:bCs/>
          <w:b/>
        </w:rPr>
        <w:t xml:space="preserve">EXEC SQL … ENDEXEC</w:t>
      </w:r>
      <w:r>
        <w:rPr>
          <w:bCs/>
          <w:b/>
        </w:rPr>
        <w:t xml:space="preserve">) over a</w:t>
      </w:r>
      <w:r>
        <w:rPr>
          <w:bCs/>
          <w:b/>
        </w:rPr>
        <w:t xml:space="preserve"> </w:t>
      </w:r>
      <w:r>
        <w:rPr>
          <w:bCs/>
          <w:b/>
        </w:rPr>
        <w:t xml:space="preserve">&gt; DBCON secondary database connection</w:t>
      </w:r>
      <w:r>
        <w:t xml:space="preserve"> </w:t>
      </w:r>
      <w:r>
        <w:t xml:space="preserve">— i.e. SAP opens a direct connection to the external</w:t>
      </w:r>
      <w:r>
        <w:t xml:space="preserve"> </w:t>
      </w:r>
      <w:r>
        <w:t xml:space="preserve">&gt; system’s database and runs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straight against its tables.</w:t>
      </w:r>
    </w:p>
    <w:p>
      <w:pPr>
        <w:pStyle w:val="BodyText"/>
      </w:pPr>
      <w:r>
        <w:rPr>
          <w:bCs/>
          <w:b/>
        </w:rPr>
        <w:t xml:space="preserve">Why it must change (to-be):</w:t>
      </w:r>
      <w:r>
        <w:t xml:space="preserve"> </w:t>
      </w:r>
      <w:r>
        <w:t xml:space="preserve">&gt; On S/4HANA a program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open a direct connection to a foreign database and execute SQL</w:t>
      </w:r>
      <w:r>
        <w:t xml:space="preserve"> </w:t>
      </w:r>
      <w:r>
        <w:t xml:space="preserve">&gt; against it (native SQL over DBCON to a 3rd‑party DB is not allowed under clean‑core / S/4HANA</w:t>
      </w:r>
      <w:r>
        <w:t xml:space="preserve"> </w:t>
      </w:r>
      <w:r>
        <w:t xml:space="preserve">&gt; Cloud, and is deprecated on‑premise).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EXEC SQL</w:t>
      </w:r>
      <w:r>
        <w:rPr>
          <w:bCs/>
          <w:b/>
        </w:rPr>
        <w:t xml:space="preserve"> </w:t>
      </w:r>
      <w:r>
        <w:rPr>
          <w:bCs/>
          <w:b/>
        </w:rPr>
        <w:t xml:space="preserve">block must be replaced by an API call</w:t>
      </w:r>
      <w:r>
        <w:t xml:space="preserve"> </w:t>
      </w:r>
      <w:r>
        <w:t xml:space="preserve">&gt; to an endpoint that the external system (ASRS, TrackWise) exposes — this is where CPI comes in.</w:t>
      </w:r>
    </w:p>
    <w:p>
      <w:pPr>
        <w:pStyle w:val="BodyText"/>
      </w:pPr>
      <w:r>
        <w:rPr>
          <w:bCs/>
          <w:b/>
        </w:rPr>
        <w:t xml:space="preserve">What CPI must build:</w:t>
      </w:r>
      <w:r>
        <w:t xml:space="preserve"> </w:t>
      </w:r>
      <w:r>
        <w:t xml:space="preserve">a set of APIs / iFlows (detailed in Part C) that accept the same data that</w:t>
      </w:r>
      <w:r>
        <w:t xml:space="preserve"> </w:t>
      </w:r>
      <w:r>
        <w:t xml:space="preserve">is currently being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ed into, or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ed from, the external databases. SAP will call these</w:t>
      </w:r>
      <w:r>
        <w:t xml:space="preserve"> </w:t>
      </w:r>
      <w:r>
        <w:t xml:space="preserve">APIs instead of touching the foreign DB directly.</w:t>
      </w:r>
    </w:p>
    <w:p>
      <w:pPr>
        <w:pStyle w:val="BodyText"/>
      </w:pPr>
      <w:r>
        <w:rPr>
          <w:bCs/>
          <w:b/>
        </w:rPr>
        <w:t xml:space="preserve">✅ Chosen design — Option A (CPI + JDBC).</w:t>
      </w:r>
      <w:r>
        <w:t xml:space="preserve"> </w:t>
      </w:r>
      <w:r>
        <w:t xml:space="preserve">The external systems are Microsoft SQL Server databases</w:t>
      </w:r>
      <w:r>
        <w:t xml:space="preserve"> </w:t>
      </w:r>
      <w:r>
        <w:t xml:space="preserve">and expose</w:t>
      </w:r>
      <w:r>
        <w:t xml:space="preserve"> </w:t>
      </w:r>
      <w:r>
        <w:rPr>
          <w:bCs/>
          <w:b/>
        </w:rPr>
        <w:t xml:space="preserve">no API today</w:t>
      </w:r>
      <w:r>
        <w:t xml:space="preserve"> </w:t>
      </w:r>
      <w:r>
        <w:t xml:space="preserve">(confirmed from code: 100%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). Rather than wait for the</w:t>
      </w:r>
      <w:r>
        <w:t xml:space="preserve"> </w:t>
      </w:r>
      <w:r>
        <w:t xml:space="preserve">ASRS/TrackWise vendors to build APIs,</w:t>
      </w:r>
      <w:r>
        <w:t xml:space="preserve"> </w:t>
      </w:r>
      <w:r>
        <w:rPr>
          <w:bCs/>
          <w:b/>
        </w:rPr>
        <w:t xml:space="preserve">CPI uses its MS SQL Server JDBC adapter to write/read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HOST_TO_WMS</w:t>
      </w:r>
      <w:r>
        <w:t xml:space="preserve">,</w:t>
      </w:r>
      <w:r>
        <w:t xml:space="preserve"> </w:t>
      </w:r>
      <w:r>
        <w:rPr>
          <w:rStyle w:val="VerbatimChar"/>
        </w:rPr>
        <w:t xml:space="preserve">ZTW_MAT_DET</w:t>
      </w:r>
      <w:r>
        <w:t xml:space="preserve">,</w:t>
      </w:r>
      <w:r>
        <w:t xml:space="preserve"> </w:t>
      </w:r>
      <w:r>
        <w:rPr>
          <w:rStyle w:val="VerbatimChar"/>
        </w:rPr>
        <w:t xml:space="preserve">ZTW_PROD_DET</w:t>
      </w:r>
      <w:r>
        <w:t xml:space="preserve">,</w:t>
      </w:r>
      <w:r>
        <w:t xml:space="preserve"> </w:t>
      </w:r>
      <w:r>
        <w:rPr>
          <w:rStyle w:val="VerbatimChar"/>
        </w:rPr>
        <w:t xml:space="preserve">ZTW_PLNT_DET</w:t>
      </w:r>
      <w:r>
        <w:t xml:space="preserve">) that SAP writes today:</w:t>
      </w:r>
    </w:p>
    <w:p>
      <w:pPr>
        <w:pStyle w:val="BlockText"/>
      </w:pPr>
      <w:r>
        <w:rPr>
          <w:rStyle w:val="VerbatimChar"/>
        </w:rPr>
        <w:t xml:space="preserve">SAP (ABAP) ──HTTPS OData/REST──► CPI iFlow ──JDBC──► same SQL Server tables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Cs/>
          <w:b/>
        </w:rPr>
        <w:t xml:space="preserve">only the SAP↔CPI hop becomes an API</w:t>
      </w:r>
      <w:r>
        <w:t xml:space="preserve">; the ASRS/TrackWise databases are unchanged, and SAP</w:t>
      </w:r>
      <w:r>
        <w:t xml:space="preserve"> </w:t>
      </w:r>
      <w:r>
        <w:t xml:space="preserve">becomes clean-core (no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, no DB credentials). Per-plant routing (</w:t>
      </w:r>
      <w:r>
        <w:rPr>
          <w:rStyle w:val="VerbatimChar"/>
        </w:rPr>
        <w:t xml:space="preserve">CON_1047</w:t>
      </w:r>
      <w:r>
        <w:t xml:space="preserve"> </w:t>
      </w:r>
      <w:r>
        <w:t xml:space="preserve">Goa,</w:t>
      </w:r>
      <w:r>
        <w:t xml:space="preserve"> </w:t>
      </w:r>
      <w:r>
        <w:rPr>
          <w:rStyle w:val="VerbatimChar"/>
        </w:rPr>
        <w:t xml:space="preserve">CON_1048</w:t>
      </w:r>
      <w:r>
        <w:t xml:space="preserve"> </w:t>
      </w:r>
      <w:r>
        <w:t xml:space="preserve">Sikkim,</w:t>
      </w:r>
      <w:r>
        <w:t xml:space="preserve"> </w:t>
      </w:r>
      <w:r>
        <w:rPr>
          <w:rStyle w:val="VerbatimChar"/>
        </w:rPr>
        <w:t xml:space="preserve">CON_MDM</w:t>
      </w:r>
      <w:r>
        <w:t xml:space="preserve"> </w:t>
      </w:r>
      <w:r>
        <w:t xml:space="preserve">TrackWise) is preserved by CPI JDBC data-sources.</w:t>
      </w:r>
    </w:p>
    <w:p>
      <w:pPr>
        <w:pStyle w:val="BodyText"/>
      </w:pPr>
      <w:r>
        <w:rPr>
          <w:bCs/>
          <w:b/>
        </w:rPr>
        <w:t xml:space="preserve">Scale of change (all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EXEC SQL</w:t>
      </w:r>
      <w:r>
        <w:rPr>
          <w:bCs/>
          <w:b/>
        </w:rPr>
        <w:t xml:space="preserve">, nothing else, needs to change):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Programs using external DB via</w:t>
            </w:r>
            <w:r>
              <w:t xml:space="preserve"> </w:t>
            </w:r>
            <w:r>
              <w:rPr>
                <w:rStyle w:val="VerbatimChar"/>
              </w:rPr>
              <w:t xml:space="preserve">EXEC 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of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Programs already using an API/HTTP 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EXEC SQL</w:t>
            </w:r>
            <w:r>
              <w:t xml:space="preserve"> </w:t>
            </w:r>
            <w:r>
              <w:t xml:space="preserve">blocks to replace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external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(push to ASRS/TrackWise)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external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(read status/existence)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connection ops (</w:t>
            </w:r>
            <w:r>
              <w:rPr>
                <w:rStyle w:val="VerbatimChar"/>
              </w:rPr>
              <w:t xml:space="preserve">CONNECT</w:t>
            </w:r>
            <w:r>
              <w:t xml:space="preserve">/</w:t>
            </w:r>
            <w:r>
              <w:rPr>
                <w:rStyle w:val="VerbatimChar"/>
              </w:rPr>
              <w:t xml:space="preserve">SET</w:t>
            </w:r>
            <w:r>
              <w:t xml:space="preserve">/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DISCONNECT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Open-SQL statements on SAP tables (stay unchanged)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8ed5f9938b8c5786a10e6c09d5384716b2bb345"/>
    <w:p>
      <w:pPr>
        <w:pStyle w:val="Heading2"/>
      </w:pPr>
      <w:r>
        <w:t xml:space="preserve">Part B — Program-by-program: what is API/HTTP vs. what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changes</w:t>
      </w:r>
    </w:p>
    <w:p>
      <w:pPr>
        <w:pStyle w:val="FirstParagraph"/>
      </w:pPr>
      <w:r>
        <w:t xml:space="preserve">For each program: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API/HTTP today?</w:t>
      </w:r>
      <w:r>
        <w:rPr>
          <w:bCs/>
          <w:b/>
        </w:rPr>
        <w:t xml:space="preserve">”</w:t>
      </w:r>
      <w:r>
        <w:t xml:space="preserve"> </w:t>
      </w:r>
      <w:r>
        <w:t xml:space="preserve">= does it already call any API (all say No), and the exact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parts that must be converted. Line numbers refer to the</w:t>
      </w:r>
      <w:r>
        <w:t xml:space="preserve"> </w:t>
      </w:r>
      <w:r>
        <w:rPr>
          <w:rStyle w:val="VerbatimChar"/>
        </w:rPr>
        <w:t xml:space="preserve">.abap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interface/</w:t>
      </w:r>
      <w:r>
        <w:t xml:space="preserve">.</w:t>
      </w:r>
    </w:p>
    <w:bookmarkStart w:id="21" w:name="Xbb34395acae40e167c13dbf8054d40cf30d945f"/>
    <w:p>
      <w:pPr>
        <w:pStyle w:val="Heading3"/>
      </w:pPr>
      <w:r>
        <w:t xml:space="preserve">B.1 ZMM_SQL_ASRS_SAP_PUSH</w:t>
      </w:r>
      <w:r>
        <w:t xml:space="preserve"> </w:t>
      </w:r>
      <w:r>
        <w:rPr>
          <w:iCs/>
          <w:i/>
        </w:rPr>
        <w:t xml:space="preserve">(+ 6 identical siblings — see note)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push pending SAP messages to the ASRS/WMS system.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API/HTTP today?</w:t>
      </w:r>
      <w:r>
        <w:t xml:space="preserve"> </w:t>
      </w:r>
      <w:r>
        <w:t xml:space="preserve">❌ No — uses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Parts that STAY (Open SQL on SAP tables):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SELECT * FROM zmm_dbcon_asrs</w:t>
      </w:r>
      <w:r>
        <w:t xml:space="preserve"> </w:t>
      </w:r>
      <w:r>
        <w:t xml:space="preserve">(read connection config)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SELECT * FROM zmm_asrs WHERE msg_trans_type IN s_type AND trf_status = 'N'</w:t>
      </w:r>
      <w:r>
        <w:t xml:space="preserve"> </w:t>
      </w:r>
      <w:r>
        <w:t xml:space="preserve">(pick pending)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MODIFY zmm_asrs FROM TABLE gt_asrs</w:t>
      </w:r>
      <w:r>
        <w:t xml:space="preserve"> </w:t>
      </w:r>
      <w:r>
        <w:t xml:space="preserve">(write back</w:t>
      </w:r>
      <w:r>
        <w:t xml:space="preserve"> </w:t>
      </w:r>
      <w:r>
        <w:rPr>
          <w:rStyle w:val="VerbatimChar"/>
        </w:rPr>
        <w:t xml:space="preserve">trf_status = 'Y'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Parts that CHANGE (</w:t>
      </w:r>
      <w:r>
        <w:rPr>
          <w:rStyle w:val="VerbatimChar"/>
          <w:bCs/>
          <w:b/>
        </w:rPr>
        <w:t xml:space="preserve">EXEC SQL</w:t>
      </w:r>
      <w:r>
        <w:rPr>
          <w:bCs/>
          <w:b/>
        </w:rPr>
        <w:t xml:space="preserve"> </w:t>
      </w:r>
      <w:r>
        <w:rPr>
          <w:bCs/>
          <w:b/>
        </w:rPr>
        <w:t xml:space="preserve">→ API):</w:t>
      </w:r>
      <w:r>
        <w:t xml:space="preserve"> </w:t>
      </w:r>
      <w:r>
        <w:t xml:space="preserve">| Line(s) |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today | Replace with |</w:t>
      </w:r>
      <w:r>
        <w:t xml:space="preserve"> </w:t>
      </w:r>
      <w:r>
        <w:t xml:space="preserve">|———|——————|————–|</w:t>
      </w:r>
      <w:r>
        <w:t xml:space="preserve"> </w:t>
      </w:r>
      <w:r>
        <w:t xml:space="preserve">| 64–77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 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CONNECTION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CONNECTION</w:t>
      </w:r>
      <w:r>
        <w:t xml:space="preserve"> </w:t>
      </w:r>
      <w:r>
        <w:t xml:space="preserve">:DBCON | (removed — handled by destination) |</w:t>
      </w:r>
      <w:r>
        <w:t xml:space="preserve"> </w:t>
      </w:r>
      <w:r>
        <w:t xml:space="preserve">| 91–150 |</w:t>
      </w:r>
      <w:r>
        <w:t xml:space="preserve"> </w:t>
      </w:r>
      <w:r>
        <w:rPr>
          <w:rStyle w:val="VerbatimChar"/>
        </w:rPr>
        <w:t xml:space="preserve">INSERT INTO host_to_wms (29 cols) VALUES (…)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ASRS – Push Message</w:t>
      </w:r>
      <w:r>
        <w:t xml:space="preserve"> </w:t>
      </w:r>
      <w:r>
        <w:t xml:space="preserve">API (see C-1) |</w:t>
      </w:r>
      <w:r>
        <w:t xml:space="preserve"> </w:t>
      </w:r>
      <w:r>
        <w:t xml:space="preserve">| 167–169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| (removed) |</w:t>
      </w:r>
    </w:p>
    <w:p>
      <w:pPr>
        <w:pStyle w:val="BlockText"/>
      </w:pPr>
      <w:r>
        <w:rPr>
          <w:bCs/>
          <w:b/>
        </w:rPr>
        <w:t xml:space="preserve">Note — the 7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ZMM_SQL_ASRS_SAP_PUSH*</w:t>
      </w:r>
      <w:r>
        <w:rPr>
          <w:bCs/>
          <w:b/>
        </w:rPr>
        <w:t xml:space="preserve"> </w:t>
      </w:r>
      <w:r>
        <w:rPr>
          <w:bCs/>
          <w:b/>
        </w:rPr>
        <w:t xml:space="preserve">variants are structurally identical.</w:t>
      </w:r>
      <w:r>
        <w:t xml:space="preserve"> </w:t>
      </w:r>
      <w:r>
        <w:rPr>
          <w:rStyle w:val="VerbatimChar"/>
        </w:rPr>
        <w:t xml:space="preserve">_COR</w:t>
      </w:r>
      <w:r>
        <w:t xml:space="preserve"> </w:t>
      </w:r>
      <w:r>
        <w:t xml:space="preserve">(correction),</w:t>
      </w:r>
      <w:r>
        <w:t xml:space="preserve"> </w:t>
      </w:r>
      <w:r>
        <w:rPr>
          <w:rStyle w:val="VerbatimChar"/>
        </w:rPr>
        <w:t xml:space="preserve">_DISPENSE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_IN</w:t>
      </w:r>
      <w:r>
        <w:t xml:space="preserve"> </w:t>
      </w:r>
      <w:r>
        <w:t xml:space="preserve">(inbound),</w:t>
      </w:r>
      <w:r>
        <w:t xml:space="preserve"> </w:t>
      </w:r>
      <w:r>
        <w:rPr>
          <w:rStyle w:val="VerbatimChar"/>
        </w:rPr>
        <w:t xml:space="preserve">_MAT</w:t>
      </w:r>
      <w:r>
        <w:t xml:space="preserve"> </w:t>
      </w:r>
      <w:r>
        <w:t xml:space="preserve">(material),</w:t>
      </w:r>
      <w:r>
        <w:t xml:space="preserve"> </w:t>
      </w:r>
      <w:r>
        <w:rPr>
          <w:rStyle w:val="VerbatimChar"/>
        </w:rPr>
        <w:t xml:space="preserve">_OUT</w:t>
      </w:r>
      <w:r>
        <w:t xml:space="preserve"> </w:t>
      </w:r>
      <w:r>
        <w:t xml:space="preserve">(outbound),</w:t>
      </w:r>
      <w:r>
        <w:t xml:space="preserve"> </w:t>
      </w:r>
      <w:r>
        <w:rPr>
          <w:rStyle w:val="VerbatimChar"/>
        </w:rPr>
        <w:t xml:space="preserve">_PARFULL</w:t>
      </w:r>
      <w:r>
        <w:t xml:space="preserve"> </w:t>
      </w:r>
      <w:r>
        <w:t xml:space="preserve">(partial/full) differ only in the</w:t>
      </w:r>
      <w:r>
        <w:t xml:space="preserve"> </w:t>
      </w:r>
      <w:r>
        <w:rPr>
          <w:rStyle w:val="VerbatimChar"/>
        </w:rPr>
        <w:t xml:space="preserve">MSG_TRANS_TYPE</w:t>
      </w:r>
      <w:r>
        <w:t xml:space="preserve"> </w:t>
      </w:r>
      <w:r>
        <w:t xml:space="preserve">they select and minor field mapping.</w:t>
      </w:r>
      <w:r>
        <w:t xml:space="preserve"> </w:t>
      </w:r>
      <w:r>
        <w:rPr>
          <w:bCs/>
          <w:b/>
        </w:rPr>
        <w:t xml:space="preserve">All 7</w:t>
      </w:r>
      <w:r>
        <w:rPr>
          <w:bCs/>
          <w:b/>
        </w:rPr>
        <w:t xml:space="preserve"> </w:t>
      </w:r>
      <w:r>
        <w:rPr>
          <w:bCs/>
          <w:b/>
        </w:rPr>
        <w:t xml:space="preserve">insert into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HOST_TO_WMS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→ all 7 call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iCs/>
          <w:i/>
        </w:rPr>
        <w:t xml:space="preserve">ASRS – Push Message</w:t>
      </w:r>
      <w:r>
        <w:t xml:space="preserve"> </w:t>
      </w:r>
      <w:r>
        <w:t xml:space="preserve">API.</w:t>
      </w:r>
    </w:p>
    <w:bookmarkEnd w:id="21"/>
    <w:bookmarkStart w:id="22" w:name="b.2-zmm_asrs_sap_interface"/>
    <w:p>
      <w:pPr>
        <w:pStyle w:val="Heading3"/>
      </w:pPr>
      <w:r>
        <w:t xml:space="preserve">B.2 ZMM_ASRS_SAP_INTERFACE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read message status back from ASRS and show it in an ALV monitor.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API/HTTP today?</w:t>
      </w:r>
      <w:r>
        <w:t xml:space="preserve"> </w:t>
      </w:r>
      <w:r>
        <w:t xml:space="preserve">❌ No.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Parts that STAY:</w:t>
      </w:r>
      <w:r>
        <w:t xml:space="preserve"> </w:t>
      </w:r>
      <w:r>
        <w:rPr>
          <w:rStyle w:val="VerbatimChar"/>
        </w:rPr>
        <w:t xml:space="preserve">SELECT … FROM zmm_asrs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* FROM zmm_dbcon_asrs</w:t>
      </w:r>
      <w:r>
        <w:t xml:space="preserve">, the ALV display.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Parts that CHANGE:</w:t>
      </w:r>
      <w:r>
        <w:t xml:space="preserve"> </w:t>
      </w:r>
      <w:r>
        <w:t xml:space="preserve">| Line(s) |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today | Replace with |</w:t>
      </w:r>
      <w:r>
        <w:t xml:space="preserve"> </w:t>
      </w:r>
      <w:r>
        <w:t xml:space="preserve">|———|——————|————–|</w:t>
      </w:r>
      <w:r>
        <w:t xml:space="preserve"> </w:t>
      </w:r>
      <w:r>
        <w:t xml:space="preserve">| 133–143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 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CONNECTION</w:t>
      </w:r>
      <w:r>
        <w:t xml:space="preserve"> </w:t>
      </w:r>
      <w:r>
        <w:t xml:space="preserve">| (removed) |</w:t>
      </w:r>
      <w:r>
        <w:t xml:space="preserve"> </w:t>
      </w:r>
      <w:r>
        <w:t xml:space="preserve">| 149–160 |</w:t>
      </w:r>
      <w:r>
        <w:t xml:space="preserve"> </w:t>
      </w:r>
      <w:r>
        <w:rPr>
          <w:rStyle w:val="VerbatimChar"/>
        </w:rPr>
        <w:t xml:space="preserve">OPEN dbcur FOR SELECT MSG_ERR, MSG_STAT FROM HOST_TO_WMS WHERE MSG_REC_ID = :…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rPr>
          <w:iCs/>
          <w:i/>
        </w:rPr>
        <w:t xml:space="preserve">ASRS – Get Message Status</w:t>
      </w:r>
      <w:r>
        <w:t xml:space="preserve"> </w:t>
      </w:r>
      <w:r>
        <w:t xml:space="preserve">API (see C-2) |</w:t>
      </w:r>
      <w:r>
        <w:t xml:space="preserve"> </w:t>
      </w:r>
      <w:r>
        <w:t xml:space="preserve">| 189–191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| (removed) |</w:t>
      </w:r>
    </w:p>
    <w:bookmarkEnd w:id="22"/>
    <w:bookmarkStart w:id="23" w:name="b.3-zmdm_ra_trackwise"/>
    <w:p>
      <w:pPr>
        <w:pStyle w:val="Heading3"/>
      </w:pPr>
      <w:r>
        <w:t xml:space="preserve">B.3 ZMDM_RA_TRACKWISE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push new API-relevant material numbers to the RA-TrackWise system.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API/HTTP today?</w:t>
      </w:r>
      <w:r>
        <w:t xml:space="preserve"> </w:t>
      </w:r>
      <w:r>
        <w:t xml:space="preserve">❌ No.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Parts that STAY:</w:t>
      </w:r>
      <w:r>
        <w:t xml:space="preserve"> </w:t>
      </w:r>
      <w:r>
        <w:rPr>
          <w:rStyle w:val="VerbatimChar"/>
        </w:rPr>
        <w:t xml:space="preserve">SELECT * FROM zcon_mdm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field1 FROM zmm_param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* FROM mara …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Parts that CHANGE:</w:t>
      </w:r>
      <w:r>
        <w:t xml:space="preserve"> </w:t>
      </w:r>
      <w:r>
        <w:t xml:space="preserve">| Line(s) |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today | Replace with |</w:t>
      </w:r>
      <w:r>
        <w:t xml:space="preserve"> </w:t>
      </w:r>
      <w:r>
        <w:t xml:space="preserve">|———|——————|————–|</w:t>
      </w:r>
      <w:r>
        <w:t xml:space="preserve"> </w:t>
      </w:r>
      <w:r>
        <w:t xml:space="preserve">| 96–112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 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CONNECTION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CONNECTION</w:t>
      </w:r>
      <w:r>
        <w:t xml:space="preserve"> </w:t>
      </w:r>
      <w:r>
        <w:t xml:space="preserve">| (removed) |</w:t>
      </w:r>
      <w:r>
        <w:t xml:space="preserve"> </w:t>
      </w:r>
      <w:r>
        <w:t xml:space="preserve">| 126–130 |</w:t>
      </w:r>
      <w:r>
        <w:t xml:space="preserve"> </w:t>
      </w:r>
      <w:r>
        <w:rPr>
          <w:rStyle w:val="VerbatimChar"/>
        </w:rPr>
        <w:t xml:space="preserve">INSERT INTO MARA (MATNR) VALUES ( :gs_mara-matnr 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rPr>
          <w:iCs/>
          <w:i/>
        </w:rPr>
        <w:t xml:space="preserve">TrackWise – Push Material</w:t>
      </w:r>
      <w:r>
        <w:t xml:space="preserve"> </w:t>
      </w:r>
      <w:r>
        <w:t xml:space="preserve">API (see C-3) |</w:t>
      </w:r>
      <w:r>
        <w:t xml:space="preserve"> </w:t>
      </w:r>
      <w:r>
        <w:t xml:space="preserve">| 143–145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| (removed) |</w:t>
      </w:r>
    </w:p>
    <w:bookmarkEnd w:id="23"/>
    <w:bookmarkStart w:id="24" w:name="X1e1c70847c43dcda1c428a7b60814714e84b768"/>
    <w:p>
      <w:pPr>
        <w:pStyle w:val="Heading3"/>
      </w:pPr>
      <w:r>
        <w:t xml:space="preserve">B.4 ZQM_TRACKWISE</w:t>
      </w:r>
      <w:r>
        <w:t xml:space="preserve"> </w:t>
      </w:r>
      <w:r>
        <w:rPr>
          <w:iCs/>
          <w:i/>
        </w:rPr>
        <w:t xml:space="preserve">(largest — 27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EXEC SQL</w:t>
      </w:r>
      <w:r>
        <w:rPr>
          <w:iCs/>
          <w:i/>
        </w:rPr>
        <w:t xml:space="preserve"> </w:t>
      </w:r>
      <w:r>
        <w:rPr>
          <w:iCs/>
          <w:i/>
        </w:rPr>
        <w:t xml:space="preserve">blocks)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push plant, material-detail and product-detail records to TrackWise for deviation processing.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API/HTTP today?</w:t>
      </w:r>
      <w:r>
        <w:t xml:space="preserve"> </w:t>
      </w:r>
      <w:r>
        <w:t xml:space="preserve">❌ No.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Parts that STAY:</w:t>
      </w:r>
      <w:r>
        <w:t xml:space="preserve"> </w:t>
      </w:r>
      <w:r>
        <w:rPr>
          <w:rStyle w:val="VerbatimChar"/>
        </w:rPr>
        <w:t xml:space="preserve">SELECT * FROM zcon_mdm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SINGLE name1 FROM t001w</w:t>
      </w:r>
      <w:r>
        <w:t xml:space="preserve">, the local</w:t>
      </w:r>
      <w:r>
        <w:t xml:space="preserve"> </w:t>
      </w:r>
      <w:r>
        <w:rPr>
          <w:rStyle w:val="VerbatimChar"/>
        </w:rPr>
        <w:t xml:space="preserve">INSERT ztw_prod_det/ztw_mat_det FROM TABLE …</w:t>
      </w:r>
      <w:r>
        <w:t xml:space="preserve"> </w:t>
      </w:r>
      <w:r>
        <w:t xml:space="preserve">into SAP mirror tables.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Parts that CHANGE:</w:t>
      </w:r>
      <w:r>
        <w:t xml:space="preserve"> </w:t>
      </w:r>
      <w:r>
        <w:t xml:space="preserve">| Line(s) |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today | Replace with |</w:t>
      </w:r>
      <w:r>
        <w:t xml:space="preserve"> </w:t>
      </w:r>
      <w:r>
        <w:t xml:space="preserve">|———|——————|————–|</w:t>
      </w:r>
      <w:r>
        <w:t xml:space="preserve"> </w:t>
      </w:r>
      <w:r>
        <w:t xml:space="preserve">| multiple |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/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SET CONNECTION</w:t>
      </w:r>
      <w:r>
        <w:t xml:space="preserve"> </w:t>
      </w:r>
      <w:r>
        <w:t xml:space="preserve">(15 ops) | (removed) |</w:t>
      </w:r>
      <w:r>
        <w:t xml:space="preserve"> </w:t>
      </w:r>
      <w:r>
        <w:t xml:space="preserve">| 131–173, 182–222 |</w:t>
      </w:r>
      <w:r>
        <w:t xml:space="preserve"> </w:t>
      </w:r>
      <w:r>
        <w:rPr>
          <w:rStyle w:val="VerbatimChar"/>
        </w:rPr>
        <w:t xml:space="preserve">INSERT INTO ZTW_MAT_DET (…)</w:t>
      </w:r>
      <w:r>
        <w:t xml:space="preserve"> </w:t>
      </w:r>
      <w:r>
        <w:t xml:space="preserve">(2 branches) |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rPr>
          <w:iCs/>
          <w:i/>
        </w:rPr>
        <w:t xml:space="preserve">TrackWise – Push Material Detail</w:t>
      </w:r>
      <w:r>
        <w:t xml:space="preserve"> </w:t>
      </w:r>
      <w:r>
        <w:t xml:space="preserve">(C-4) |</w:t>
      </w:r>
      <w:r>
        <w:t xml:space="preserve"> </w:t>
      </w:r>
      <w:r>
        <w:t xml:space="preserve">| 302–307 |</w:t>
      </w:r>
      <w:r>
        <w:t xml:space="preserve"> </w:t>
      </w:r>
      <w:r>
        <w:rPr>
          <w:rStyle w:val="VerbatimChar"/>
        </w:rPr>
        <w:t xml:space="preserve">SELECT Plant_Code, Plant_Name FROM ZTW_PLNT_DET WHERE Plant_Code = :…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rPr>
          <w:iCs/>
          <w:i/>
        </w:rPr>
        <w:t xml:space="preserve">TrackWise – Check Plant</w:t>
      </w:r>
      <w:r>
        <w:t xml:space="preserve"> </w:t>
      </w:r>
      <w:r>
        <w:t xml:space="preserve">(C-5) |</w:t>
      </w:r>
      <w:r>
        <w:t xml:space="preserve"> </w:t>
      </w:r>
      <w:r>
        <w:t xml:space="preserve">| 320–326 |</w:t>
      </w:r>
      <w:r>
        <w:t xml:space="preserve"> </w:t>
      </w:r>
      <w:r>
        <w:rPr>
          <w:rStyle w:val="VerbatimChar"/>
        </w:rPr>
        <w:t xml:space="preserve">INSERT INTO ZTW_PLNT_DET (Plant_Code, Plant_Name) VALUES (…)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rPr>
          <w:iCs/>
          <w:i/>
        </w:rPr>
        <w:t xml:space="preserve">TrackWise – Push Plant</w:t>
      </w:r>
      <w:r>
        <w:t xml:space="preserve"> </w:t>
      </w:r>
      <w:r>
        <w:t xml:space="preserve">(C-6) |</w:t>
      </w:r>
      <w:r>
        <w:t xml:space="preserve"> </w:t>
      </w:r>
      <w:r>
        <w:t xml:space="preserve">| 410–442, 450–480, 488–516, 525–555, 563–595, 603–637, 645–675, 683–715 | 8 ×</w:t>
      </w:r>
      <w:r>
        <w:t xml:space="preserve"> </w:t>
      </w:r>
      <w:r>
        <w:rPr>
          <w:rStyle w:val="VerbatimChar"/>
        </w:rPr>
        <w:t xml:space="preserve">INSERT INTO ZTW_PROD_DET (…)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rPr>
          <w:iCs/>
          <w:i/>
        </w:rPr>
        <w:t xml:space="preserve">TrackWise – Push Product Detail</w:t>
      </w:r>
      <w:r>
        <w:t xml:space="preserve"> </w:t>
      </w:r>
      <w:r>
        <w:t xml:space="preserve">(C-7)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ae8ea20d32003754fc82a45ac83050c7fd4f12"/>
    <w:p>
      <w:pPr>
        <w:pStyle w:val="Heading2"/>
      </w:pPr>
      <w:r>
        <w:t xml:space="preserve">Part C — API interface catalogue (for the CPI consultant)</w:t>
      </w:r>
    </w:p>
    <w:p>
      <w:pPr>
        <w:pStyle w:val="FirstParagraph"/>
      </w:pPr>
      <w:r>
        <w:t xml:space="preserve">Seven logical APIs cover all 82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blocks. Method/verb is a recommendation; the exact</w:t>
      </w:r>
      <w:r>
        <w:t xml:space="preserve"> </w:t>
      </w:r>
      <w:r>
        <w:t xml:space="preserve">protocol (REST/JSON vs SOAP vs OData) is for the CPI + external-system teams to finalise. Payload</w:t>
      </w:r>
      <w:r>
        <w:t xml:space="preserve"> </w:t>
      </w:r>
      <w:r>
        <w:t xml:space="preserve">field structures are in</w:t>
      </w:r>
      <w:r>
        <w:t xml:space="preserve"> </w:t>
      </w:r>
      <w:r>
        <w:rPr>
          <w:bCs/>
          <w:b/>
        </w:rPr>
        <w:t xml:space="preserve">Part 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"/>
        <w:gridCol w:w="1900"/>
        <w:gridCol w:w="633"/>
        <w:gridCol w:w="1161"/>
        <w:gridCol w:w="844"/>
        <w:gridCol w:w="1161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/ iFlow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(Part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 – Push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ASRS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</w:t>
            </w:r>
            <w:r>
              <w:t xml:space="preserve"> </w:t>
            </w:r>
            <w:r>
              <w:rPr>
                <w:rStyle w:val="VerbatimChar"/>
              </w:rPr>
              <w:t xml:space="preserve">ZMM_SQL_ASRS_SAP_PUSH*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 – Get Message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 → SAP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ZMM_ASRS_SAP_INTERFACE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– Push Material (RA/MDM)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MARA</w:t>
            </w:r>
            <w:r>
              <w:t xml:space="preserve"> </w:t>
            </w:r>
            <w:r>
              <w:t xml:space="preserve">(TW side)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ZMDM_RA_TRACKWISE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– Push Material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ZTW_MAT_DET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ZQM_TRACKWISE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– Check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→ SAP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ZTW_PLNT_DET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ZQM_TRACKWISE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– Push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ZTW_PLNT_DET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ZQM_TRACKWISE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– Push 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ZTW_PROD_DET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ZQM_TRACKWISE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D-6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Cross-cutting requirements for CPI to design: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Endpoints &amp; auth</w:t>
      </w:r>
      <w:r>
        <w:t xml:space="preserve"> </w:t>
      </w:r>
      <w:r>
        <w:t xml:space="preserve">— base URLs per system + per plant (today the connection is chosen per</w:t>
      </w:r>
      <w:r>
        <w:t xml:space="preserve"> </w:t>
      </w:r>
      <w:r>
        <w:rPr>
          <w:rStyle w:val="VerbatimChar"/>
        </w:rPr>
        <w:t xml:space="preserve">WERKS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ZMM_DBCON_ASRS</w:t>
      </w:r>
      <w:r>
        <w:t xml:space="preserve">; the API layer must preserve that plant routing). Auth method</w:t>
      </w:r>
      <w:r>
        <w:t xml:space="preserve"> </w:t>
      </w:r>
      <w:r>
        <w:t xml:space="preserve">(Basic / OAuth2 / client-cert) to be confirmed.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 </w:t>
      </w:r>
      <w:r>
        <w:t xml:space="preserve">— SAP currently wraps each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TRY … CATCH cx_sy_native_sql_error</w:t>
      </w:r>
      <w:r>
        <w:t xml:space="preserve">;</w:t>
      </w:r>
      <w:r>
        <w:t xml:space="preserve"> </w:t>
      </w:r>
      <w:r>
        <w:t xml:space="preserve">the API must return a clear success/failure so SAP can keep</w:t>
      </w:r>
      <w:r>
        <w:t xml:space="preserve"> </w:t>
      </w:r>
      <w:r>
        <w:rPr>
          <w:rStyle w:val="VerbatimChar"/>
        </w:rPr>
        <w:t xml:space="preserve">trf_status = 'N'</w:t>
      </w:r>
      <w:r>
        <w:t xml:space="preserve"> </w:t>
      </w:r>
      <w:r>
        <w:t xml:space="preserve">for retry on</w:t>
      </w:r>
      <w:r>
        <w:t xml:space="preserve"> </w:t>
      </w:r>
      <w:r>
        <w:t xml:space="preserve">failure and set</w:t>
      </w:r>
      <w:r>
        <w:t xml:space="preserve"> </w:t>
      </w:r>
      <w:r>
        <w:rPr>
          <w:rStyle w:val="VerbatimChar"/>
        </w:rPr>
        <w:t xml:space="preserve">'Y'</w:t>
      </w:r>
      <w:r>
        <w:t xml:space="preserve"> </w:t>
      </w:r>
      <w:r>
        <w:t xml:space="preserve">only on success (see open item O-5).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Idempotency / dedup key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MSG_REC_ID</w:t>
      </w:r>
      <w:r>
        <w:t xml:space="preserve"> </w:t>
      </w:r>
      <w:r>
        <w:t xml:space="preserve">for ASRS messages, so re-sends don’t duplicate.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 vs. single</w:t>
      </w:r>
      <w:r>
        <w:t xml:space="preserve"> </w:t>
      </w:r>
      <w:r>
        <w:t xml:space="preserve">— the push programs loop per record; CPI may offer a bulk endpoint to reduce</w:t>
      </w:r>
      <w:r>
        <w:t xml:space="preserve"> </w:t>
      </w:r>
      <w:r>
        <w:t xml:space="preserve">round-trips (optional).</w:t>
      </w:r>
    </w:p>
    <w:p>
      <w:r>
        <w:pict>
          <v:rect style="width:0;height:1.5pt" o:hralign="center" o:hrstd="t" o:hr="t"/>
        </w:pict>
      </w:r>
    </w:p>
    <w:bookmarkEnd w:id="26"/>
    <w:bookmarkStart w:id="33" w:name="X14615da1981077c301244c302313adc119e6b86"/>
    <w:p>
      <w:pPr>
        <w:pStyle w:val="Heading2"/>
      </w:pPr>
      <w:r>
        <w:t xml:space="preserve">Part D — Data structures (field-level) for API design</w:t>
      </w:r>
    </w:p>
    <w:p>
      <w:pPr>
        <w:pStyle w:val="FirstParagraph"/>
      </w:pPr>
      <w:r>
        <w:t xml:space="preserve">These are the exact fields moved in each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statement, taken from the program source. Where a</w:t>
      </w:r>
      <w:r>
        <w:t xml:space="preserve"> </w:t>
      </w:r>
      <w:r>
        <w:t xml:space="preserve">field maps to a SAP DDIC table, the SAP source is given so the client/CPI can pull the</w:t>
      </w:r>
      <w:r>
        <w:t xml:space="preserve"> </w:t>
      </w:r>
      <w:r>
        <w:rPr>
          <w:bCs/>
          <w:b/>
        </w:rPr>
        <w:t xml:space="preserve">exact data</w:t>
      </w:r>
      <w:r>
        <w:rPr>
          <w:bCs/>
          <w:b/>
        </w:rPr>
        <w:t xml:space="preserve"> </w:t>
      </w:r>
      <w:r>
        <w:rPr>
          <w:bCs/>
          <w:b/>
        </w:rPr>
        <w:t xml:space="preserve">type &amp; length</w:t>
      </w:r>
      <w:r>
        <w:t xml:space="preserve"> </w:t>
      </w:r>
      <w:r>
        <w:t xml:space="preserve">from that table.</w:t>
      </w:r>
      <w:r>
        <w:t xml:space="preserve"> </w:t>
      </w:r>
      <w:r>
        <w:rPr>
          <w:bCs/>
          <w:b/>
        </w:rPr>
        <w:t xml:space="preserve">Items marked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need the client to supply the DDIC type.</w:t>
      </w:r>
    </w:p>
    <w:bookmarkStart w:id="27" w:name="X5b7cfc15efb601fc09a33ff194974bf3a72a02f"/>
    <w:p>
      <w:pPr>
        <w:pStyle w:val="Heading3"/>
      </w:pPr>
      <w:r>
        <w:t xml:space="preserve">D-1 — ASRS</w:t>
      </w:r>
      <w:r>
        <w:t xml:space="preserve"> </w:t>
      </w:r>
      <w:r>
        <w:t xml:space="preserve">“</w:t>
      </w:r>
      <w:r>
        <w:t xml:space="preserve">Push Message</w:t>
      </w:r>
      <w:r>
        <w:t xml:space="preserve">”</w:t>
      </w:r>
      <w:r>
        <w:t xml:space="preserve"> </w:t>
      </w:r>
      <w:r>
        <w:t xml:space="preserve">payload</w:t>
      </w:r>
      <w:r>
        <w:t xml:space="preserve"> </w:t>
      </w:r>
      <w:r>
        <w:rPr>
          <w:iCs/>
          <w:i/>
        </w:rPr>
        <w:t xml:space="preserve">(external table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HOST_TO_WMS</w:t>
      </w:r>
      <w:r>
        <w:rPr>
          <w:iCs/>
          <w:i/>
        </w:rPr>
        <w:t xml:space="preserve"> </w:t>
      </w:r>
      <w:r>
        <w:rPr>
          <w:iCs/>
          <w:i/>
        </w:rPr>
        <w:t xml:space="preserve">— 29 fields)</w:t>
      </w:r>
    </w:p>
    <w:p>
      <w:pPr>
        <w:pStyle w:val="FirstParagraph"/>
      </w:pPr>
      <w:r>
        <w:t xml:space="preserve">Source SAP staging table:</w:t>
      </w:r>
      <w:r>
        <w:t xml:space="preserve"> </w:t>
      </w:r>
      <w:r>
        <w:rPr>
          <w:rStyle w:val="VerbatimChar"/>
          <w:bCs/>
          <w:b/>
        </w:rPr>
        <w:t xml:space="preserve">ZMM_ASRS</w:t>
      </w:r>
      <w:r>
        <w:t xml:space="preserve"> </w:t>
      </w:r>
      <w:r>
        <w:t xml:space="preserve">(structure</w:t>
      </w:r>
      <w:r>
        <w:t xml:space="preserve"> </w:t>
      </w:r>
      <w:r>
        <w:rPr>
          <w:rStyle w:val="VerbatimChar"/>
        </w:rPr>
        <w:t xml:space="preserve">gs_asrs</w:t>
      </w:r>
      <w:r>
        <w:t xml:space="preserve">). Types below are from the program’s</w:t>
      </w:r>
      <w:r>
        <w:t xml:space="preserve"> </w:t>
      </w:r>
      <w:r>
        <w:t xml:space="preserve">own type declaration; confirm final lengths against</w:t>
      </w:r>
      <w:r>
        <w:t xml:space="preserve"> </w:t>
      </w:r>
      <w:r>
        <w:rPr>
          <w:rStyle w:val="VerbatimChar"/>
        </w:rPr>
        <w:t xml:space="preserve">ZMM_ASRS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"/>
        <w:gridCol w:w="3507"/>
        <w:gridCol w:w="2036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column (HOST_TO_WMS)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ABAP type / DDIC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ZMSG_SRC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MSG_REC_ID</w:t>
            </w:r>
            <w:r>
              <w:t xml:space="preserve"> </w:t>
            </w:r>
            <w:r>
              <w:rPr>
                <w:iCs/>
                <w:i/>
              </w:rPr>
              <w:t xml:space="preserve">(dedup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ZMSG_REC_ID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MSG_TRANS_TYPE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gs_asrs-MSG_TRANS_TYPE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ZMSG_TRANS_TYPE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MSG_RET_SRC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gs_asrs-MSG_RET_SRC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ZMSG_RET_SRC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MSG_RET_REC_ID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gs_asrs-MSG_RET_REC_ID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ZMSG_RET_REC_ID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MSG_RET_TRANS_ID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gs_asrs-MSG_RET_TRANS_ID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ZMSG_RET_TRANS_ID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MSG_DT_DEF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 (from gs_asrs-MSG_DT_DEF)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char10 formatted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MSG_DT_TRM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lv_date1 (from gs_asrs-MSG_DT_TRM)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char10 formatted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(ZMM_ASRS)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MSG_ERR_DESC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gs_asrs-MSG_ERR_DESC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(ZMM_ASRS)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(ZMM_ASRS)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gs_asrs-GR_NO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MBLNR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ZREQ_ID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gs_asrs-REQ_TYPE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ZREQ_TYPE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(ZMM_ASRS)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(ZMM_ASRS)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(ZMM_ASRS)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gs_asrs-SAP_BATCH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CHARG_D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ERFMG (quantity)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gs_asrs-TOTAL_PACK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QANZGEB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lv_date2 (from gs_asrs-MFG_DATE)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char10 formatted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ZMANUFACTURER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gs_asrs-MFG_BATCH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ZMFG_BATCH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gs_asrs-LINE_ITEM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MBLPO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WERKS_D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ZOLD_STATUS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(MSG_RET_TRANS_ID etc. as above)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Note: dates are sent as</w:t>
      </w:r>
      <w:r>
        <w:t xml:space="preserve"> </w:t>
      </w:r>
      <w:r>
        <w:rPr>
          <w:rStyle w:val="VerbatimChar"/>
        </w:rPr>
        <w:t xml:space="preserve">char10</w:t>
      </w:r>
      <w:r>
        <w:t xml:space="preserve"> </w:t>
      </w:r>
      <w:r>
        <w:t xml:space="preserve">(</w:t>
      </w:r>
      <w:r>
        <w:rPr>
          <w:rStyle w:val="VerbatimChar"/>
        </w:rPr>
        <w:t xml:space="preserve">DD-MM-YYYY</w:t>
      </w:r>
      <w:r>
        <w:t xml:space="preserve">-style) after ABAP formatting, not raw</w:t>
      </w:r>
      <w:r>
        <w:t xml:space="preserve"> </w:t>
      </w:r>
      <w:r>
        <w:rPr>
          <w:rStyle w:val="VerbatimChar"/>
        </w:rPr>
        <w:t xml:space="preserve">DATS</w:t>
      </w:r>
      <w:r>
        <w:t xml:space="preserve">.</w:t>
      </w:r>
    </w:p>
    <w:bookmarkEnd w:id="27"/>
    <w:bookmarkStart w:id="28" w:name="d-2-asrs-get-message-status-response"/>
    <w:p>
      <w:pPr>
        <w:pStyle w:val="Heading3"/>
      </w:pPr>
      <w:r>
        <w:t xml:space="preserve">D-2 — ASRS</w:t>
      </w:r>
      <w:r>
        <w:t xml:space="preserve"> </w:t>
      </w:r>
      <w:r>
        <w:t xml:space="preserve">“</w:t>
      </w:r>
      <w:r>
        <w:t xml:space="preserve">Get Message Status</w:t>
      </w:r>
      <w:r>
        <w:t xml:space="preserve">”</w:t>
      </w:r>
      <w:r>
        <w:t xml:space="preserve"> </w:t>
      </w:r>
      <w:r>
        <w:t xml:space="preserve">(response)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MSG_REC_ID</w:t>
      </w:r>
      <w:r>
        <w:t xml:space="preserve"> </w:t>
      </w:r>
      <w:r>
        <w:t xml:space="preserve">(key, = D-1 #2).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fields (read back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ZMM_ASRS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MSG_ERR</w:t>
      </w:r>
      <w:r>
        <w:t xml:space="preserve">,</w:t>
      </w:r>
      <w:r>
        <w:t xml:space="preserve"> </w:t>
      </w:r>
      <w:r>
        <w:rPr>
          <w:rStyle w:val="VerbatimChar"/>
        </w:rPr>
        <w:t xml:space="preserve">MSG_STAT</w:t>
      </w:r>
      <w:r>
        <w:t xml:space="preserve">.</w:t>
      </w:r>
    </w:p>
    <w:bookmarkEnd w:id="28"/>
    <w:bookmarkStart w:id="29" w:name="d-3-trackwise-push-material-ramdm"/>
    <w:p>
      <w:pPr>
        <w:pStyle w:val="Heading3"/>
      </w:pPr>
      <w:r>
        <w:t xml:space="preserve">D-3 — TrackWise</w:t>
      </w:r>
      <w:r>
        <w:t xml:space="preserve"> </w:t>
      </w:r>
      <w:r>
        <w:t xml:space="preserve">“</w:t>
      </w:r>
      <w:r>
        <w:t xml:space="preserve">Push Material (RA/MDM)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 field: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 </w:t>
      </w:r>
      <w:r>
        <w:t xml:space="preserve">(SAP</w:t>
      </w:r>
      <w:r>
        <w:t xml:space="preserve"> </w:t>
      </w:r>
      <w:r>
        <w:rPr>
          <w:rStyle w:val="VerbatimChar"/>
        </w:rPr>
        <w:t xml:space="preserve">MARA-MATNR</w:t>
      </w:r>
      <w:r>
        <w:t xml:space="preserve">, leading zeros stripped before send).</w:t>
      </w:r>
    </w:p>
    <w:bookmarkEnd w:id="29"/>
    <w:bookmarkStart w:id="30" w:name="Xc023fef96fab770198a1c81f87618dbfdda336e"/>
    <w:p>
      <w:pPr>
        <w:pStyle w:val="Heading3"/>
      </w:pPr>
      <w:r>
        <w:t xml:space="preserve">D-4 — TrackWise</w:t>
      </w:r>
      <w:r>
        <w:t xml:space="preserve"> </w:t>
      </w:r>
      <w:r>
        <w:t xml:space="preserve">“</w:t>
      </w:r>
      <w:r>
        <w:t xml:space="preserve">Push Material Detail</w:t>
      </w:r>
      <w:r>
        <w:t xml:space="preserve">”</w:t>
      </w:r>
      <w:r>
        <w:t xml:space="preserve"> </w:t>
      </w:r>
      <w:r>
        <w:t xml:space="preserve">payload</w:t>
      </w:r>
      <w:r>
        <w:t xml:space="preserve"> </w:t>
      </w:r>
      <w:r>
        <w:rPr>
          <w:iCs/>
          <w:i/>
        </w:rPr>
        <w:t xml:space="preserve">(external table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ZTW_MAT_DET</w:t>
      </w:r>
      <w:r>
        <w:rPr>
          <w:iCs/>
          <w:i/>
        </w:rPr>
        <w:t xml:space="preserve"> </w:t>
      </w:r>
      <w:r>
        <w:rPr>
          <w:iCs/>
          <w:i/>
        </w:rPr>
        <w:t xml:space="preserve">— 20 fields)</w:t>
      </w:r>
    </w:p>
    <w:p>
      <w:pPr>
        <w:pStyle w:val="FirstParagraph"/>
      </w:pPr>
      <w:r>
        <w:t xml:space="preserve">Source SAP mirror table:</w:t>
      </w:r>
      <w:r>
        <w:t xml:space="preserve"> </w:t>
      </w:r>
      <w:r>
        <w:rPr>
          <w:rStyle w:val="VerbatimChar"/>
          <w:bCs/>
          <w:b/>
        </w:rPr>
        <w:t xml:space="preserve">ZTW_MAT_DET</w:t>
      </w:r>
      <w:r>
        <w:t xml:space="preserve"> </w:t>
      </w:r>
      <w:r>
        <w:t xml:space="preserve">(structure</w:t>
      </w:r>
      <w:r>
        <w:t xml:space="preserve"> </w:t>
      </w:r>
      <w:r>
        <w:rPr>
          <w:rStyle w:val="VerbatimChar"/>
        </w:rPr>
        <w:t xml:space="preserve">gs_mat_det</w:t>
      </w:r>
      <w:r>
        <w:t xml:space="preserve">) — client to supply DDIC types.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253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gs_mat_det-Mat_Code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gs_mat_det-Mat_Desc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gs_mat_det-Plant_Code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gs_mat_det-Mfg_Batch_No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Ins_Lot_No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gs_mat_det-Ins_Lot_No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gs_mat_det-AR_No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gs_mat_det-Vendor_Code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gs_mat_det-Vendor_Name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gs_mat_det-Mfg_Code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gs_mat_det-Mfg_Name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Date_of_Supply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 (formatted</w:t>
            </w:r>
            <w:r>
              <w:t xml:space="preserve"> </w:t>
            </w:r>
            <w:r>
              <w:rPr>
                <w:rStyle w:val="VerbatimChar"/>
              </w:rPr>
              <w:t xml:space="preserve">DD-MM-YYYY</w:t>
            </w:r>
            <w:r>
              <w:t xml:space="preserve">; sent empty when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gs_mat_det-Qty_Supplied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gs_mat_det-UoM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gs_mat_det-Impacted_Prod_Code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gs_mat_det-Impa_Prod_Batch_No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gs_mat_det-Impacted_Prod_Name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Impa_Prod_Ver_No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gs_mat_det-Impa_Prod_Ver_No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gs_mat_det-Impacted_Ref_Doc_No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gs_mat_det-Impa_Mfg_Batch_No</w:t>
            </w:r>
          </w:p>
        </w:tc>
      </w:tr>
    </w:tbl>
    <w:p>
      <w:pPr>
        <w:pStyle w:val="BlockText"/>
      </w:pPr>
      <w:r>
        <w:t xml:space="preserve">The two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branches (with / without</w:t>
      </w:r>
      <w:r>
        <w:t xml:space="preserve"> </w:t>
      </w:r>
      <w:r>
        <w:rPr>
          <w:rStyle w:val="VerbatimChar"/>
        </w:rPr>
        <w:t xml:space="preserve">Date_of_Supply</w:t>
      </w:r>
      <w:r>
        <w:t xml:space="preserve">) map to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API — send</w:t>
      </w:r>
      <w:r>
        <w:t xml:space="preserve"> </w:t>
      </w:r>
      <w:r>
        <w:rPr>
          <w:rStyle w:val="VerbatimChar"/>
        </w:rPr>
        <w:t xml:space="preserve">Date_of_Supply</w:t>
      </w:r>
      <w:r>
        <w:t xml:space="preserve"> </w:t>
      </w:r>
      <w:r>
        <w:t xml:space="preserve">empty/null when the date is blank.</w:t>
      </w:r>
    </w:p>
    <w:bookmarkEnd w:id="30"/>
    <w:bookmarkStart w:id="31" w:name="Xa78d6fa2fac4d20a7f6f40eb9557e37c3d4ee25"/>
    <w:p>
      <w:pPr>
        <w:pStyle w:val="Heading3"/>
      </w:pPr>
      <w:r>
        <w:t xml:space="preserve">D-5 — TrackWise</w:t>
      </w:r>
      <w:r>
        <w:t xml:space="preserve"> </w:t>
      </w:r>
      <w:r>
        <w:t xml:space="preserve">“</w:t>
      </w:r>
      <w:r>
        <w:t xml:space="preserve">Plant</w:t>
      </w:r>
      <w:r>
        <w:t xml:space="preserve">”</w:t>
      </w:r>
      <w:r>
        <w:t xml:space="preserve"> </w:t>
      </w:r>
      <w:r>
        <w:t xml:space="preserve">(Check + Push)</w:t>
      </w:r>
      <w:r>
        <w:t xml:space="preserve"> </w:t>
      </w:r>
      <w:r>
        <w:rPr>
          <w:iCs/>
          <w:i/>
        </w:rPr>
        <w:t xml:space="preserve">(external table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ZTW_PLNT_DET</w:t>
      </w:r>
      <w:r>
        <w:rPr>
          <w:iCs/>
          <w:i/>
        </w:rPr>
        <w:t xml:space="preserve"> </w:t>
      </w:r>
      <w:r>
        <w:rPr>
          <w:iCs/>
          <w:i/>
        </w:rPr>
        <w:t xml:space="preserve">— 2 fields)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 (GET):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Plant_Code</w:t>
      </w:r>
      <w:r>
        <w:t xml:space="preserve"> </w:t>
      </w:r>
      <w:r>
        <w:t xml:space="preserve">→ response</w:t>
      </w:r>
      <w:r>
        <w:t xml:space="preserve"> </w:t>
      </w:r>
      <w:r>
        <w:rPr>
          <w:rStyle w:val="VerbatimChar"/>
        </w:rPr>
        <w:t xml:space="preserve">Plant_Code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Plant_Name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Push (POST):</w:t>
      </w:r>
      <w:r>
        <w:t xml:space="preserve"> </w:t>
      </w:r>
      <w:r>
        <w:rPr>
          <w:rStyle w:val="VerbatimChar"/>
        </w:rPr>
        <w:t xml:space="preserve">Plant_Code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gs_plnt_comb-werks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Plant_Name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gv_name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T001W-NAME1</w:t>
      </w:r>
      <w:r>
        <w:t xml:space="preserve">).</w:t>
      </w:r>
    </w:p>
    <w:bookmarkEnd w:id="31"/>
    <w:bookmarkStart w:id="32" w:name="X5a70955167b710e46b4051b0e44a2254dc7f174"/>
    <w:p>
      <w:pPr>
        <w:pStyle w:val="Heading3"/>
      </w:pPr>
      <w:r>
        <w:t xml:space="preserve">D-6 — TrackWise</w:t>
      </w:r>
      <w:r>
        <w:t xml:space="preserve"> </w:t>
      </w:r>
      <w:r>
        <w:t xml:space="preserve">“</w:t>
      </w:r>
      <w:r>
        <w:t xml:space="preserve">Push Product Detail</w:t>
      </w:r>
      <w:r>
        <w:t xml:space="preserve">”</w:t>
      </w:r>
      <w:r>
        <w:t xml:space="preserve"> </w:t>
      </w:r>
      <w:r>
        <w:t xml:space="preserve">payload</w:t>
      </w:r>
      <w:r>
        <w:t xml:space="preserve"> </w:t>
      </w:r>
      <w:r>
        <w:rPr>
          <w:iCs/>
          <w:i/>
        </w:rPr>
        <w:t xml:space="preserve">(external table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ZTW_PROD_DET</w:t>
      </w:r>
      <w:r>
        <w:rPr>
          <w:iCs/>
          <w:i/>
        </w:rPr>
        <w:t xml:space="preserve"> </w:t>
      </w:r>
      <w:r>
        <w:rPr>
          <w:iCs/>
          <w:i/>
        </w:rPr>
        <w:t xml:space="preserve">— 15 fields)</w:t>
      </w:r>
    </w:p>
    <w:p>
      <w:pPr>
        <w:pStyle w:val="FirstParagraph"/>
      </w:pPr>
      <w:r>
        <w:t xml:space="preserve">Source SAP mirror table:</w:t>
      </w:r>
      <w:r>
        <w:t xml:space="preserve"> </w:t>
      </w:r>
      <w:r>
        <w:rPr>
          <w:rStyle w:val="VerbatimChar"/>
          <w:bCs/>
          <w:b/>
        </w:rPr>
        <w:t xml:space="preserve">ZTW_PROD_DET</w:t>
      </w:r>
      <w:r>
        <w:t xml:space="preserve"> </w:t>
      </w:r>
      <w:r>
        <w:t xml:space="preserve">(structure</w:t>
      </w:r>
      <w:r>
        <w:t xml:space="preserve"> </w:t>
      </w:r>
      <w:r>
        <w:rPr>
          <w:rStyle w:val="VerbatimChar"/>
        </w:rPr>
        <w:t xml:space="preserve">gs_prod_det</w:t>
      </w:r>
      <w:r>
        <w:t xml:space="preserve">) — client to supply DDIC types.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gs_prod_det-Prod_Batch_No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gs_prod_det-Plant_Code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gs_prod_det-Production_Ver_No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gs_prod_det-Ref_Doc_No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gs_prod_det-Mfg_Batch_No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lv_date1 (formatted; empty when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lv_date2 (formatted; empty when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gs_prod_det-Impacted_Mat_Code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gs_prod_det-Impacted_Mat_Desc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Impa_Mat_Insp_Lot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gs_prod_det-Impa_Mat_Insp_Lot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gs_prod_det-Impa_Mfg_Batch_No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Impacted_Mat_AR_No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gs_prod_det-Impacted_Mat_AR_No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rPr>
          <w:rStyle w:val="VerbatimChar"/>
        </w:rPr>
        <w:t xml:space="preserve">INSERT INTO ZTW_PROD_DET</w:t>
      </w:r>
      <w:r>
        <w:t xml:space="preserve"> </w:t>
      </w:r>
      <w:r>
        <w:t xml:space="preserve">branches all use these</w:t>
      </w:r>
      <w:r>
        <w:t xml:space="preserve"> </w:t>
      </w:r>
      <w:r>
        <w:rPr>
          <w:bCs/>
          <w:b/>
        </w:rPr>
        <w:t xml:space="preserve">same 15 columns</w:t>
      </w:r>
      <w:r>
        <w:t xml:space="preserve">; they differ only</w:t>
      </w:r>
      <w:r>
        <w:t xml:space="preserve"> </w:t>
      </w:r>
      <w:r>
        <w:t xml:space="preserve">in whether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Retest_Date</w:t>
      </w:r>
      <w:r>
        <w:t xml:space="preserve"> </w:t>
      </w:r>
      <w:r>
        <w:t xml:space="preserve">are populated. →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API, dates optional.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05fc14f41d804df9610101d279e623aa98f6ec"/>
    <w:p>
      <w:pPr>
        <w:pStyle w:val="Heading2"/>
      </w:pPr>
      <w:r>
        <w:t xml:space="preserve">Part E — Open items to confirm (client / external-system teams)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216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ASRS/WMS and TrackWise already expose APIs? If yes, provide OpenAPI/WSDL + base URLs. If no, they must be built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External-system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method per system (Basic / OAuth2 / cert) and per-plant endpoint routing (replaces per-</w:t>
            </w:r>
            <w:r>
              <w:rPr>
                <w:rStyle w:val="VerbatimChar"/>
              </w:rPr>
              <w:t xml:space="preserve">WERKS</w:t>
            </w:r>
            <w:r>
              <w:t xml:space="preserve"> </w:t>
            </w:r>
            <w:r>
              <w:rPr>
                <w:rStyle w:val="VerbatimChar"/>
              </w:rPr>
              <w:t xml:space="preserve">DBCON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/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S/4HANA target — on-premise or Cloud (clean-core)? Decides the ABAP HTTP client &amp; whether a Communication Arrangement is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DDIC types for fields marked</w:t>
            </w:r>
            <w:r>
              <w:t xml:space="preserve"> </w:t>
            </w:r>
            <w:r>
              <w:t xml:space="preserve">“</w:t>
            </w:r>
            <w:r>
              <w:t xml:space="preserve">confirm</w:t>
            </w:r>
            <w:r>
              <w:t xml:space="preserve">”</w:t>
            </w:r>
            <w:r>
              <w:t xml:space="preserve"> </w:t>
            </w:r>
            <w:r>
              <w:t xml:space="preserve">in D-1, and for tables</w:t>
            </w:r>
            <w:r>
              <w:t xml:space="preserve"> </w:t>
            </w:r>
            <w:r>
              <w:rPr>
                <w:rStyle w:val="VerbatimChar"/>
              </w:rPr>
              <w:t xml:space="preserve">ZTW_MAT_DET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ZTW_PLNT_DET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ZTW_PROD_DET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ZMM_ASRS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ZMM_DBCON_ASRS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ZCON_MDM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(SAP DDIC)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Retry/idempotency: on API failure keep</w:t>
            </w:r>
            <w:r>
              <w:t xml:space="preserve"> </w:t>
            </w:r>
            <w:r>
              <w:rPr>
                <w:rStyle w:val="VerbatimChar"/>
              </w:rPr>
              <w:t xml:space="preserve">trf_status = 'N'</w:t>
            </w:r>
            <w:r>
              <w:t xml:space="preserve">? Dedup keys (</w:t>
            </w:r>
            <w:r>
              <w:rPr>
                <w:rStyle w:val="VerbatimChar"/>
              </w:rPr>
              <w:t xml:space="preserve">MSG_REC_ID</w:t>
            </w:r>
            <w:r>
              <w:t xml:space="preserve">, plant code)?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+ CPI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format — JSON/REST, SOAP, or OData — and whether a bulk/batch endpoint is wanted.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+ vendors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 programs and this spec are on branch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claude/abap-sql-api-migration-rgc6ht</w:t>
      </w:r>
      <w:r>
        <w:rPr>
          <w:iCs/>
          <w:i/>
        </w:rPr>
        <w:t xml:space="preserve">, folder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interface/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Field lists are extracted directly from the program source; data types must be confirmed 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live SAP DDIC where marked.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2026-07-14T05:23:24Z</dcterms:created>
  <dcterms:modified xsi:type="dcterms:W3CDTF">2026-07-14T05:23:24Z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