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  <w:shd w:val="clear" w:color="auto" w:fill="00366B"/>
      </w:pPr>
      <w:r>
        <w:rPr>
          <w:rFonts w:ascii="Calibri" w:hAnsi="Calibri"/>
          <w:b/>
          <w:i w:val="0"/>
          <w:color w:val="FFFFFF"/>
          <w:sz w:val="40"/>
        </w:rPr>
        <w:t xml:space="preserve">  ONGC Videsh Limited  </w:t>
      </w:r>
    </w:p>
    <w:p>
      <w:pPr>
        <w:jc w:val="center"/>
        <w:shd w:val="clear" w:color="auto" w:fill="1F5C99"/>
      </w:pPr>
      <w:r>
        <w:rPr>
          <w:rFonts w:ascii="Calibri" w:hAnsi="Calibri"/>
          <w:b/>
          <w:i w:val="0"/>
          <w:color w:val="FFFFFF"/>
          <w:sz w:val="30"/>
        </w:rPr>
        <w:t xml:space="preserve">  Daily Production Report (DPR)  </w:t>
      </w:r>
    </w:p>
    <w:p>
      <w:pPr>
        <w:jc w:val="center"/>
        <w:shd w:val="clear" w:color="auto" w:fill="1F5C99"/>
      </w:pPr>
      <w:r>
        <w:rPr>
          <w:rFonts w:ascii="Calibri" w:hAnsi="Calibri"/>
          <w:b/>
          <w:i w:val="0"/>
          <w:color w:val="FFFFFF"/>
          <w:sz w:val="26"/>
        </w:rPr>
        <w:t xml:space="preserve">  Excel Output — Developer &amp; Functional Guide  </w:t>
      </w:r>
    </w:p>
    <w:p/>
    <w:p>
      <w:pPr>
        <w:jc w:val="center"/>
      </w:pPr>
      <w:r>
        <w:rPr>
          <w:rFonts w:ascii="Calibri" w:hAnsi="Calibri"/>
          <w:b/>
          <w:i w:val="0"/>
          <w:color w:val="00366B"/>
          <w:sz w:val="22"/>
        </w:rPr>
        <w:t xml:space="preserve">SAP Program:  </w:t>
      </w:r>
      <w:r>
        <w:rPr>
          <w:rFonts w:ascii="Calibri" w:hAnsi="Calibri"/>
          <w:b w:val="0"/>
          <w:i w:val="0"/>
          <w:color w:val="1A1A1A"/>
          <w:sz w:val="22"/>
        </w:rPr>
        <w:t>ZPRA_DPR_REPORT  (deployed as ZPRA_DPR_REPORT_NEW1)</w:t>
      </w:r>
    </w:p>
    <w:p>
      <w:pPr>
        <w:jc w:val="center"/>
      </w:pPr>
      <w:r>
        <w:rPr>
          <w:rFonts w:ascii="Calibri" w:hAnsi="Calibri"/>
          <w:b/>
          <w:i w:val="0"/>
          <w:color w:val="00366B"/>
          <w:sz w:val="22"/>
        </w:rPr>
        <w:t xml:space="preserve">Version:  </w:t>
      </w:r>
      <w:r>
        <w:rPr>
          <w:rFonts w:ascii="Calibri" w:hAnsi="Calibri"/>
          <w:b w:val="0"/>
          <w:i w:val="0"/>
          <w:color w:val="1A1A1A"/>
          <w:sz w:val="22"/>
        </w:rPr>
        <w:t>1.6  |  May 2026</w:t>
      </w:r>
    </w:p>
    <w:p>
      <w:pPr>
        <w:jc w:val="center"/>
      </w:pPr>
      <w:r>
        <w:rPr>
          <w:rFonts w:ascii="Calibri" w:hAnsi="Calibri"/>
          <w:b/>
          <w:i w:val="0"/>
          <w:color w:val="00366B"/>
          <w:sz w:val="22"/>
        </w:rPr>
        <w:t xml:space="preserve">Platform:  </w:t>
      </w:r>
      <w:r>
        <w:rPr>
          <w:rFonts w:ascii="Calibri" w:hAnsi="Calibri"/>
          <w:b w:val="0"/>
          <w:i w:val="0"/>
          <w:color w:val="1A1A1A"/>
          <w:sz w:val="22"/>
        </w:rPr>
        <w:t>SAP ABAP ECC 6.0</w:t>
      </w:r>
    </w:p>
    <w:p>
      <w:r>
        <w:br w:type="page"/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1.  Overview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The ZPRA_DPR_REPORT program generates the Daily Production Report (DPR) for ONGC Videsh's international upstream assets.  For each date and asset it shows: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Daily production — JV (Joint Venture / consortium) and ONGC Videsh OVL share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Month-to-date and year-to-date actuals vs targets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Annual targets and achievement percentage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5-year historical production (Section 3f)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An Excel chart summarising current-year production performance</w:t>
      </w:r>
    </w:p>
    <w:p>
      <w:pPr>
        <w:spacing w:before="120" w:after="40"/>
      </w:pPr>
      <w:r>
        <w:rPr>
          <w:rFonts w:ascii="Calibri" w:hAnsi="Calibri"/>
          <w:b w:val="0"/>
          <w:i w:val="0"/>
          <w:color w:val="1A1A1A"/>
          <w:sz w:val="19"/>
        </w:rPr>
        <w:t>Output columns are dynamic — driven at runtime by the configuration table ZPRA_C_PRD_PROF.  Columns are keyed internally as {product_code}-{asset_code}, e.g. 722000001-RUS_SK1.</w:t>
      </w:r>
    </w:p>
    <w:p>
      <w:pPr>
        <w:spacing w:before="120" w:after="80"/>
      </w:pPr>
      <w:r>
        <w:rPr>
          <w:rFonts w:ascii="Calibri" w:hAnsi="Calibri"/>
          <w:b/>
          <w:i w:val="0"/>
          <w:color w:val="00366B"/>
          <w:sz w:val="20"/>
        </w:rPr>
        <w:t>1.1  Product Codes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Code</w:t>
            </w:r>
          </w:p>
        </w:tc>
        <w:tc>
          <w:tcPr>
            <w:tcW w:type="dxa" w:w="57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Product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722000001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Crude Oil</w:t>
            </w:r>
          </w:p>
        </w:tc>
      </w:tr>
      <w:tr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722000003</w:t>
            </w:r>
          </w:p>
        </w:tc>
        <w:tc>
          <w:tcPr>
            <w:tcW w:type="dxa" w:w="57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Condensate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722000004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Gas</w:t>
            </w:r>
          </w:p>
        </w:tc>
      </w:tr>
      <w:tr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722000005</w:t>
            </w:r>
          </w:p>
        </w:tc>
        <w:tc>
          <w:tcPr>
            <w:tcW w:type="dxa" w:w="57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LNG</w:t>
            </w:r>
          </w:p>
        </w:tc>
      </w:tr>
    </w:tbl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2.  Input Parameters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Parameter</w:t>
            </w:r>
          </w:p>
        </w:tc>
        <w:tc>
          <w:tcPr>
            <w:tcW w:type="dxa" w:w="115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633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P_DATE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Date</w:t>
            </w:r>
          </w:p>
        </w:tc>
        <w:tc>
          <w:tcPr>
            <w:tcW w:type="dxa" w:w="63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Report date — data is fetched up to this date</w:t>
            </w:r>
          </w:p>
        </w:tc>
      </w:tr>
      <w:tr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P_BB</w:t>
            </w:r>
          </w:p>
        </w:tc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mode: Barrels / BOE (cumulative)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P_BBD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mode: BOPD / BOEPD per day  ← most common</w:t>
            </w:r>
          </w:p>
        </w:tc>
      </w:tr>
      <w:tr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P_TM</w:t>
            </w:r>
          </w:p>
        </w:tc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mode: Tonnes / MSCM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P_BMD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mode: BOEPD with MMSCMD for gas</w:t>
            </w:r>
          </w:p>
        </w:tc>
      </w:tr>
      <w:tr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P_MB</w:t>
            </w:r>
          </w:p>
        </w:tc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mode: MMT / BCM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P_C_JV</w:t>
            </w:r>
          </w:p>
        </w:tc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Consortium level: JV (whole-field total)  ← default</w:t>
            </w:r>
          </w:p>
        </w:tc>
      </w:tr>
      <w:tr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P_C_OLV</w:t>
            </w:r>
          </w:p>
        </w:tc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Radio</w:t>
            </w:r>
          </w:p>
        </w:tc>
        <w:tc>
          <w:tcPr>
            <w:tcW w:type="dxa" w:w="63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Consortium level: OVL (ONGC Videsh share only)</w:t>
            </w:r>
          </w:p>
        </w:tc>
      </w:tr>
    </w:tbl>
    <w:p>
      <w:pPr>
        <w:spacing w:before="80" w:after="80"/>
        <w:ind w:left="288"/>
        <w:shd w:val="clear" w:color="auto" w:fill="FFF3CD"/>
      </w:pPr>
      <w:r>
        <w:rPr>
          <w:rFonts w:ascii="Calibri" w:hAnsi="Calibri"/>
          <w:b/>
          <w:i w:val="0"/>
          <w:color w:val="856404"/>
          <w:sz w:val="18"/>
        </w:rPr>
        <w:t xml:space="preserve">⚠  Note: </w:t>
      </w:r>
      <w:r>
        <w:rPr>
          <w:rFonts w:ascii="Calibri" w:hAnsi="Calibri"/>
          <w:b w:val="0"/>
          <w:i w:val="0"/>
          <w:color w:val="856404"/>
          <w:sz w:val="18"/>
        </w:rPr>
        <w:t>Individual asset columns in the daily section always display JV values when P_C_JV is selected.  Product totals and grand totals always display the ONGC Videsh OVL share regardless of the consortium level parameter.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3.  Key SAP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6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Table</w:t>
            </w:r>
          </w:p>
        </w:tc>
        <w:tc>
          <w:tcPr>
            <w:tcW w:type="dxa" w:w="61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ZPRA_C_PRD_PROF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Master list of assets / products to include in the report</w:t>
            </w:r>
          </w:p>
        </w:tc>
      </w:tr>
      <w:tr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ZPRA_T_DLY_PRD</w:t>
            </w:r>
          </w:p>
        </w:tc>
        <w:tc>
          <w:tcPr>
            <w:tcW w:type="dxa" w:w="61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Daily production (raw field-level data) — primary source for current data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ZPRA_T_DLY_RPRD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Daily reconciled production — used when available, overrides dly_prd</w:t>
            </w:r>
          </w:p>
        </w:tc>
      </w:tr>
      <w:tr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ZPRA_T_MREC_APP</w:t>
            </w:r>
          </w:p>
        </w:tc>
        <w:tc>
          <w:tcPr>
            <w:tcW w:type="dxa" w:w="61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Monthly approved production — highest priority when present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ZPRA_T_MREC_PRD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Monthly reconciled production — used in some older code paths</w:t>
            </w:r>
          </w:p>
        </w:tc>
      </w:tr>
      <w:tr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ZPRA_T_PRD_PI</w:t>
            </w:r>
          </w:p>
        </w:tc>
        <w:tc>
          <w:tcPr>
            <w:tcW w:type="dxa" w:w="61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Participating Interest (PI %) by asset / block and validity period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ZPRA_T_TAR_CF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Conversion Factor (bbl/tonne) by product / asset / block / fiscal year</w:t>
            </w:r>
          </w:p>
        </w:tc>
      </w:tr>
      <w:tr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ZPRA_C_DPR_PROF</w:t>
            </w:r>
          </w:p>
        </w:tc>
        <w:tc>
          <w:tcPr>
            <w:tcW w:type="dxa" w:w="61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Asset-level display config (gas combine flag, asset description)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ZPRA_T_PRD_TAR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production targets by asset / product</w:t>
            </w:r>
          </w:p>
        </w:tc>
      </w:tr>
      <w:tr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ZPRA_T_MREC_REM</w:t>
            </w:r>
          </w:p>
        </w:tc>
        <w:tc>
          <w:tcPr>
            <w:tcW w:type="dxa" w:w="61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Operational remarks entered by users per asset / date</w:t>
            </w:r>
          </w:p>
        </w:tc>
      </w:tr>
    </w:tbl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4.  Excel Output Structure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The workbook contains three sheets: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5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Sheet</w:t>
            </w:r>
          </w:p>
        </w:tc>
        <w:tc>
          <w:tcPr>
            <w:tcW w:type="dxa" w:w="316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Tab Name</w:t>
            </w:r>
          </w:p>
        </w:tc>
        <w:tc>
          <w:tcPr>
            <w:tcW w:type="dxa" w:w="504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1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DPR ( DD-MON-YYYY )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Main daily production report</w:t>
            </w:r>
          </w:p>
        </w:tc>
      </w:tr>
      <w:tr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2</w:t>
            </w:r>
          </w:p>
        </w:tc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50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Daily trend data for chart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3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Production Performance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summary table and bar chart</w:t>
            </w:r>
          </w:p>
        </w:tc>
      </w:tr>
    </w:tbl>
    <w:p/>
    <w:p>
      <w:pPr>
        <w:spacing w:before="120" w:after="80"/>
      </w:pPr>
      <w:r>
        <w:rPr>
          <w:rFonts w:ascii="Calibri" w:hAnsi="Calibri"/>
          <w:b/>
          <w:i w:val="0"/>
          <w:color w:val="00366B"/>
          <w:sz w:val="20"/>
        </w:rPr>
        <w:t>4.1  Column Layout (Sheet 1)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Columns are built dynamically in the following order: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Column 1 — Row label (date or section label)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Column 2 — Secondary label (e.g. FY year for historical rows)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Columns 3 onward — One column per asset per product (order from ZPRA_C_PRD_PROF)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After individual asset columns — Product Total (ONGC Videsh OVL sum)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Final column — Grand Total (Oil + Gas combined, ONGC Videsh share)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5.  Sheet 1: DPR — Row-by-Row Breakdown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5.1  Header Section (Rows 4 –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230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1 Content</w:t>
            </w:r>
          </w:p>
        </w:tc>
        <w:tc>
          <w:tcPr>
            <w:tcW w:type="dxa" w:w="374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Other Columns Content</w:t>
            </w:r>
          </w:p>
        </w:tc>
        <w:tc>
          <w:tcPr>
            <w:tcW w:type="dxa" w:w="273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Daily Production Report : DD-MON-YYYY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—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P_DATE parameter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Product</w:t>
            </w:r>
          </w:p>
        </w:tc>
        <w:tc>
          <w:tcPr>
            <w:tcW w:type="dxa" w:w="374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Product group labels: Oil, Total Oil, Condensate, Total Condensate, Gas, Total Gas, Grand Total</w:t>
            </w:r>
          </w:p>
        </w:tc>
        <w:tc>
          <w:tcPr>
            <w:tcW w:type="dxa" w:w="27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Static header; columns from ZPRA_C_PRD_PROF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Asset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Asset display names, e.g. "Russia, Sakhalin-1"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ZPRA_C_DPR_PROF – asset description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ONGC Videsh Share (%)</w:t>
            </w:r>
          </w:p>
        </w:tc>
        <w:tc>
          <w:tcPr>
            <w:tcW w:type="dxa" w:w="374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% per asset</w:t>
            </w:r>
          </w:p>
        </w:tc>
        <w:tc>
          <w:tcPr>
            <w:tcW w:type="dxa" w:w="27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ZPRA_T_PRD_PI – latest valid entry per asset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Conversion Factor (bbl/tonnes)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CF per asset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ZPRA_T_TAR_CF – latest entry for current FY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Consortium Level</w:t>
            </w:r>
          </w:p>
        </w:tc>
        <w:tc>
          <w:tcPr>
            <w:tcW w:type="dxa" w:w="374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JV or ONGC Videsh per column group</w:t>
            </w:r>
          </w:p>
        </w:tc>
        <w:tc>
          <w:tcPr>
            <w:tcW w:type="dxa" w:w="273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Derived from P_C_JV / P_C_OLV parameter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10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Date / Unit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 label per product group (BOPD, MMSCMD, BCPD …)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Derived from P_BBD / P_MB / other unit parameter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5.2  Section 1 — Daily Production (Rows 11 – 42)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One row per production date from P_DATE minus ~32 days to P_DATE.  Source table: ZPRA_T_DLY_PRD.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Type</w:t>
            </w:r>
          </w:p>
        </w:tc>
        <w:tc>
          <w:tcPr>
            <w:tcW w:type="dxa" w:w="288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 Formula</w:t>
            </w:r>
          </w:p>
        </w:tc>
        <w:tc>
          <w:tcPr>
            <w:tcW w:type="dxa" w:w="244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When P_C_JV (default)</w:t>
            </w:r>
          </w:p>
        </w:tc>
        <w:tc>
          <w:tcPr>
            <w:tcW w:type="dxa" w:w="244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When P_C_OLV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Individual asset column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prod_vl_qty1 × gv_individual_mul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1  (shows raw JV field value)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/ 100  (shows OVL share)</w:t>
            </w:r>
          </w:p>
        </w:tc>
      </w:tr>
      <w:tr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Product Total column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prod_vl_qty1 × gv_total_mul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/ 100  (always OVL)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/ 100  (always OVL)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Grand Total column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prod_vl_qty1 × gv_grand_total_mul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/ 100  (always OVL)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PI / 100  (always OVL)</w:t>
            </w:r>
          </w:p>
        </w:tc>
      </w:tr>
    </w:tbl>
    <w:p>
      <w:pPr>
        <w:spacing w:before="100" w:after="40"/>
      </w:pPr>
      <w:r>
        <w:rPr>
          <w:rFonts w:ascii="Calibri" w:hAnsi="Calibri"/>
          <w:b w:val="0"/>
          <w:i w:val="0"/>
          <w:color w:val="1A1A1A"/>
          <w:sz w:val="19"/>
        </w:rPr>
        <w:t>Gas assets with the combine flag set in ZPRA_C_DPR_PROF have multiple blocks aggregated into a single COMBINE column.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5.3  Section 2 — MTD / Monthly Actuals (Rows 43 – 46)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316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Label</w:t>
            </w:r>
          </w:p>
        </w:tc>
        <w:tc>
          <w:tcPr>
            <w:tcW w:type="dxa" w:w="316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Content</w:t>
            </w:r>
          </w:p>
        </w:tc>
        <w:tc>
          <w:tcPr>
            <w:tcW w:type="dxa" w:w="244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43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Target : &lt;Month&gt; &lt;Year&gt;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target for current month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ZPRA_T_PRD_TAR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44</w:t>
            </w:r>
          </w:p>
        </w:tc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Prod. : MTD Actual  (current month start date)</w:t>
            </w:r>
          </w:p>
        </w:tc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Month-to-date average daily production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ZPRA_T_DLY_PRD summed / days elapsed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45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(same row, prior-year start date)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Prior year same-month MTD actual for comparison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ZPRA_T_DLY_PRD, prior year date range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46</w:t>
            </w:r>
          </w:p>
        </w:tc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Prod. : Monthly Actual  (prior month start date)</w:t>
            </w:r>
          </w:p>
        </w:tc>
        <w:tc>
          <w:tcPr>
            <w:tcW w:type="dxa" w:w="316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Full prior month average daily production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ZPRA_T_DLY_PRD, prior month range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5.4  Section 3 — Annual Summary in MMT / BCM (Rows 47 – 62)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From row 53 onward the consortium level changes to "ONGC Videsh" and units switch to MMT (oil) / BCM (gas).  All values are ONGC Videsh OVL share.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288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Label</w:t>
            </w:r>
          </w:p>
        </w:tc>
        <w:tc>
          <w:tcPr>
            <w:tcW w:type="dxa" w:w="345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Content</w:t>
            </w:r>
          </w:p>
        </w:tc>
        <w:tc>
          <w:tcPr>
            <w:tcW w:type="dxa" w:w="244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47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Target : 2025-26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Full-year annual target (MMT/BCM)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ZPRA_T_PRD_TAR × conv_factor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48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Target : 2025-26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Year-to-date target prorated to P_DATE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Same, × elapsed days / 365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49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Actual Prod. 2025-2026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actual OVL production (MMT/BCM)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ZPRA_T_DLY_PRD / dly_rprd summed since 1 Apr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50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  2024-2025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Prior year YTD actual to same date last year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Same tables, prior year date range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51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Asking Rate : 2025-26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(Annual Target – YTD Actual) ÷ remaining days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Calculated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52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Actual Prod. : 2024-25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Full prior fiscal year actual (BOPD/BOEPD)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ZPRA_T_DLY_RPRD or dly_prd ÷ 365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Consortium Level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Label row: "ONGC Videsh"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Static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54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Unit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MMT (oil),  BCM (gas)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Derived from unit parameter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55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Target : 2025-26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target (MMT/BCM OVL)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ZPRA_T_PRD_TAR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56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Target : 2025-26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target (MMT/BCM)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Prorated from row 55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57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Actual Prod. : 2025-26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YTD actual (MMT/BCM)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Sum of daily production ÷ 1,000,000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5.5  Section 3f — Historical Actual Production (Rows 58 – 62)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Shows 5 past fiscal years (rolling 5 years back from current FY).  Unit: MMT (oil) / BCM (gas).  ONGC Videsh OVL share only.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230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1</w:t>
            </w:r>
          </w:p>
        </w:tc>
        <w:tc>
          <w:tcPr>
            <w:tcW w:type="dxa" w:w="144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2</w:t>
            </w:r>
          </w:p>
        </w:tc>
        <w:tc>
          <w:tcPr>
            <w:tcW w:type="dxa" w:w="504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Asset Columns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58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Actual Production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2020 – 21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 production in MMT per asset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59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14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2021 – 22</w:t>
            </w:r>
          </w:p>
        </w:tc>
        <w:tc>
          <w:tcPr>
            <w:tcW w:type="dxa" w:w="50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 production in MMT per asset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60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2022 – 23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 production in MMT per asset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61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14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2023 – 24</w:t>
            </w:r>
          </w:p>
        </w:tc>
        <w:tc>
          <w:tcPr>
            <w:tcW w:type="dxa" w:w="50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 production in MMT per asset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62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2024 – 25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 production in MMT per asset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5.6  Section 4 — Remarks (Rows 64 – 71)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2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432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Content</w:t>
            </w:r>
          </w:p>
        </w:tc>
        <w:tc>
          <w:tcPr>
            <w:tcW w:type="dxa" w:w="432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64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"Remarks" heading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Static</w:t>
            </w:r>
          </w:p>
        </w:tc>
      </w:tr>
      <w:tr>
        <w:tc>
          <w:tcPr>
            <w:tcW w:type="dxa" w:w="72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65</w:t>
            </w:r>
          </w:p>
        </w:tc>
        <w:tc>
          <w:tcPr>
            <w:tcW w:type="dxa" w:w="432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Column headers: Asset / Date / Comments</w:t>
            </w:r>
          </w:p>
        </w:tc>
        <w:tc>
          <w:tcPr>
            <w:tcW w:type="dxa" w:w="432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Static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66+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One row per operational remark</w:t>
            </w:r>
          </w:p>
        </w:tc>
        <w:tc>
          <w:tcPr>
            <w:tcW w:type="dxa" w:w="432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ZPRA_T_MREC_REM — entered via input transaction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5.7  Footer (Row 74)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"Report Generated On: DD.MON.YYYY At HH:MM:SS" — system timestamp at report run.  Use this to verify which version of the code was active when the report was generated.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6.  Sheet 2: Daily Trend Data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Provides underlying data for the trend chart in Sheet 3.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1</w:t>
            </w:r>
          </w:p>
        </w:tc>
        <w:tc>
          <w:tcPr>
            <w:tcW w:type="dxa" w:w="403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Columns 3 onward</w:t>
            </w:r>
          </w:p>
        </w:tc>
        <w:tc>
          <w:tcPr>
            <w:tcW w:type="dxa" w:w="21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Production dates (one per column, FY start → P_DATE)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Date range</w:t>
            </w:r>
          </w:p>
        </w:tc>
      </w:tr>
      <w:tr>
        <w:tc>
          <w:tcPr>
            <w:tcW w:type="dxa" w:w="57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"Actual Production"</w:t>
            </w:r>
          </w:p>
        </w:tc>
        <w:tc>
          <w:tcPr>
            <w:tcW w:type="dxa" w:w="403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Total ONGC Videsh daily production (BOEPD) per date</w:t>
            </w:r>
          </w:p>
        </w:tc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fill_dynamic_table_sec5a → ZPRA_T_DLY_RPRD / dly_prd, all assets, Grand Total column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"BE Target"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Budget estimate target per date (if available)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ZPRA_T_PRD_TAR</w:t>
            </w:r>
          </w:p>
        </w:tc>
      </w:tr>
    </w:tbl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7.  Sheet 3: Production Performance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A summary table that feeds the Excel bar chart.  Always shows ONGC Videsh total (all assets combined).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6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Row</w:t>
            </w:r>
          </w:p>
        </w:tc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 1</w:t>
            </w:r>
          </w:p>
        </w:tc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Columns 2–3</w:t>
            </w:r>
          </w:p>
        </w:tc>
        <w:tc>
          <w:tcPr>
            <w:tcW w:type="dxa" w:w="187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Columns 4–5</w:t>
            </w:r>
          </w:p>
        </w:tc>
        <w:tc>
          <w:tcPr>
            <w:tcW w:type="dxa" w:w="21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Columns 6–7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45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"ONGC Videsh YYYY-YY"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"Oil, LNG &amp; Condensate (BOPD)"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"Gas (MMSCMD)"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"Total (O+OEG) (BOEPD)"</w:t>
            </w:r>
          </w:p>
        </w:tc>
      </w:tr>
      <w:tr>
        <w:tc>
          <w:tcPr>
            <w:tcW w:type="dxa" w:w="86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46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(blank)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 |  YTD</w:t>
            </w:r>
          </w:p>
        </w:tc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 |  YTD</w:t>
            </w:r>
          </w:p>
        </w:tc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 |  YTD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47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"Actual"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Current FY oil actual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Current FY gas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Current FY total</w:t>
            </w:r>
          </w:p>
        </w:tc>
      </w:tr>
      <w:tr>
        <w:tc>
          <w:tcPr>
            <w:tcW w:type="dxa" w:w="86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48+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Target rows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target per FY</w:t>
            </w:r>
          </w:p>
        </w:tc>
        <w:tc>
          <w:tcPr>
            <w:tcW w:type="dxa" w:w="187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target</w:t>
            </w:r>
          </w:p>
        </w:tc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Annual target total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A1A1A"/>
          <w:sz w:val="19"/>
        </w:rPr>
        <w:t>How the Actual row (row 47) is built: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Reads first row of internal table gfs_sec2d_table (current FY actuals)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Sums Oil products:  722000001-TOTAL + 722000003-TOTAL + 722000005-TOTAL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Sums Gas product:  722000004-TOTAL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Reads GRAND-TOTAL for the combined oil+gas total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Annual and YTD columns are set to the same value for current year actuals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8.  Data Retrieval Priority Logic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Every section (1, 2d, 3f, 5a) follows the same three-step cascade for each asset / product / month combination: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9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230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 Table</w:t>
            </w:r>
          </w:p>
        </w:tc>
        <w:tc>
          <w:tcPr>
            <w:tcW w:type="dxa" w:w="21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Field Used</w:t>
            </w:r>
          </w:p>
        </w:tc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Conversion Applied</w:t>
            </w:r>
          </w:p>
        </w:tc>
        <w:tc>
          <w:tcPr>
            <w:tcW w:type="dxa" w:w="244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1 (Highest)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ZPRA_T_MREC_APP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app_vl_qty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app_vl_qty × 1,000,000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Already OVL.  No CF or PI needed.</w:t>
            </w:r>
          </w:p>
        </w:tc>
      </w:tr>
      <w:tr>
        <w:tc>
          <w:tcPr>
            <w:tcW w:type="dxa" w:w="129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230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ZPRA_T_DLY_RPRD</w:t>
            </w:r>
          </w:p>
        </w:tc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ovl_rcn_vl_qty3 → ovl_prd_vl_qty1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convert_rprd_units_mb (field copy only)</w:t>
            </w:r>
          </w:p>
        </w:tc>
        <w:tc>
          <w:tcPr>
            <w:tcW w:type="dxa" w:w="244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Normally stores OVL.  Exception: SK historical years store JV — see Section 10.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3 (Lowest)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ZPRA_T_DLY_PRD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prod_vl_qty1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Divide by CF (bbl/tonne) for oil.  Multiply by PI/100 for gas (and SK oil).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Used when neither MREC_APP nor dly_rprd has data.</w:t>
            </w:r>
          </w:p>
        </w:tc>
      </w:tr>
    </w:tbl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9.  Unit Conversion and PI Logic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9.1  Conversion Factor (CF) for Oil / Condensate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Applied only in the dly_prd path via form convert_non_gas_units3f:</w:t>
      </w:r>
    </w:p>
    <w:p>
      <w:pPr>
        <w:spacing w:before="0" w:after="0"/>
        <w:ind w:left="432"/>
        <w:shd w:val="clear" w:color="auto" w:fill="F2F2F2"/>
      </w:pPr>
      <w:r>
        <w:rPr>
          <w:rFonts w:ascii="Courier New" w:hAnsi="Courier New"/>
          <w:b w:val="0"/>
          <w:i w:val="0"/>
          <w:color w:val="1A1A1A"/>
          <w:sz w:val="17"/>
        </w:rPr>
        <w:t>prod_vl_qty1 (barrels)  ÷  conv_factor (bbl/tonne)  =  value in tonnes (MMT)</w:t>
      </w:r>
    </w:p>
    <w:p>
      <w:pPr>
        <w:spacing w:before="100" w:after="40"/>
      </w:pPr>
      <w:r>
        <w:rPr>
          <w:rFonts w:ascii="Calibri" w:hAnsi="Calibri"/>
          <w:b w:val="0"/>
          <w:i w:val="0"/>
          <w:color w:val="1A1A1A"/>
          <w:sz w:val="19"/>
        </w:rPr>
        <w:t>CF lookup order: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Step 1 — Exact fiscal year match in ZPRA_T_TAR_CF for the production date's FY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Step 2 — If not found: use the highest GJAHR (most recent) entry for that product / asset / block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SK override (v1.6): if asset contains "SK" or "SAKH", hardcode CF = 7.39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9.2  PI (Participating Interest) Application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584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144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Product</w:t>
            </w:r>
          </w:p>
        </w:tc>
        <w:tc>
          <w:tcPr>
            <w:tcW w:type="dxa" w:w="129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Path</w:t>
            </w:r>
          </w:p>
        </w:tc>
        <w:tc>
          <w:tcPr>
            <w:tcW w:type="dxa" w:w="1728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PI Applied?</w:t>
            </w:r>
          </w:p>
        </w:tc>
        <w:tc>
          <w:tcPr>
            <w:tcW w:type="dxa" w:w="331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All (daily)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Oil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dly_prd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Yes — via gv_total_mul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Total col always = OVL share</w:t>
            </w:r>
          </w:p>
        </w:tc>
      </w:tr>
      <w:tr>
        <w:tc>
          <w:tcPr>
            <w:tcW w:type="dxa" w:w="158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All (daily)</w:t>
            </w:r>
          </w:p>
        </w:tc>
        <w:tc>
          <w:tcPr>
            <w:tcW w:type="dxa" w:w="14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Gas</w:t>
            </w:r>
          </w:p>
        </w:tc>
        <w:tc>
          <w:tcPr>
            <w:tcW w:type="dxa" w:w="129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dly_prd</w:t>
            </w:r>
          </w:p>
        </w:tc>
        <w:tc>
          <w:tcPr>
            <w:tcW w:type="dxa" w:w="172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Yes — via gv_total_mul</w:t>
            </w:r>
          </w:p>
        </w:tc>
        <w:tc>
          <w:tcPr>
            <w:tcW w:type="dxa" w:w="331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Total col always = OVL share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Section 3f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Gas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dly_prd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Yes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Gas in dly_prd stores JV</w:t>
            </w:r>
          </w:p>
        </w:tc>
      </w:tr>
      <w:tr>
        <w:tc>
          <w:tcPr>
            <w:tcW w:type="dxa" w:w="158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Section 3f</w:t>
            </w:r>
          </w:p>
        </w:tc>
        <w:tc>
          <w:tcPr>
            <w:tcW w:type="dxa" w:w="14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Oil (SK)</w:t>
            </w:r>
          </w:p>
        </w:tc>
        <w:tc>
          <w:tcPr>
            <w:tcW w:type="dxa" w:w="129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dly_rprd</w:t>
            </w:r>
          </w:p>
        </w:tc>
        <w:tc>
          <w:tcPr>
            <w:tcW w:type="dxa" w:w="172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Yes (v1.6 fix)</w:t>
            </w:r>
          </w:p>
        </w:tc>
        <w:tc>
          <w:tcPr>
            <w:tcW w:type="dxa" w:w="331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SK historical dly_rprd stores JV in ovl_rcn_vl_qty3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Section 3f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Oil (SK)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dly_prd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Yes (v1.6 fix)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SK oil in dly_prd also stores JV after CF conversion</w:t>
            </w:r>
          </w:p>
        </w:tc>
      </w:tr>
      <w:tr>
        <w:tc>
          <w:tcPr>
            <w:tcW w:type="dxa" w:w="1584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Section 3f</w:t>
            </w:r>
          </w:p>
        </w:tc>
        <w:tc>
          <w:tcPr>
            <w:tcW w:type="dxa" w:w="144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Oil (other)</w:t>
            </w:r>
          </w:p>
        </w:tc>
        <w:tc>
          <w:tcPr>
            <w:tcW w:type="dxa" w:w="129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dly_rprd</w:t>
            </w:r>
          </w:p>
        </w:tc>
        <w:tc>
          <w:tcPr>
            <w:tcW w:type="dxa" w:w="1728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No</w:t>
            </w:r>
          </w:p>
        </w:tc>
        <w:tc>
          <w:tcPr>
            <w:tcW w:type="dxa" w:w="331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dly_rprd ovl_rcn_vl_qty3 already = OVL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Any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All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MREC_APP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No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app_vl_qty already = OVL</w:t>
            </w:r>
          </w:p>
        </w:tc>
      </w:tr>
    </w:tbl>
    <w:p>
      <w:pPr>
        <w:spacing w:before="120" w:after="40"/>
      </w:pPr>
      <w:r>
        <w:rPr>
          <w:rFonts w:ascii="Calibri" w:hAnsi="Calibri"/>
          <w:b/>
          <w:i w:val="0"/>
          <w:color w:val="1A1A1A"/>
          <w:sz w:val="19"/>
        </w:rPr>
        <w:t>PI lookup order (Section 3f):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First: match asset + block + date within vld_frm … vld_to in ZPRA_T_PRD_PI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Fallback: any entry for that asset (ignores date range) — used for historical years with no exact match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10.  Known Data Issue: Sakhalin-1 Historical Oil (FY2020-21, FY2021-22)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10.1  Symptom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Section 3f displayed ~12.2 MMT for FY2020-21 and ~10.9 MMT for FY2021-22 instead of the expected ~2.45 MMT and ~2.19 MMT respectively.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10.2  Root Cause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For Sakhalin-1 oil, records in ZPRA_T_DLY_RPRD for FY2020-21 and FY2021-22 store the JV (whole-field) production value in the field ovl_rcn_vl_qty3 instead of the ONGC Videsh OVL share.  This is a data inconsistency specific to those two years — other assets and other years store OVL as expected.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5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FY</w:t>
            </w:r>
          </w:p>
        </w:tc>
        <w:tc>
          <w:tcPr>
            <w:tcW w:type="dxa" w:w="201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 in DB (JV)</w:t>
            </w:r>
          </w:p>
        </w:tc>
        <w:tc>
          <w:tcPr>
            <w:tcW w:type="dxa" w:w="2592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Expected OVL (JV × 20%)</w:t>
            </w:r>
          </w:p>
        </w:tc>
        <w:tc>
          <w:tcPr>
            <w:tcW w:type="dxa" w:w="216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Was Shown (v1.4)</w:t>
            </w:r>
          </w:p>
        </w:tc>
        <w:tc>
          <w:tcPr>
            <w:tcW w:type="dxa" w:w="201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Fixed (v1.6)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2020-21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~12.24 MMT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~2.45 MMT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12.238 MMT ✗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2.448 MMT ✓</w:t>
            </w:r>
          </w:p>
        </w:tc>
      </w:tr>
      <w:tr>
        <w:tc>
          <w:tcPr>
            <w:tcW w:type="dxa" w:w="115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2021-22</w:t>
            </w:r>
          </w:p>
        </w:tc>
        <w:tc>
          <w:tcPr>
            <w:tcW w:type="dxa" w:w="201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~10.93 MMT</w:t>
            </w:r>
          </w:p>
        </w:tc>
        <w:tc>
          <w:tcPr>
            <w:tcW w:type="dxa" w:w="2592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~2.19 MMT</w:t>
            </w:r>
          </w:p>
        </w:tc>
        <w:tc>
          <w:tcPr>
            <w:tcW w:type="dxa" w:w="216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10.928 MMT ✗</w:t>
            </w:r>
          </w:p>
        </w:tc>
        <w:tc>
          <w:tcPr>
            <w:tcW w:type="dxa" w:w="201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2.186 MMT ✓</w:t>
            </w:r>
          </w:p>
        </w:tc>
      </w:tr>
    </w:tbl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10.3  Fix Applied (Version 1.6)</w:t>
      </w:r>
    </w:p>
    <w:p>
      <w:pPr>
        <w:spacing w:before="40" w:after="40"/>
      </w:pPr>
      <w:r>
        <w:rPr>
          <w:rFonts w:ascii="Calibri" w:hAnsi="Calibri"/>
          <w:b w:val="0"/>
          <w:i w:val="0"/>
          <w:color w:val="1A1A1A"/>
          <w:sz w:val="19"/>
        </w:rPr>
        <w:t>After convert_rprd_units_mb, the code checks if the asset name contains "SK" or "SAKH" (substring match).  If true and product is non-gas, ovl_prd_vl_qty1 is multiplied by PI / 100 to convert JV → OVL.</w:t>
      </w:r>
    </w:p>
    <w:p>
      <w:pPr>
        <w:spacing w:before="0" w:after="0"/>
        <w:ind w:left="432"/>
        <w:shd w:val="clear" w:color="auto" w:fill="F2F2F2"/>
      </w:pPr>
      <w:r>
        <w:rPr>
          <w:rFonts w:ascii="Courier New" w:hAnsi="Courier New"/>
          <w:b w:val="0"/>
          <w:i w:val="0"/>
          <w:color w:val="1A1A1A"/>
          <w:sz w:val="17"/>
        </w:rPr>
        <w:t>IF ( asset EQ "RUS_SK1" OR asset CS "SK" OR asset CS "SAKH" )</w:t>
      </w:r>
    </w:p>
    <w:p>
      <w:pPr>
        <w:spacing w:before="0" w:after="0"/>
        <w:ind w:left="432"/>
        <w:shd w:val="clear" w:color="auto" w:fill="F2F2F2"/>
      </w:pPr>
      <w:r>
        <w:rPr>
          <w:rFonts w:ascii="Courier New" w:hAnsi="Courier New"/>
          <w:b w:val="0"/>
          <w:i w:val="0"/>
          <w:color w:val="1A1A1A"/>
          <w:sz w:val="17"/>
        </w:rPr>
        <w:t xml:space="preserve">   AND product NE gas_product_code.</w:t>
      </w:r>
    </w:p>
    <w:p>
      <w:pPr>
        <w:spacing w:before="0" w:after="0"/>
        <w:ind w:left="432"/>
        <w:shd w:val="clear" w:color="auto" w:fill="F2F2F2"/>
      </w:pPr>
      <w:r>
        <w:rPr>
          <w:rFonts w:ascii="Courier New" w:hAnsi="Courier New"/>
          <w:b w:val="0"/>
          <w:i w:val="0"/>
          <w:color w:val="1A1A1A"/>
          <w:sz w:val="17"/>
        </w:rPr>
        <w:t xml:space="preserve">  ovl_prd_vl_qty1 = ovl_prd_vl_qty1 * PI / 100.</w:t>
      </w:r>
    </w:p>
    <w:p>
      <w:pPr>
        <w:spacing w:before="0" w:after="0"/>
        <w:ind w:left="432"/>
        <w:shd w:val="clear" w:color="auto" w:fill="F2F2F2"/>
      </w:pPr>
      <w:r>
        <w:rPr>
          <w:rFonts w:ascii="Courier New" w:hAnsi="Courier New"/>
          <w:b w:val="0"/>
          <w:i w:val="0"/>
          <w:color w:val="1A1A1A"/>
          <w:sz w:val="17"/>
        </w:rPr>
        <w:t>ENDIF.</w:t>
      </w:r>
    </w:p>
    <w:p>
      <w:pPr>
        <w:spacing w:before="80" w:after="40"/>
      </w:pPr>
      <w:r>
        <w:rPr>
          <w:rFonts w:ascii="Calibri" w:hAnsi="Calibri"/>
          <w:b w:val="0"/>
          <w:i w:val="0"/>
          <w:color w:val="1A1A1A"/>
          <w:sz w:val="19"/>
        </w:rPr>
        <w:t>The substring match (CS) is used instead of EQ because the exact internal asset code in ZPRA_C_PRD_PROF may differ from "RUS_SK1".</w:t>
      </w:r>
    </w:p>
    <w:p>
      <w:pPr>
        <w:spacing w:before="160" w:after="80"/>
        <w:shd w:val="clear" w:color="auto" w:fill="1F5C99"/>
      </w:pPr>
      <w:r>
        <w:rPr>
          <w:rFonts w:ascii="Calibri" w:hAnsi="Calibri"/>
          <w:b/>
          <w:i w:val="0"/>
          <w:color w:val="FFFFFF"/>
          <w:sz w:val="22"/>
        </w:rPr>
        <w:t xml:space="preserve">  10.4  Permanent Fix Recommendation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Option A — Correct the data: Update ovl_rcn_vl_qty3 in ZPRA_T_DLY_RPRD for Sakhalin-1 FY2020-21 and FY2021-22 to store OVL values (JV × 20%).  Remove the code workaround.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 w:val="0"/>
          <w:i w:val="0"/>
          <w:color w:val="1A1A1A"/>
          <w:sz w:val="19"/>
        </w:rPr>
        <w:t>Option B — Confirm asset code: Check ZPRA_C_PRD_PROF in SE16 for the exact asset code of Sakhalin-1, then replace CS "SK" with EQ "&lt;exact_code&gt;" for a precise match.</w:t>
      </w:r>
    </w:p>
    <w:p>
      <w:pPr>
        <w:spacing w:before="280" w:after="80"/>
        <w:shd w:val="clear" w:color="auto" w:fill="00366B"/>
      </w:pPr>
      <w:r>
        <w:rPr>
          <w:rFonts w:ascii="Calibri" w:hAnsi="Calibri"/>
          <w:b/>
          <w:i w:val="0"/>
          <w:color w:val="FFFFFF"/>
          <w:sz w:val="26"/>
        </w:rPr>
        <w:t xml:space="preserve">  11.  Section-to-ABAP Form Mapping (Quick Reference)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5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Excel Section</w:t>
            </w:r>
          </w:p>
        </w:tc>
        <w:tc>
          <w:tcPr>
            <w:tcW w:type="dxa" w:w="3456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Data Form</w:t>
            </w:r>
          </w:p>
        </w:tc>
        <w:tc>
          <w:tcPr>
            <w:tcW w:type="dxa" w:w="2880"/>
            <w:shd w:val="clear" w:color="auto" w:fill="1F5C99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Display / Paste Form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1 daily rows (Sec 1)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fill_dynamic_table_sec1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display_section1</w:t>
            </w:r>
          </w:p>
        </w:tc>
      </w:tr>
      <w:tr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MTD / Monthly actuals (Sec 2)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fill_dynamic_table_sec2d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display_section2d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Annual OVL summary (Sec 2a)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fill_dynamic_table_sec2a1/2/3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display_section2a1/2/3</w:t>
            </w:r>
          </w:p>
        </w:tc>
      </w:tr>
      <w:tr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5-Year Historical (Sec 3f)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fill_dynamic_table_sec3f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display_section3f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Remarks (Sec 4)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prepare_section4b_paste_data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display_section4b</w:t>
            </w:r>
          </w:p>
        </w:tc>
      </w:tr>
      <w:tr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2 trend data (Sec 5a)</w:t>
            </w:r>
          </w:p>
        </w:tc>
        <w:tc>
          <w:tcPr>
            <w:tcW w:type="dxa" w:w="3456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fill_dynamic_table_sec5a</w:t>
            </w:r>
          </w:p>
        </w:tc>
        <w:tc>
          <w:tcPr>
            <w:tcW w:type="dxa" w:w="2880"/>
            <w:shd w:val="clear" w:color="auto" w:fill="EAF1FB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display_section5a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i w:val="0"/>
                <w:color w:val="1A1A1A"/>
                <w:sz w:val="18"/>
              </w:rPr>
              <w:t>Sheet 3 chart table (Sec 6)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fill_dynamic_table_sec6 (→ 6a+6b)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display_section6</w:t>
            </w:r>
          </w:p>
        </w:tc>
      </w:tr>
    </w:tbl>
    <w:p/>
    <w:p>
      <w:pPr>
        <w:jc w:val="center"/>
        <w:shd w:val="clear" w:color="auto" w:fill="00366B"/>
      </w:pPr>
      <w:r>
        <w:rPr>
          <w:rFonts w:ascii="Calibri" w:hAnsi="Calibri"/>
          <w:b w:val="0"/>
          <w:i w:val="0"/>
          <w:color w:val="FFFFFF"/>
          <w:sz w:val="16"/>
        </w:rPr>
        <w:t xml:space="preserve">  ONGC Videsh Limited — ZPRA_DPR_REPORT Developer Guide — Version 1.6 — May 2026  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