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Cimmra Vendor Portal Interface</w:t>
      </w:r>
    </w:p>
    <w:p>
      <w:r>
        <w:rPr>
          <w:b/>
          <w:i w:val="0"/>
          <w:sz w:val="26"/>
        </w:rPr>
        <w:t>Changes required for SAP S/4HANA Business Partner</w:t>
      </w:r>
    </w:p>
    <w:p/>
    <w:p>
      <w:pPr>
        <w:pStyle w:val="Heading1"/>
      </w:pPr>
      <w:r>
        <w:t>1. The change common to both function modules</w:t>
      </w:r>
    </w:p>
    <w:p>
      <w:r>
        <w:rPr>
          <w:b w:val="0"/>
          <w:i w:val="0"/>
        </w:rPr>
        <w:t>Today both function modules end with VMD_EI_API=&gt;MAINTAIN_BAPI, which creates a vendor. In S/4HANA the Business Partner is the leading object and the vendor is derived from it. The posting call becomes CL_MD_BP_MAINTAIN, which takes the Business Partner and the vendor in one message and creates both together.</w:t>
      </w:r>
    </w:p>
    <w:p>
      <w:r>
        <w:rPr>
          <w:b w:val="0"/>
          <w:i w:val="0"/>
        </w:rPr>
        <w:t>The field mapping, which is the bulk of both function modules, is reused unchanged. What is added is the Business Partner half of the same message, and six points follow from that.</w:t>
      </w:r>
    </w:p>
    <w:tbl>
      <w:tblPr>
        <w:tblStyle w:val="LightGrid-Accent1"/>
        <w:tblW w:type="auto" w:w="0"/>
        <w:jc w:val="left"/>
        <w:tblLook w:firstColumn="1" w:firstRow="1" w:lastColumn="0" w:lastRow="0" w:noHBand="0" w:noVBand="1" w:val="04A0"/>
      </w:tblPr>
      <w:tblGrid>
        <w:gridCol w:w="3324"/>
        <w:gridCol w:w="3324"/>
        <w:gridCol w:w="3324"/>
      </w:tblGrid>
      <w:tr>
        <w:tc>
          <w:tcPr>
            <w:tcW w:type="dxa" w:w="737"/>
          </w:tcPr>
          <w:p>
            <w:r/>
            <w:r>
              <w:rPr>
                <w:b/>
                <w:sz w:val="19"/>
              </w:rPr>
              <w:t>#</w:t>
            </w:r>
          </w:p>
        </w:tc>
        <w:tc>
          <w:tcPr>
            <w:tcW w:type="dxa" w:w="3118"/>
          </w:tcPr>
          <w:p>
            <w:r/>
            <w:r>
              <w:rPr>
                <w:b/>
                <w:sz w:val="19"/>
              </w:rPr>
              <w:t>Change</w:t>
            </w:r>
          </w:p>
        </w:tc>
        <w:tc>
          <w:tcPr>
            <w:tcW w:type="dxa" w:w="5499"/>
          </w:tcPr>
          <w:p>
            <w:r/>
            <w:r>
              <w:rPr>
                <w:b/>
                <w:sz w:val="19"/>
              </w:rPr>
              <w:t>Why</w:t>
            </w:r>
          </w:p>
        </w:tc>
      </w:tr>
      <w:tr>
        <w:tc>
          <w:tcPr>
            <w:tcW w:type="dxa" w:w="737"/>
          </w:tcPr>
          <w:p>
            <w:r/>
            <w:r>
              <w:rPr>
                <w:sz w:val="19"/>
              </w:rPr>
              <w:t>1.1</w:t>
            </w:r>
          </w:p>
        </w:tc>
        <w:tc>
          <w:tcPr>
            <w:tcW w:type="dxa" w:w="3118"/>
          </w:tcPr>
          <w:p>
            <w:r/>
            <w:r>
              <w:rPr>
                <w:sz w:val="19"/>
              </w:rPr>
              <w:t>Add the Business Partner node to the message</w:t>
            </w:r>
          </w:p>
        </w:tc>
        <w:tc>
          <w:tcPr>
            <w:tcW w:type="dxa" w:w="5499"/>
          </w:tcPr>
          <w:p>
            <w:r/>
            <w:r>
              <w:rPr>
                <w:sz w:val="19"/>
              </w:rPr>
              <w:t>Category, grouping, roles, name, search terms and address. The grouping and the roles are read from the CVI Customizing tables at runtime, so no value is hard coded and nothing has to be maintained in the program.</w:t>
            </w:r>
          </w:p>
        </w:tc>
      </w:tr>
      <w:tr>
        <w:tc>
          <w:tcPr>
            <w:tcW w:type="dxa" w:w="737"/>
          </w:tcPr>
          <w:p>
            <w:r/>
            <w:r>
              <w:rPr>
                <w:sz w:val="19"/>
              </w:rPr>
              <w:t>1.2</w:t>
            </w:r>
          </w:p>
        </w:tc>
        <w:tc>
          <w:tcPr>
            <w:tcW w:type="dxa" w:w="3118"/>
          </w:tcPr>
          <w:p>
            <w:r/>
            <w:r>
              <w:rPr>
                <w:sz w:val="19"/>
              </w:rPr>
              <w:t>Identify the partner in every message, including a creation</w:t>
            </w:r>
          </w:p>
        </w:tc>
        <w:tc>
          <w:tcPr>
            <w:tcW w:type="dxa" w:w="5499"/>
          </w:tcPr>
          <w:p>
            <w:r/>
            <w:r>
              <w:rPr>
                <w:sz w:val="19"/>
              </w:rPr>
              <w:t>The interface refuses a message that does not name the partner, even when the number is still to be assigned. A creation is identified by a generated GUID, which becomes the new partner’s key; a change is identified by the GUID the CVI link table already holds, read from the vendor number the portal sends.</w:t>
            </w:r>
          </w:p>
        </w:tc>
      </w:tr>
      <w:tr>
        <w:tc>
          <w:tcPr>
            <w:tcW w:type="dxa" w:w="737"/>
          </w:tcPr>
          <w:p>
            <w:r/>
            <w:r>
              <w:rPr>
                <w:sz w:val="19"/>
              </w:rPr>
              <w:t>1.3</w:t>
            </w:r>
          </w:p>
        </w:tc>
        <w:tc>
          <w:tcPr>
            <w:tcW w:type="dxa" w:w="3118"/>
          </w:tcPr>
          <w:p>
            <w:r/>
            <w:r>
              <w:rPr>
                <w:sz w:val="19"/>
              </w:rPr>
              <w:t>Replace the task code M with I or U</w:t>
            </w:r>
          </w:p>
        </w:tc>
        <w:tc>
          <w:tcPr>
            <w:tcW w:type="dxa" w:w="5499"/>
          </w:tcPr>
          <w:p>
            <w:r/>
            <w:r>
              <w:rPr>
                <w:sz w:val="19"/>
              </w:rPr>
              <w:t>The Business Partner interface accepts only I (insert) and U (update). ZMM_RFC_VENDOR_CHANGE uses M in 71 places and would be refused on every record. The task is derived per node from whether the record already exists.</w:t>
            </w:r>
          </w:p>
        </w:tc>
      </w:tr>
      <w:tr>
        <w:tc>
          <w:tcPr>
            <w:tcW w:type="dxa" w:w="737"/>
          </w:tcPr>
          <w:p>
            <w:r/>
            <w:r>
              <w:rPr>
                <w:sz w:val="19"/>
              </w:rPr>
              <w:t>1.4</w:t>
            </w:r>
          </w:p>
        </w:tc>
        <w:tc>
          <w:tcPr>
            <w:tcW w:type="dxa" w:w="3118"/>
          </w:tcPr>
          <w:p>
            <w:r/>
            <w:r>
              <w:rPr>
                <w:sz w:val="19"/>
              </w:rPr>
              <w:t>Remove the vendor number range logic</w:t>
            </w:r>
          </w:p>
        </w:tc>
        <w:tc>
          <w:tcPr>
            <w:tcW w:type="dxa" w:w="5499"/>
          </w:tcPr>
          <w:p>
            <w:r/>
            <w:r>
              <w:rPr>
                <w:sz w:val="19"/>
              </w:rPr>
              <w:t>The number now comes from the Business Partner grouping, not from the vendor account group. The existing code draws a number from the vendor range in advance, and on failure writes the number range table back directly, which is not supported and must be removed.</w:t>
            </w:r>
          </w:p>
        </w:tc>
      </w:tr>
      <w:tr>
        <w:tc>
          <w:tcPr>
            <w:tcW w:type="dxa" w:w="737"/>
          </w:tcPr>
          <w:p>
            <w:r/>
            <w:r>
              <w:rPr>
                <w:sz w:val="19"/>
              </w:rPr>
              <w:t>1.5</w:t>
            </w:r>
          </w:p>
        </w:tc>
        <w:tc>
          <w:tcPr>
            <w:tcW w:type="dxa" w:w="3118"/>
          </w:tcPr>
          <w:p>
            <w:r/>
            <w:r>
              <w:rPr>
                <w:sz w:val="19"/>
              </w:rPr>
              <w:t>Read both numbers back after the save</w:t>
            </w:r>
          </w:p>
        </w:tc>
        <w:tc>
          <w:tcPr>
            <w:tcW w:type="dxa" w:w="5499"/>
          </w:tcPr>
          <w:p>
            <w:r/>
            <w:r>
              <w:rPr>
                <w:sz w:val="19"/>
              </w:rPr>
              <w:t>Unless the grouping is set for the same number, the Business Partner number and the vendor number are different. Both are read back from the CVI link table so the response file can carry them.</w:t>
            </w:r>
          </w:p>
        </w:tc>
      </w:tr>
      <w:tr>
        <w:tc>
          <w:tcPr>
            <w:tcW w:type="dxa" w:w="737"/>
          </w:tcPr>
          <w:p>
            <w:r/>
            <w:r>
              <w:rPr>
                <w:sz w:val="19"/>
              </w:rPr>
              <w:t>1.6</w:t>
            </w:r>
          </w:p>
        </w:tc>
        <w:tc>
          <w:tcPr>
            <w:tcW w:type="dxa" w:w="3118"/>
          </w:tcPr>
          <w:p>
            <w:r/>
            <w:r>
              <w:rPr>
                <w:sz w:val="19"/>
              </w:rPr>
              <w:t>Commit and clear the Business Partner memory between records</w:t>
            </w:r>
          </w:p>
        </w:tc>
        <w:tc>
          <w:tcPr>
            <w:tcW w:type="dxa" w:w="5499"/>
          </w:tcPr>
          <w:p>
            <w:r/>
            <w:r>
              <w:rPr>
                <w:sz w:val="19"/>
              </w:rPr>
              <w:t>The Business Partner keeps a memory for the unit of work just closed. Without clearing it the second record in every file is refused. This affects the interface directly because a whole file is processed in one run.</w:t>
            </w:r>
          </w:p>
        </w:tc>
      </w:tr>
    </w:tbl>
    <w:p/>
    <w:p>
      <w:pPr>
        <w:pStyle w:val="Heading1"/>
      </w:pPr>
      <w:r>
        <w:t>2. Changes by program</w:t>
      </w:r>
    </w:p>
    <w:p>
      <w:pPr>
        <w:pStyle w:val="Heading2"/>
      </w:pPr>
      <w:r>
        <w:t>2.1  ZMM_RFC_VENDOR_CREATE  (function module)</w:t>
      </w:r>
    </w:p>
    <w:tbl>
      <w:tblPr>
        <w:tblStyle w:val="LightGrid-Accent1"/>
        <w:tblW w:type="auto" w:w="0"/>
        <w:jc w:val="left"/>
        <w:tblLook w:firstColumn="1" w:firstRow="1" w:lastColumn="0" w:lastRow="0" w:noHBand="0" w:noVBand="1" w:val="04A0"/>
      </w:tblPr>
      <w:tblGrid>
        <w:gridCol w:w="3324"/>
        <w:gridCol w:w="3324"/>
        <w:gridCol w:w="3324"/>
      </w:tblGrid>
      <w:tr>
        <w:tc>
          <w:tcPr>
            <w:tcW w:type="dxa" w:w="2041"/>
          </w:tcPr>
          <w:p>
            <w:r/>
            <w:r>
              <w:rPr>
                <w:b/>
                <w:sz w:val="19"/>
              </w:rPr>
              <w:t>Area</w:t>
            </w:r>
          </w:p>
        </w:tc>
        <w:tc>
          <w:tcPr>
            <w:tcW w:type="dxa" w:w="5896"/>
          </w:tcPr>
          <w:p>
            <w:r/>
            <w:r>
              <w:rPr>
                <w:b/>
                <w:sz w:val="19"/>
              </w:rPr>
              <w:t>Change</w:t>
            </w:r>
          </w:p>
        </w:tc>
        <w:tc>
          <w:tcPr>
            <w:tcW w:type="dxa" w:w="1417"/>
          </w:tcPr>
          <w:p>
            <w:r/>
            <w:r>
              <w:rPr>
                <w:b/>
                <w:sz w:val="19"/>
              </w:rPr>
              <w:t>Effort</w:t>
            </w:r>
          </w:p>
        </w:tc>
      </w:tr>
      <w:tr>
        <w:tc>
          <w:tcPr>
            <w:tcW w:type="dxa" w:w="2041"/>
          </w:tcPr>
          <w:p>
            <w:r/>
            <w:r>
              <w:rPr>
                <w:sz w:val="19"/>
              </w:rPr>
              <w:t>Posting call</w:t>
            </w:r>
          </w:p>
        </w:tc>
        <w:tc>
          <w:tcPr>
            <w:tcW w:type="dxa" w:w="5896"/>
          </w:tcPr>
          <w:p>
            <w:r/>
            <w:r>
              <w:rPr>
                <w:sz w:val="19"/>
              </w:rPr>
              <w:t>CL_MD_BP_MAINTAIN in place of VMD_EI_API=&gt;MAINTAIN_BAPI</w:t>
            </w:r>
          </w:p>
        </w:tc>
        <w:tc>
          <w:tcPr>
            <w:tcW w:type="dxa" w:w="1417"/>
          </w:tcPr>
          <w:p>
            <w:r/>
            <w:r>
              <w:rPr>
                <w:sz w:val="19"/>
              </w:rPr>
              <w:t>Medium</w:t>
            </w:r>
          </w:p>
        </w:tc>
      </w:tr>
      <w:tr>
        <w:tc>
          <w:tcPr>
            <w:tcW w:type="dxa" w:w="2041"/>
          </w:tcPr>
          <w:p>
            <w:r/>
            <w:r>
              <w:rPr>
                <w:sz w:val="19"/>
              </w:rPr>
              <w:t>Business Partner node</w:t>
            </w:r>
          </w:p>
        </w:tc>
        <w:tc>
          <w:tcPr>
            <w:tcW w:type="dxa" w:w="5896"/>
          </w:tcPr>
          <w:p>
            <w:r/>
            <w:r>
              <w:rPr>
                <w:sz w:val="19"/>
              </w:rPr>
              <w:t>New - built from the data already mapped</w:t>
            </w:r>
          </w:p>
        </w:tc>
        <w:tc>
          <w:tcPr>
            <w:tcW w:type="dxa" w:w="1417"/>
          </w:tcPr>
          <w:p>
            <w:r/>
            <w:r>
              <w:rPr>
                <w:sz w:val="19"/>
              </w:rPr>
              <w:t>Medium</w:t>
            </w:r>
          </w:p>
        </w:tc>
      </w:tr>
      <w:tr>
        <w:tc>
          <w:tcPr>
            <w:tcW w:type="dxa" w:w="2041"/>
          </w:tcPr>
          <w:p>
            <w:r/>
            <w:r>
              <w:rPr>
                <w:sz w:val="19"/>
              </w:rPr>
              <w:t>Partner GUID</w:t>
            </w:r>
          </w:p>
        </w:tc>
        <w:tc>
          <w:tcPr>
            <w:tcW w:type="dxa" w:w="5896"/>
          </w:tcPr>
          <w:p>
            <w:r/>
            <w:r>
              <w:rPr>
                <w:sz w:val="19"/>
              </w:rPr>
              <w:t>Generated on creation, so the message identifies the partner</w:t>
            </w:r>
          </w:p>
        </w:tc>
        <w:tc>
          <w:tcPr>
            <w:tcW w:type="dxa" w:w="1417"/>
          </w:tcPr>
          <w:p>
            <w:r/>
            <w:r>
              <w:rPr>
                <w:sz w:val="19"/>
              </w:rPr>
              <w:t>Small</w:t>
            </w:r>
          </w:p>
        </w:tc>
      </w:tr>
      <w:tr>
        <w:tc>
          <w:tcPr>
            <w:tcW w:type="dxa" w:w="2041"/>
          </w:tcPr>
          <w:p>
            <w:r/>
            <w:r>
              <w:rPr>
                <w:sz w:val="19"/>
              </w:rPr>
              <w:t>Number assignment</w:t>
            </w:r>
          </w:p>
        </w:tc>
        <w:tc>
          <w:tcPr>
            <w:tcW w:type="dxa" w:w="5896"/>
          </w:tcPr>
          <w:p>
            <w:r/>
            <w:r>
              <w:rPr>
                <w:sz w:val="19"/>
              </w:rPr>
              <w:t>Remove VMD_EI_API=&gt;GET_NUMBER and the direct write to the number range table</w:t>
            </w:r>
          </w:p>
        </w:tc>
        <w:tc>
          <w:tcPr>
            <w:tcW w:type="dxa" w:w="1417"/>
          </w:tcPr>
          <w:p>
            <w:r/>
            <w:r>
              <w:rPr>
                <w:sz w:val="19"/>
              </w:rPr>
              <w:t>Small</w:t>
            </w:r>
          </w:p>
        </w:tc>
      </w:tr>
      <w:tr>
        <w:tc>
          <w:tcPr>
            <w:tcW w:type="dxa" w:w="2041"/>
          </w:tcPr>
          <w:p>
            <w:r/>
            <w:r>
              <w:rPr>
                <w:sz w:val="19"/>
              </w:rPr>
              <w:t>CIN details</w:t>
            </w:r>
          </w:p>
        </w:tc>
        <w:tc>
          <w:tcPr>
            <w:tcW w:type="dxa" w:w="5896"/>
          </w:tcPr>
          <w:p>
            <w:r/>
            <w:r>
              <w:rPr>
                <w:sz w:val="19"/>
              </w:rPr>
              <w:t>The second posting call added during ATC remediation is removed; the CIN fields are folded into the single call</w:t>
            </w:r>
          </w:p>
        </w:tc>
        <w:tc>
          <w:tcPr>
            <w:tcW w:type="dxa" w:w="1417"/>
          </w:tcPr>
          <w:p>
            <w:r/>
            <w:r>
              <w:rPr>
                <w:sz w:val="19"/>
              </w:rPr>
              <w:t>Small</w:t>
            </w:r>
          </w:p>
        </w:tc>
      </w:tr>
      <w:tr>
        <w:tc>
          <w:tcPr>
            <w:tcW w:type="dxa" w:w="2041"/>
          </w:tcPr>
          <w:p>
            <w:r/>
            <w:r>
              <w:rPr>
                <w:sz w:val="19"/>
              </w:rPr>
              <w:t>TAN exemption</w:t>
            </w:r>
          </w:p>
        </w:tc>
        <w:tc>
          <w:tcPr>
            <w:tcW w:type="dxa" w:w="5896"/>
          </w:tcPr>
          <w:p>
            <w:r/>
            <w:r>
              <w:rPr>
                <w:sz w:val="19"/>
              </w:rPr>
              <w:t>Replace the direct table update with the standard function module</w:t>
            </w:r>
          </w:p>
        </w:tc>
        <w:tc>
          <w:tcPr>
            <w:tcW w:type="dxa" w:w="1417"/>
          </w:tcPr>
          <w:p>
            <w:r/>
            <w:r>
              <w:rPr>
                <w:sz w:val="19"/>
              </w:rPr>
              <w:t>Small</w:t>
            </w:r>
          </w:p>
        </w:tc>
      </w:tr>
      <w:tr>
        <w:tc>
          <w:tcPr>
            <w:tcW w:type="dxa" w:w="2041"/>
          </w:tcPr>
          <w:p>
            <w:r/>
            <w:r>
              <w:rPr>
                <w:sz w:val="19"/>
              </w:rPr>
              <w:t>Commit</w:t>
            </w:r>
          </w:p>
        </w:tc>
        <w:tc>
          <w:tcPr>
            <w:tcW w:type="dxa" w:w="5896"/>
          </w:tcPr>
          <w:p>
            <w:r/>
            <w:r>
              <w:rPr>
                <w:sz w:val="19"/>
              </w:rPr>
              <w:t>BAPI_TRANSACTION_COMMIT and clearing of the Business Partner memory</w:t>
            </w:r>
          </w:p>
        </w:tc>
        <w:tc>
          <w:tcPr>
            <w:tcW w:type="dxa" w:w="1417"/>
          </w:tcPr>
          <w:p>
            <w:r/>
            <w:r>
              <w:rPr>
                <w:sz w:val="19"/>
              </w:rPr>
              <w:t>Small</w:t>
            </w:r>
          </w:p>
        </w:tc>
      </w:tr>
      <w:tr>
        <w:tc>
          <w:tcPr>
            <w:tcW w:type="dxa" w:w="2041"/>
          </w:tcPr>
          <w:p>
            <w:r/>
            <w:r>
              <w:rPr>
                <w:sz w:val="19"/>
              </w:rPr>
              <w:t>Field mapping</w:t>
            </w:r>
          </w:p>
        </w:tc>
        <w:tc>
          <w:tcPr>
            <w:tcW w:type="dxa" w:w="5896"/>
          </w:tcPr>
          <w:p>
            <w:r/>
            <w:r>
              <w:rPr>
                <w:sz w:val="19"/>
              </w:rPr>
              <w:t>No change</w:t>
            </w:r>
          </w:p>
        </w:tc>
        <w:tc>
          <w:tcPr>
            <w:tcW w:type="dxa" w:w="1417"/>
          </w:tcPr>
          <w:p>
            <w:r/>
            <w:r>
              <w:rPr>
                <w:sz w:val="19"/>
              </w:rPr>
              <w:t>-</w:t>
            </w:r>
          </w:p>
        </w:tc>
      </w:tr>
    </w:tbl>
    <w:p/>
    <w:p>
      <w:pPr>
        <w:pStyle w:val="Heading2"/>
      </w:pPr>
      <w:r>
        <w:t>2.2  ZMM_RFC_VENDOR_CHANGE  (function module)</w:t>
      </w:r>
    </w:p>
    <w:tbl>
      <w:tblPr>
        <w:tblStyle w:val="LightGrid-Accent1"/>
        <w:tblW w:type="auto" w:w="0"/>
        <w:jc w:val="left"/>
        <w:tblLook w:firstColumn="1" w:firstRow="1" w:lastColumn="0" w:lastRow="0" w:noHBand="0" w:noVBand="1" w:val="04A0"/>
      </w:tblPr>
      <w:tblGrid>
        <w:gridCol w:w="3324"/>
        <w:gridCol w:w="3324"/>
        <w:gridCol w:w="3324"/>
      </w:tblGrid>
      <w:tr>
        <w:tc>
          <w:tcPr>
            <w:tcW w:type="dxa" w:w="2041"/>
          </w:tcPr>
          <w:p>
            <w:r/>
            <w:r>
              <w:rPr>
                <w:b/>
                <w:sz w:val="19"/>
              </w:rPr>
              <w:t>Area</w:t>
            </w:r>
          </w:p>
        </w:tc>
        <w:tc>
          <w:tcPr>
            <w:tcW w:type="dxa" w:w="5896"/>
          </w:tcPr>
          <w:p>
            <w:r/>
            <w:r>
              <w:rPr>
                <w:b/>
                <w:sz w:val="19"/>
              </w:rPr>
              <w:t>Change</w:t>
            </w:r>
          </w:p>
        </w:tc>
        <w:tc>
          <w:tcPr>
            <w:tcW w:type="dxa" w:w="1417"/>
          </w:tcPr>
          <w:p>
            <w:r/>
            <w:r>
              <w:rPr>
                <w:b/>
                <w:sz w:val="19"/>
              </w:rPr>
              <w:t>Effort</w:t>
            </w:r>
          </w:p>
        </w:tc>
      </w:tr>
      <w:tr>
        <w:tc>
          <w:tcPr>
            <w:tcW w:type="dxa" w:w="2041"/>
          </w:tcPr>
          <w:p>
            <w:r/>
            <w:r>
              <w:rPr>
                <w:sz w:val="19"/>
              </w:rPr>
              <w:t>Task codes</w:t>
            </w:r>
          </w:p>
        </w:tc>
        <w:tc>
          <w:tcPr>
            <w:tcW w:type="dxa" w:w="5896"/>
          </w:tcPr>
          <w:p>
            <w:r/>
            <w:r>
              <w:rPr>
                <w:sz w:val="19"/>
              </w:rPr>
              <w:t>71 occurrences of task M become I or U, derived from whether the record exists</w:t>
            </w:r>
          </w:p>
        </w:tc>
        <w:tc>
          <w:tcPr>
            <w:tcW w:type="dxa" w:w="1417"/>
          </w:tcPr>
          <w:p>
            <w:r/>
            <w:r>
              <w:rPr>
                <w:sz w:val="19"/>
              </w:rPr>
              <w:t>Medium</w:t>
            </w:r>
          </w:p>
        </w:tc>
      </w:tr>
      <w:tr>
        <w:tc>
          <w:tcPr>
            <w:tcW w:type="dxa" w:w="2041"/>
          </w:tcPr>
          <w:p>
            <w:r/>
            <w:r>
              <w:rPr>
                <w:sz w:val="19"/>
              </w:rPr>
              <w:t>Posting call</w:t>
            </w:r>
          </w:p>
        </w:tc>
        <w:tc>
          <w:tcPr>
            <w:tcW w:type="dxa" w:w="5896"/>
          </w:tcPr>
          <w:p>
            <w:r/>
            <w:r>
              <w:rPr>
                <w:sz w:val="19"/>
              </w:rPr>
              <w:t>As 2.1</w:t>
            </w:r>
          </w:p>
        </w:tc>
        <w:tc>
          <w:tcPr>
            <w:tcW w:type="dxa" w:w="1417"/>
          </w:tcPr>
          <w:p>
            <w:r/>
            <w:r>
              <w:rPr>
                <w:sz w:val="19"/>
              </w:rPr>
              <w:t>Medium</w:t>
            </w:r>
          </w:p>
        </w:tc>
      </w:tr>
      <w:tr>
        <w:tc>
          <w:tcPr>
            <w:tcW w:type="dxa" w:w="2041"/>
          </w:tcPr>
          <w:p>
            <w:r/>
            <w:r>
              <w:rPr>
                <w:sz w:val="19"/>
              </w:rPr>
              <w:t>Business Partner node</w:t>
            </w:r>
          </w:p>
        </w:tc>
        <w:tc>
          <w:tcPr>
            <w:tcW w:type="dxa" w:w="5896"/>
          </w:tcPr>
          <w:p>
            <w:r/>
            <w:r>
              <w:rPr>
                <w:sz w:val="19"/>
              </w:rPr>
              <w:t>As 2.1 - the same routine</w:t>
            </w:r>
          </w:p>
        </w:tc>
        <w:tc>
          <w:tcPr>
            <w:tcW w:type="dxa" w:w="1417"/>
          </w:tcPr>
          <w:p>
            <w:r/>
            <w:r>
              <w:rPr>
                <w:sz w:val="19"/>
              </w:rPr>
              <w:t>Small</w:t>
            </w:r>
          </w:p>
        </w:tc>
      </w:tr>
      <w:tr>
        <w:tc>
          <w:tcPr>
            <w:tcW w:type="dxa" w:w="2041"/>
          </w:tcPr>
          <w:p>
            <w:r/>
            <w:r>
              <w:rPr>
                <w:sz w:val="19"/>
              </w:rPr>
              <w:t>Record identification</w:t>
            </w:r>
          </w:p>
        </w:tc>
        <w:tc>
          <w:tcPr>
            <w:tcW w:type="dxa" w:w="5896"/>
          </w:tcPr>
          <w:p>
            <w:r/>
            <w:r>
              <w:rPr>
                <w:sz w:val="19"/>
              </w:rPr>
              <w:t>The program is keyed on the vendor number today. The Business Partner behind it is read from the CVI link table, so the change works whether or not the two numbers are the same.</w:t>
            </w:r>
          </w:p>
        </w:tc>
        <w:tc>
          <w:tcPr>
            <w:tcW w:type="dxa" w:w="1417"/>
          </w:tcPr>
          <w:p>
            <w:r/>
            <w:r>
              <w:rPr>
                <w:sz w:val="19"/>
              </w:rPr>
              <w:t>Small</w:t>
            </w:r>
          </w:p>
        </w:tc>
      </w:tr>
      <w:tr>
        <w:tc>
          <w:tcPr>
            <w:tcW w:type="dxa" w:w="2041"/>
          </w:tcPr>
          <w:p>
            <w:r/>
            <w:r>
              <w:rPr>
                <w:sz w:val="19"/>
              </w:rPr>
              <w:t>Repeating data</w:t>
            </w:r>
          </w:p>
        </w:tc>
        <w:tc>
          <w:tcPr>
            <w:tcW w:type="dxa" w:w="5896"/>
          </w:tcPr>
          <w:p>
            <w:r/>
            <w:r>
              <w:rPr>
                <w:sz w:val="19"/>
              </w:rPr>
              <w:t>Bank details, withholding tax types and partner functions that are not in the message are deleted by the interface. Existing entries are read and sent back alongside the new ones.</w:t>
            </w:r>
          </w:p>
        </w:tc>
        <w:tc>
          <w:tcPr>
            <w:tcW w:type="dxa" w:w="1417"/>
          </w:tcPr>
          <w:p>
            <w:r/>
            <w:r>
              <w:rPr>
                <w:sz w:val="19"/>
              </w:rPr>
              <w:t>Medium</w:t>
            </w:r>
          </w:p>
        </w:tc>
      </w:tr>
      <w:tr>
        <w:tc>
          <w:tcPr>
            <w:tcW w:type="dxa" w:w="2041"/>
          </w:tcPr>
          <w:p>
            <w:r/>
            <w:r>
              <w:rPr>
                <w:sz w:val="19"/>
              </w:rPr>
              <w:t>TAN exemption, commit</w:t>
            </w:r>
          </w:p>
        </w:tc>
        <w:tc>
          <w:tcPr>
            <w:tcW w:type="dxa" w:w="5896"/>
          </w:tcPr>
          <w:p>
            <w:r/>
            <w:r>
              <w:rPr>
                <w:sz w:val="19"/>
              </w:rPr>
              <w:t>As 2.1</w:t>
            </w:r>
          </w:p>
        </w:tc>
        <w:tc>
          <w:tcPr>
            <w:tcW w:type="dxa" w:w="1417"/>
          </w:tcPr>
          <w:p>
            <w:r/>
            <w:r>
              <w:rPr>
                <w:sz w:val="19"/>
              </w:rPr>
              <w:t>Small</w:t>
            </w:r>
          </w:p>
        </w:tc>
      </w:tr>
      <w:tr>
        <w:tc>
          <w:tcPr>
            <w:tcW w:type="dxa" w:w="2041"/>
          </w:tcPr>
          <w:p>
            <w:r/>
            <w:r>
              <w:rPr>
                <w:sz w:val="19"/>
              </w:rPr>
              <w:t>Field mapping</w:t>
            </w:r>
          </w:p>
        </w:tc>
        <w:tc>
          <w:tcPr>
            <w:tcW w:type="dxa" w:w="5896"/>
          </w:tcPr>
          <w:p>
            <w:r/>
            <w:r>
              <w:rPr>
                <w:sz w:val="19"/>
              </w:rPr>
              <w:t>No change</w:t>
            </w:r>
          </w:p>
        </w:tc>
        <w:tc>
          <w:tcPr>
            <w:tcW w:type="dxa" w:w="1417"/>
          </w:tcPr>
          <w:p>
            <w:r/>
            <w:r>
              <w:rPr>
                <w:sz w:val="19"/>
              </w:rPr>
              <w:t>-</w:t>
            </w:r>
          </w:p>
        </w:tc>
      </w:tr>
    </w:tbl>
    <w:p/>
    <w:p>
      <w:pPr>
        <w:pStyle w:val="Heading2"/>
      </w:pPr>
      <w:r>
        <w:t>2.3  ZFI_CIMMRA_VENDOR_CREATE  (report)</w:t>
      </w:r>
    </w:p>
    <w:tbl>
      <w:tblPr>
        <w:tblStyle w:val="LightGrid-Accent1"/>
        <w:tblW w:type="auto" w:w="0"/>
        <w:jc w:val="left"/>
        <w:tblLook w:firstColumn="1" w:firstRow="1" w:lastColumn="0" w:lastRow="0" w:noHBand="0" w:noVBand="1" w:val="04A0"/>
      </w:tblPr>
      <w:tblGrid>
        <w:gridCol w:w="3324"/>
        <w:gridCol w:w="3324"/>
        <w:gridCol w:w="3324"/>
      </w:tblGrid>
      <w:tr>
        <w:tc>
          <w:tcPr>
            <w:tcW w:type="dxa" w:w="2041"/>
          </w:tcPr>
          <w:p>
            <w:r/>
            <w:r>
              <w:rPr>
                <w:b/>
                <w:sz w:val="19"/>
              </w:rPr>
              <w:t>Area</w:t>
            </w:r>
          </w:p>
        </w:tc>
        <w:tc>
          <w:tcPr>
            <w:tcW w:type="dxa" w:w="5896"/>
          </w:tcPr>
          <w:p>
            <w:r/>
            <w:r>
              <w:rPr>
                <w:b/>
                <w:sz w:val="19"/>
              </w:rPr>
              <w:t>Change</w:t>
            </w:r>
          </w:p>
        </w:tc>
        <w:tc>
          <w:tcPr>
            <w:tcW w:type="dxa" w:w="1417"/>
          </w:tcPr>
          <w:p>
            <w:r/>
            <w:r>
              <w:rPr>
                <w:b/>
                <w:sz w:val="19"/>
              </w:rPr>
              <w:t>Effort</w:t>
            </w:r>
          </w:p>
        </w:tc>
      </w:tr>
      <w:tr>
        <w:tc>
          <w:tcPr>
            <w:tcW w:type="dxa" w:w="2041"/>
          </w:tcPr>
          <w:p>
            <w:r/>
            <w:r>
              <w:rPr>
                <w:sz w:val="19"/>
              </w:rPr>
              <w:t>File handling</w:t>
            </w:r>
          </w:p>
        </w:tc>
        <w:tc>
          <w:tcPr>
            <w:tcW w:type="dxa" w:w="5896"/>
          </w:tcPr>
          <w:p>
            <w:r/>
            <w:r>
              <w:rPr>
                <w:sz w:val="19"/>
              </w:rPr>
              <w:t>Directory paths are built with a backslash, while the quality paths in the design document are Unix style. The separator is derived at runtime so that the program runs on either platform.</w:t>
            </w:r>
          </w:p>
        </w:tc>
        <w:tc>
          <w:tcPr>
            <w:tcW w:type="dxa" w:w="1417"/>
          </w:tcPr>
          <w:p>
            <w:r/>
            <w:r>
              <w:rPr>
                <w:sz w:val="19"/>
              </w:rPr>
              <w:t>Small</w:t>
            </w:r>
          </w:p>
        </w:tc>
      </w:tr>
      <w:tr>
        <w:tc>
          <w:tcPr>
            <w:tcW w:type="dxa" w:w="2041"/>
          </w:tcPr>
          <w:p>
            <w:r/>
            <w:r>
              <w:rPr>
                <w:sz w:val="19"/>
              </w:rPr>
              <w:t>File handling</w:t>
            </w:r>
          </w:p>
        </w:tc>
        <w:tc>
          <w:tcPr>
            <w:tcW w:type="dxa" w:w="5896"/>
          </w:tcPr>
          <w:p>
            <w:r/>
            <w:r>
              <w:rPr>
                <w:sz w:val="19"/>
              </w:rPr>
              <w:t>The inbound file is deleted before it is closed</w:t>
            </w:r>
          </w:p>
        </w:tc>
        <w:tc>
          <w:tcPr>
            <w:tcW w:type="dxa" w:w="1417"/>
          </w:tcPr>
          <w:p>
            <w:r/>
            <w:r>
              <w:rPr>
                <w:sz w:val="19"/>
              </w:rPr>
              <w:t>Small</w:t>
            </w:r>
          </w:p>
        </w:tc>
      </w:tr>
      <w:tr>
        <w:tc>
          <w:tcPr>
            <w:tcW w:type="dxa" w:w="2041"/>
          </w:tcPr>
          <w:p>
            <w:r/>
            <w:r>
              <w:rPr>
                <w:sz w:val="19"/>
              </w:rPr>
              <w:t>Job safety</w:t>
            </w:r>
          </w:p>
        </w:tc>
        <w:tc>
          <w:tcPr>
            <w:tcW w:type="dxa" w:w="5896"/>
          </w:tcPr>
          <w:p>
            <w:r/>
            <w:r>
              <w:rPr>
                <w:sz w:val="19"/>
              </w:rPr>
              <w:t>The job runs every fifteen minutes with no lock, so two runs can pick up the same file. A lock is recommended.</w:t>
            </w:r>
          </w:p>
        </w:tc>
        <w:tc>
          <w:tcPr>
            <w:tcW w:type="dxa" w:w="1417"/>
          </w:tcPr>
          <w:p>
            <w:r/>
            <w:r>
              <w:rPr>
                <w:sz w:val="19"/>
              </w:rPr>
              <w:t>Small</w:t>
            </w:r>
          </w:p>
        </w:tc>
      </w:tr>
      <w:tr>
        <w:tc>
          <w:tcPr>
            <w:tcW w:type="dxa" w:w="2041"/>
          </w:tcPr>
          <w:p>
            <w:r/>
            <w:r>
              <w:rPr>
                <w:sz w:val="19"/>
              </w:rPr>
              <w:t>Response file</w:t>
            </w:r>
          </w:p>
        </w:tc>
        <w:tc>
          <w:tcPr>
            <w:tcW w:type="dxa" w:w="5896"/>
          </w:tcPr>
          <w:p>
            <w:r/>
            <w:r>
              <w:rPr>
                <w:sz w:val="19"/>
              </w:rPr>
              <w:t>Same nine columns. The Business Partner number is added - see question Q1.</w:t>
            </w:r>
          </w:p>
        </w:tc>
        <w:tc>
          <w:tcPr>
            <w:tcW w:type="dxa" w:w="1417"/>
          </w:tcPr>
          <w:p>
            <w:r/>
            <w:r>
              <w:rPr>
                <w:sz w:val="19"/>
              </w:rPr>
              <w:t>Small</w:t>
            </w:r>
          </w:p>
        </w:tc>
      </w:tr>
      <w:tr>
        <w:tc>
          <w:tcPr>
            <w:tcW w:type="dxa" w:w="2041"/>
          </w:tcPr>
          <w:p>
            <w:r/>
            <w:r>
              <w:rPr>
                <w:sz w:val="19"/>
              </w:rPr>
              <w:t>Authorisation</w:t>
            </w:r>
          </w:p>
        </w:tc>
        <w:tc>
          <w:tcPr>
            <w:tcW w:type="dxa" w:w="5896"/>
          </w:tcPr>
          <w:p>
            <w:r/>
            <w:r>
              <w:rPr>
                <w:sz w:val="19"/>
              </w:rPr>
              <w:t>No authority check before master data is created</w:t>
            </w:r>
          </w:p>
        </w:tc>
        <w:tc>
          <w:tcPr>
            <w:tcW w:type="dxa" w:w="1417"/>
          </w:tcPr>
          <w:p>
            <w:r/>
            <w:r>
              <w:rPr>
                <w:sz w:val="19"/>
              </w:rPr>
              <w:t>Small</w:t>
            </w:r>
          </w:p>
        </w:tc>
      </w:tr>
    </w:tbl>
    <w:p/>
    <w:p>
      <w:pPr>
        <w:pStyle w:val="Heading2"/>
      </w:pPr>
      <w:r>
        <w:t>2.4  ZFI_CIMMRA_EMPVEND and ZFI_CIMMRA_EMPVEND_UPD  (reports)</w:t>
      </w:r>
    </w:p>
    <w:tbl>
      <w:tblPr>
        <w:tblStyle w:val="LightGrid-Accent1"/>
        <w:tblW w:type="auto" w:w="0"/>
        <w:jc w:val="left"/>
        <w:tblLook w:firstColumn="1" w:firstRow="1" w:lastColumn="0" w:lastRow="0" w:noHBand="0" w:noVBand="1" w:val="04A0"/>
      </w:tblPr>
      <w:tblGrid>
        <w:gridCol w:w="3324"/>
        <w:gridCol w:w="3324"/>
        <w:gridCol w:w="3324"/>
      </w:tblGrid>
      <w:tr>
        <w:tc>
          <w:tcPr>
            <w:tcW w:type="dxa" w:w="2041"/>
          </w:tcPr>
          <w:p>
            <w:r/>
            <w:r>
              <w:rPr>
                <w:b/>
                <w:sz w:val="19"/>
              </w:rPr>
              <w:t>Area</w:t>
            </w:r>
          </w:p>
        </w:tc>
        <w:tc>
          <w:tcPr>
            <w:tcW w:type="dxa" w:w="5896"/>
          </w:tcPr>
          <w:p>
            <w:r/>
            <w:r>
              <w:rPr>
                <w:b/>
                <w:sz w:val="19"/>
              </w:rPr>
              <w:t>Change</w:t>
            </w:r>
          </w:p>
        </w:tc>
        <w:tc>
          <w:tcPr>
            <w:tcW w:type="dxa" w:w="1417"/>
          </w:tcPr>
          <w:p>
            <w:r/>
            <w:r>
              <w:rPr>
                <w:b/>
                <w:sz w:val="19"/>
              </w:rPr>
              <w:t>Effort</w:t>
            </w:r>
          </w:p>
        </w:tc>
      </w:tr>
      <w:tr>
        <w:tc>
          <w:tcPr>
            <w:tcW w:type="dxa" w:w="2041"/>
          </w:tcPr>
          <w:p>
            <w:r/>
            <w:r>
              <w:rPr>
                <w:sz w:val="19"/>
              </w:rPr>
              <w:t>Business Partner category</w:t>
            </w:r>
          </w:p>
        </w:tc>
        <w:tc>
          <w:tcPr>
            <w:tcW w:type="dxa" w:w="5896"/>
          </w:tcPr>
          <w:p>
            <w:r/>
            <w:r>
              <w:rPr>
                <w:sz w:val="19"/>
              </w:rPr>
              <w:t>A person Business Partner - category 1, as confirmed by Cipla. That changes the name fields (first name, last name and correspondence language in place of the organisation name), the grouping and the number range.</w:t>
            </w:r>
          </w:p>
        </w:tc>
        <w:tc>
          <w:tcPr>
            <w:tcW w:type="dxa" w:w="1417"/>
          </w:tcPr>
          <w:p>
            <w:r/>
            <w:r>
              <w:rPr>
                <w:sz w:val="19"/>
              </w:rPr>
              <w:t>Small</w:t>
            </w:r>
          </w:p>
        </w:tc>
      </w:tr>
      <w:tr>
        <w:tc>
          <w:tcPr>
            <w:tcW w:type="dxa" w:w="2041"/>
          </w:tcPr>
          <w:p>
            <w:r/>
            <w:r>
              <w:rPr>
                <w:sz w:val="19"/>
              </w:rPr>
              <w:t>File handling, job safety, response</w:t>
            </w:r>
          </w:p>
        </w:tc>
        <w:tc>
          <w:tcPr>
            <w:tcW w:type="dxa" w:w="5896"/>
          </w:tcPr>
          <w:p>
            <w:r/>
            <w:r>
              <w:rPr>
                <w:sz w:val="19"/>
              </w:rPr>
              <w:t>As 2.3</w:t>
            </w:r>
          </w:p>
        </w:tc>
        <w:tc>
          <w:tcPr>
            <w:tcW w:type="dxa" w:w="1417"/>
          </w:tcPr>
          <w:p>
            <w:r/>
            <w:r>
              <w:rPr>
                <w:sz w:val="19"/>
              </w:rPr>
              <w:t>Small</w:t>
            </w:r>
          </w:p>
        </w:tc>
      </w:tr>
    </w:tbl>
    <w:p/>
    <w:p>
      <w:pPr>
        <w:pStyle w:val="Heading2"/>
      </w:pPr>
      <w:r>
        <w:t>2.5  ZFI_CIMMRA_BANK_CREATE  (report)</w:t>
      </w:r>
    </w:p>
    <w:p>
      <w:r>
        <w:rPr>
          <w:b w:val="0"/>
          <w:i w:val="0"/>
        </w:rPr>
        <w:t>BAPI_BANK_CREATE is unchanged in S/4HANA. Only the file handling points in 2.3 apply. This is the smallest of the six.</w:t>
      </w:r>
    </w:p>
    <w:p>
      <w:pPr>
        <w:pStyle w:val="Heading2"/>
      </w:pPr>
      <w:r>
        <w:t>2.6  ZFI_CIMMRA_VENDOR_EXT  (report)</w:t>
      </w:r>
    </w:p>
    <w:p>
      <w:r>
        <w:rPr>
          <w:b w:val="0"/>
          <w:i w:val="0"/>
        </w:rPr>
        <w:t>This program is the exception. It does not call the function modules and it does not use the interface structures. It builds a batch input recording and runs it through transaction XK01 - screens 0100, 0210, 0215, 0220, 0310, 0610 and 4000 of module pool SAPMF02K, and screen 0100 of SAPLJ1I_MASTER for the CIN data.</w:t>
      </w:r>
    </w:p>
    <w:p>
      <w:r>
        <w:rPr>
          <w:b/>
          <w:i w:val="0"/>
        </w:rPr>
        <w:t>Neither XK01 nor SAPMF02K exists in S/4HANA. The Business Partner is the single point of entry for supplier master data, and the CIN master screens were removed when those fields moved onto LFA1. The program therefore stops working at the conversion, and is rewritten rather than adapted.</w:t>
      </w:r>
    </w:p>
    <w:p>
      <w:r>
        <w:rPr>
          <w:b w:val="0"/>
          <w:i w:val="0"/>
        </w:rPr>
        <w:t>The rewrite is not large, because the field set is small. What the recording sets today is:</w:t>
      </w:r>
    </w:p>
    <w:tbl>
      <w:tblPr>
        <w:tblStyle w:val="LightGrid-Accent1"/>
        <w:tblW w:type="auto" w:w="0"/>
        <w:jc w:val="left"/>
        <w:tblLook w:firstColumn="1" w:firstRow="1" w:lastColumn="0" w:lastRow="0" w:noHBand="0" w:noVBand="1" w:val="04A0"/>
      </w:tblPr>
      <w:tblGrid>
        <w:gridCol w:w="3324"/>
        <w:gridCol w:w="3324"/>
        <w:gridCol w:w="3324"/>
      </w:tblGrid>
      <w:tr>
        <w:tc>
          <w:tcPr>
            <w:tcW w:type="dxa" w:w="1587"/>
          </w:tcPr>
          <w:p>
            <w:r/>
            <w:r>
              <w:rPr>
                <w:b/>
                <w:sz w:val="19"/>
              </w:rPr>
              <w:t>Screen</w:t>
            </w:r>
          </w:p>
        </w:tc>
        <w:tc>
          <w:tcPr>
            <w:tcW w:type="dxa" w:w="4195"/>
          </w:tcPr>
          <w:p>
            <w:r/>
            <w:r>
              <w:rPr>
                <w:b/>
                <w:sz w:val="19"/>
              </w:rPr>
              <w:t>What it sets</w:t>
            </w:r>
          </w:p>
        </w:tc>
        <w:tc>
          <w:tcPr>
            <w:tcW w:type="dxa" w:w="3572"/>
          </w:tcPr>
          <w:p>
            <w:r/>
            <w:r>
              <w:rPr>
                <w:b/>
                <w:sz w:val="19"/>
              </w:rPr>
              <w:t>Replaced by</w:t>
            </w:r>
          </w:p>
        </w:tc>
      </w:tr>
      <w:tr>
        <w:tc>
          <w:tcPr>
            <w:tcW w:type="dxa" w:w="1587"/>
          </w:tcPr>
          <w:p>
            <w:r/>
            <w:r>
              <w:rPr>
                <w:sz w:val="19"/>
              </w:rPr>
              <w:t>0100</w:t>
            </w:r>
          </w:p>
        </w:tc>
        <w:tc>
          <w:tcPr>
            <w:tcW w:type="dxa" w:w="4195"/>
          </w:tcPr>
          <w:p>
            <w:r/>
            <w:r>
              <w:rPr>
                <w:sz w:val="19"/>
              </w:rPr>
              <w:t>Vendor, company code, purchasing organisation, account group, and the reference vendor with its company code and purchasing organisation</w:t>
            </w:r>
          </w:p>
        </w:tc>
        <w:tc>
          <w:tcPr>
            <w:tcW w:type="dxa" w:w="3572"/>
          </w:tcPr>
          <w:p>
            <w:r/>
            <w:r>
              <w:rPr>
                <w:sz w:val="19"/>
              </w:rPr>
              <w:t>The key of the message, and a read of the reference - see below</w:t>
            </w:r>
          </w:p>
        </w:tc>
      </w:tr>
      <w:tr>
        <w:tc>
          <w:tcPr>
            <w:tcW w:type="dxa" w:w="1587"/>
          </w:tcPr>
          <w:p>
            <w:r/>
            <w:r>
              <w:rPr>
                <w:sz w:val="19"/>
              </w:rPr>
              <w:t>0210</w:t>
            </w:r>
          </w:p>
        </w:tc>
        <w:tc>
          <w:tcPr>
            <w:tcW w:type="dxa" w:w="4195"/>
          </w:tcPr>
          <w:p>
            <w:r/>
            <w:r>
              <w:rPr>
                <w:sz w:val="19"/>
              </w:rPr>
              <w:t>Reconciliation account, previous account number</w:t>
            </w:r>
          </w:p>
        </w:tc>
        <w:tc>
          <w:tcPr>
            <w:tcW w:type="dxa" w:w="3572"/>
          </w:tcPr>
          <w:p>
            <w:r/>
            <w:r>
              <w:rPr>
                <w:sz w:val="19"/>
              </w:rPr>
              <w:t>Company code node</w:t>
            </w:r>
          </w:p>
        </w:tc>
      </w:tr>
      <w:tr>
        <w:tc>
          <w:tcPr>
            <w:tcW w:type="dxa" w:w="1587"/>
          </w:tcPr>
          <w:p>
            <w:r/>
            <w:r>
              <w:rPr>
                <w:sz w:val="19"/>
              </w:rPr>
              <w:t>0215</w:t>
            </w:r>
          </w:p>
        </w:tc>
        <w:tc>
          <w:tcPr>
            <w:tcW w:type="dxa" w:w="4195"/>
          </w:tcPr>
          <w:p>
            <w:r/>
            <w:r>
              <w:rPr>
                <w:sz w:val="19"/>
              </w:rPr>
              <w:t>Terms of payment, payment history indicator, payment methods</w:t>
            </w:r>
          </w:p>
        </w:tc>
        <w:tc>
          <w:tcPr>
            <w:tcW w:type="dxa" w:w="3572"/>
          </w:tcPr>
          <w:p>
            <w:r/>
            <w:r>
              <w:rPr>
                <w:sz w:val="19"/>
              </w:rPr>
              <w:t>Company code node</w:t>
            </w:r>
          </w:p>
        </w:tc>
      </w:tr>
      <w:tr>
        <w:tc>
          <w:tcPr>
            <w:tcW w:type="dxa" w:w="1587"/>
          </w:tcPr>
          <w:p>
            <w:r/>
            <w:r>
              <w:rPr>
                <w:sz w:val="19"/>
              </w:rPr>
              <w:t>0610</w:t>
            </w:r>
          </w:p>
        </w:tc>
        <w:tc>
          <w:tcPr>
            <w:tcW w:type="dxa" w:w="4195"/>
          </w:tcPr>
          <w:p>
            <w:r/>
            <w:r>
              <w:rPr>
                <w:sz w:val="19"/>
              </w:rPr>
              <w:t>Withholding tax country. The withholding tax lines themselves are commented out in the recording, so no tax type is extended today.</w:t>
            </w:r>
          </w:p>
        </w:tc>
        <w:tc>
          <w:tcPr>
            <w:tcW w:type="dxa" w:w="3572"/>
          </w:tcPr>
          <w:p>
            <w:r/>
            <w:r>
              <w:rPr>
                <w:sz w:val="19"/>
              </w:rPr>
              <w:t>Company code node</w:t>
            </w:r>
          </w:p>
        </w:tc>
      </w:tr>
      <w:tr>
        <w:tc>
          <w:tcPr>
            <w:tcW w:type="dxa" w:w="1587"/>
          </w:tcPr>
          <w:p>
            <w:r/>
            <w:r>
              <w:rPr>
                <w:sz w:val="19"/>
              </w:rPr>
              <w:t>0310</w:t>
            </w:r>
          </w:p>
        </w:tc>
        <w:tc>
          <w:tcPr>
            <w:tcW w:type="dxa" w:w="4195"/>
          </w:tcPr>
          <w:p>
            <w:r/>
            <w:r>
              <w:rPr>
                <w:sz w:val="19"/>
              </w:rPr>
              <w:t>Purchasing currency and telephone</w:t>
            </w:r>
          </w:p>
        </w:tc>
        <w:tc>
          <w:tcPr>
            <w:tcW w:type="dxa" w:w="3572"/>
          </w:tcPr>
          <w:p>
            <w:r/>
            <w:r>
              <w:rPr>
                <w:sz w:val="19"/>
              </w:rPr>
              <w:t>Purchasing organisation node</w:t>
            </w:r>
          </w:p>
        </w:tc>
      </w:tr>
      <w:tr>
        <w:tc>
          <w:tcPr>
            <w:tcW w:type="dxa" w:w="1587"/>
          </w:tcPr>
          <w:p>
            <w:r/>
            <w:r>
              <w:rPr>
                <w:sz w:val="19"/>
              </w:rPr>
              <w:t>4000</w:t>
            </w:r>
          </w:p>
        </w:tc>
        <w:tc>
          <w:tcPr>
            <w:tcW w:type="dxa" w:w="4195"/>
          </w:tcPr>
          <w:p>
            <w:r/>
            <w:r>
              <w:rPr>
                <w:sz w:val="19"/>
              </w:rPr>
              <w:t>Three indicators on the custom table ZFI_TAX_TAB</w:t>
            </w:r>
          </w:p>
        </w:tc>
        <w:tc>
          <w:tcPr>
            <w:tcW w:type="dxa" w:w="3572"/>
          </w:tcPr>
          <w:p>
            <w:r/>
            <w:r>
              <w:rPr>
                <w:sz w:val="19"/>
              </w:rPr>
              <w:t>Written by the program itself - see R5 and R6</w:t>
            </w:r>
          </w:p>
        </w:tc>
      </w:tr>
      <w:tr>
        <w:tc>
          <w:tcPr>
            <w:tcW w:type="dxa" w:w="1587"/>
          </w:tcPr>
          <w:p>
            <w:r/>
            <w:r>
              <w:rPr>
                <w:sz w:val="19"/>
              </w:rPr>
              <w:t>SAPLJ1I_MASTER</w:t>
            </w:r>
          </w:p>
        </w:tc>
        <w:tc>
          <w:tcPr>
            <w:tcW w:type="dxa" w:w="4195"/>
          </w:tcPr>
          <w:p>
            <w:r/>
            <w:r>
              <w:rPr>
                <w:sz w:val="19"/>
              </w:rPr>
              <w:t>PAN number and SSI status</w:t>
            </w:r>
          </w:p>
        </w:tc>
        <w:tc>
          <w:tcPr>
            <w:tcW w:type="dxa" w:w="3572"/>
          </w:tcPr>
          <w:p>
            <w:r/>
            <w:r>
              <w:rPr>
                <w:sz w:val="19"/>
              </w:rPr>
              <w:t>General data - these are LFA1 fields in S/4HANA</w:t>
            </w:r>
          </w:p>
        </w:tc>
      </w:tr>
    </w:tbl>
    <w:p/>
    <w:p>
      <w:r>
        <w:rPr>
          <w:b/>
          <w:i w:val="0"/>
        </w:rPr>
        <w:t>How the reference vendor is copied</w:t>
      </w:r>
    </w:p>
    <w:p>
      <w:r>
        <w:rPr>
          <w:b w:val="0"/>
          <w:i w:val="0"/>
        </w:rPr>
        <w:t>On the screen, naming a reference vendor copied everything the reference had, and the Business Partner interface has no such feature. The reference is therefore read with VMD_EI_API_EXTRACT=&gt;GET_DATA, which returns the complete supplier in VMDS_EI_EXTERN - the same structure CL_MD_BP_MAINTAIN expects on the way in. So no field list has to be agreed. The extension runs as four steps.</w:t>
      </w:r>
    </w:p>
    <w:p>
      <w:pPr>
        <w:pStyle w:val="ListNumber"/>
      </w:pPr>
      <w:r>
        <w:t>Read the reference vendor with VMD_EI_API_EXTRACT=&gt;GET_DATA, for the reference company code and purchasing organisation named in the file.</w:t>
      </w:r>
    </w:p>
    <w:p>
      <w:pPr>
        <w:pStyle w:val="ListNumber"/>
      </w:pPr>
      <w:r>
        <w:t>Re-key what comes back: the header carries the vendor being extended, the company code segment the new company code, and the purchasing segment the new purchasing organisation.</w:t>
      </w:r>
    </w:p>
    <w:p>
      <w:pPr>
        <w:pStyle w:val="ListNumber"/>
      </w:pPr>
      <w:r>
        <w:t>Overlay the values the file supplies. Whatever the file does not supply stays as the reference had it.</w:t>
      </w:r>
    </w:p>
    <w:p>
      <w:pPr>
        <w:pStyle w:val="ListNumber"/>
      </w:pPr>
      <w:r>
        <w:t>Post with CL_MD_BP_MAINTAIN, in one message with the Business Partner.</w:t>
      </w:r>
    </w:p>
    <w:p>
      <w:r>
        <w:rPr>
          <w:b w:val="0"/>
          <w:i/>
        </w:rPr>
        <w:t>Three details are handled inside that, and are named here only so that nothing is assumed:</w:t>
      </w:r>
    </w:p>
    <w:p>
      <w:pPr>
        <w:pStyle w:val="ListBullet"/>
      </w:pPr>
      <w:r>
        <w:t>The extract returns every node with the read task set. Each node is set to insert or update before it goes back in, according to whether that company code or purchasing organisation already exists for the vendor.</w:t>
      </w:r>
    </w:p>
    <w:p>
      <w:pPr>
        <w:pStyle w:val="ListBullet"/>
      </w:pPr>
      <w:r>
        <w:t>Only the company code and purchasing segments are copied. The general data, the address and the bank details already belong to the vendor being extended and are left alone.</w:t>
      </w:r>
    </w:p>
    <w:p>
      <w:pPr>
        <w:pStyle w:val="ListBullet"/>
      </w:pPr>
      <w:r>
        <w:t>Values specific to the reference and which must not travel - the previous account number in particular - are cleared rather than copied.</w:t>
      </w:r>
    </w:p>
    <w:p>
      <w:r>
        <w:rPr>
          <w:b w:val="0"/>
          <w:i w:val="0"/>
        </w:rPr>
        <w:t>The program also reads J_1IMOVEND directly, which is obsolete in S/4HANA - those fields are columns of LFA1 now. And the file handling points in 2.3 apply to it as they do to the other reports.</w:t>
      </w:r>
    </w:p>
    <w:p>
      <w:pPr>
        <w:pStyle w:val="Heading1"/>
      </w:pPr>
      <w:r>
        <w:t>3. What we need from Cipla</w:t>
      </w:r>
    </w:p>
    <w:p>
      <w:pPr>
        <w:pStyle w:val="Heading2"/>
      </w:pPr>
      <w:r>
        <w:t>3.1  Question</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4082"/>
          </w:tcPr>
          <w:p>
            <w:r/>
            <w:r>
              <w:rPr>
                <w:b/>
                <w:sz w:val="19"/>
              </w:rPr>
              <w:t>Question</w:t>
            </w:r>
          </w:p>
        </w:tc>
        <w:tc>
          <w:tcPr>
            <w:tcW w:type="dxa" w:w="4592"/>
          </w:tcPr>
          <w:p>
            <w:r/>
            <w:r>
              <w:rPr>
                <w:b/>
                <w:sz w:val="19"/>
              </w:rPr>
              <w:t>Why it matters</w:t>
            </w:r>
          </w:p>
        </w:tc>
      </w:tr>
      <w:tr>
        <w:tc>
          <w:tcPr>
            <w:tcW w:type="dxa" w:w="680"/>
          </w:tcPr>
          <w:p>
            <w:r/>
            <w:r>
              <w:rPr>
                <w:sz w:val="19"/>
              </w:rPr>
              <w:t>Q1</w:t>
            </w:r>
          </w:p>
        </w:tc>
        <w:tc>
          <w:tcPr>
            <w:tcW w:type="dxa" w:w="4082"/>
          </w:tcPr>
          <w:p>
            <w:r/>
            <w:r>
              <w:rPr>
                <w:sz w:val="19"/>
              </w:rPr>
              <w:t>May the response file carry the Business Partner number - as a new column, or appended to the message text?</w:t>
            </w:r>
          </w:p>
        </w:tc>
        <w:tc>
          <w:tcPr>
            <w:tcW w:type="dxa" w:w="4592"/>
          </w:tcPr>
          <w:p>
            <w:r/>
            <w:r>
              <w:rPr>
                <w:sz w:val="19"/>
              </w:rPr>
              <w:t>Unless the grouping is set for the same number, the Business Partner number and the vendor number are different, and the portal has no way to learn the Business Partner number other than from the response. The portal has to accept whichever form is chosen. Our recommendation is a new column, so that the message text stays free.</w:t>
            </w:r>
          </w:p>
        </w:tc>
      </w:tr>
    </w:tbl>
    <w:p/>
    <w:p>
      <w:pPr>
        <w:pStyle w:val="Heading2"/>
      </w:pPr>
      <w:r>
        <w:t>3.2  Objects, files and access</w:t>
      </w:r>
    </w:p>
    <w:tbl>
      <w:tblPr>
        <w:tblStyle w:val="LightGrid-Accent1"/>
        <w:tblW w:type="auto" w:w="0"/>
        <w:jc w:val="left"/>
        <w:tblLook w:firstColumn="1" w:firstRow="1" w:lastColumn="0" w:lastRow="0" w:noHBand="0" w:noVBand="1" w:val="04A0"/>
      </w:tblPr>
      <w:tblGrid>
        <w:gridCol w:w="3324"/>
        <w:gridCol w:w="3324"/>
        <w:gridCol w:w="3324"/>
      </w:tblGrid>
      <w:tr>
        <w:tc>
          <w:tcPr>
            <w:tcW w:type="dxa" w:w="737"/>
          </w:tcPr>
          <w:p>
            <w:r/>
            <w:r>
              <w:rPr>
                <w:b/>
                <w:sz w:val="19"/>
              </w:rPr>
              <w:t>#</w:t>
            </w:r>
          </w:p>
        </w:tc>
        <w:tc>
          <w:tcPr>
            <w:tcW w:type="dxa" w:w="4082"/>
          </w:tcPr>
          <w:p>
            <w:r/>
            <w:r>
              <w:rPr>
                <w:b/>
                <w:sz w:val="19"/>
              </w:rPr>
              <w:t>What</w:t>
            </w:r>
          </w:p>
        </w:tc>
        <w:tc>
          <w:tcPr>
            <w:tcW w:type="dxa" w:w="4535"/>
          </w:tcPr>
          <w:p>
            <w:r/>
            <w:r>
              <w:rPr>
                <w:b/>
                <w:sz w:val="19"/>
              </w:rPr>
              <w:t>Why</w:t>
            </w:r>
          </w:p>
        </w:tc>
      </w:tr>
      <w:tr>
        <w:tc>
          <w:tcPr>
            <w:tcW w:type="dxa" w:w="737"/>
          </w:tcPr>
          <w:p>
            <w:r/>
            <w:r>
              <w:rPr>
                <w:sz w:val="19"/>
              </w:rPr>
              <w:t>R1</w:t>
            </w:r>
          </w:p>
        </w:tc>
        <w:tc>
          <w:tcPr>
            <w:tcW w:type="dxa" w:w="4082"/>
          </w:tcPr>
          <w:p>
            <w:r/>
            <w:r>
              <w:rPr>
                <w:sz w:val="19"/>
              </w:rPr>
              <w:t>ZGEN_UPDATE_X and ZPARAM_TABLE</w:t>
            </w:r>
          </w:p>
        </w:tc>
        <w:tc>
          <w:tcPr>
            <w:tcW w:type="dxa" w:w="4535"/>
          </w:tcPr>
          <w:p>
            <w:r/>
            <w:r>
              <w:rPr>
                <w:sz w:val="19"/>
              </w:rPr>
              <w:t>Used throughout. We have the calls but not the definitions.</w:t>
            </w:r>
          </w:p>
        </w:tc>
      </w:tr>
      <w:tr>
        <w:tc>
          <w:tcPr>
            <w:tcW w:type="dxa" w:w="737"/>
          </w:tcPr>
          <w:p>
            <w:r/>
            <w:r>
              <w:rPr>
                <w:sz w:val="19"/>
              </w:rPr>
              <w:t>R2</w:t>
            </w:r>
          </w:p>
        </w:tc>
        <w:tc>
          <w:tcPr>
            <w:tcW w:type="dxa" w:w="4082"/>
          </w:tcPr>
          <w:p>
            <w:r/>
            <w:r>
              <w:rPr>
                <w:sz w:val="19"/>
              </w:rPr>
              <w:t>The ZKRP_* structures used by the two function modules</w:t>
            </w:r>
          </w:p>
        </w:tc>
        <w:tc>
          <w:tcPr>
            <w:tcW w:type="dxa" w:w="4535"/>
          </w:tcPr>
          <w:p>
            <w:r/>
            <w:r>
              <w:rPr>
                <w:sz w:val="19"/>
              </w:rPr>
              <w:t>About forty structures carrying the interface parameters.</w:t>
            </w:r>
          </w:p>
        </w:tc>
      </w:tr>
      <w:tr>
        <w:tc>
          <w:tcPr>
            <w:tcW w:type="dxa" w:w="737"/>
          </w:tcPr>
          <w:p>
            <w:r/>
            <w:r>
              <w:rPr>
                <w:sz w:val="19"/>
              </w:rPr>
              <w:t>R3</w:t>
            </w:r>
          </w:p>
        </w:tc>
        <w:tc>
          <w:tcPr>
            <w:tcW w:type="dxa" w:w="4082"/>
          </w:tcPr>
          <w:p>
            <w:r/>
            <w:r>
              <w:rPr>
                <w:sz w:val="19"/>
              </w:rPr>
              <w:t>One sample inbound file and one sample response file, for each of the five scenarios</w:t>
            </w:r>
          </w:p>
        </w:tc>
        <w:tc>
          <w:tcPr>
            <w:tcW w:type="dxa" w:w="4535"/>
          </w:tcPr>
          <w:p>
            <w:r/>
            <w:r>
              <w:rPr>
                <w:sz w:val="19"/>
              </w:rPr>
              <w:t>To test against the real layout rather than a reconstruction.</w:t>
            </w:r>
          </w:p>
        </w:tc>
      </w:tr>
      <w:tr>
        <w:tc>
          <w:tcPr>
            <w:tcW w:type="dxa" w:w="737"/>
          </w:tcPr>
          <w:p>
            <w:r/>
            <w:r>
              <w:rPr>
                <w:sz w:val="19"/>
              </w:rPr>
              <w:t>R4</w:t>
            </w:r>
          </w:p>
        </w:tc>
        <w:tc>
          <w:tcPr>
            <w:tcW w:type="dxa" w:w="4082"/>
          </w:tcPr>
          <w:p>
            <w:r/>
            <w:r>
              <w:rPr>
                <w:sz w:val="19"/>
              </w:rPr>
              <w:t>A development system and a transport, with the CVI Customizing already converted</w:t>
            </w:r>
          </w:p>
        </w:tc>
        <w:tc>
          <w:tcPr>
            <w:tcW w:type="dxa" w:w="4535"/>
          </w:tcPr>
          <w:p>
            <w:r/>
            <w:r>
              <w:rPr>
                <w:sz w:val="19"/>
              </w:rPr>
              <w:t>The Customizing decides the grouping and the roles at runtime.</w:t>
            </w:r>
          </w:p>
        </w:tc>
      </w:tr>
      <w:tr>
        <w:tc>
          <w:tcPr>
            <w:tcW w:type="dxa" w:w="737"/>
          </w:tcPr>
          <w:p>
            <w:r/>
            <w:r>
              <w:rPr>
                <w:sz w:val="19"/>
              </w:rPr>
              <w:t>R5</w:t>
            </w:r>
          </w:p>
        </w:tc>
        <w:tc>
          <w:tcPr>
            <w:tcW w:type="dxa" w:w="4082"/>
          </w:tcPr>
          <w:p>
            <w:r/>
            <w:r>
              <w:rPr>
                <w:sz w:val="19"/>
              </w:rPr>
              <w:t>ZFI_TAX_TAB - the table definition, and how the three indicators are derived</w:t>
            </w:r>
          </w:p>
        </w:tc>
        <w:tc>
          <w:tcPr>
            <w:tcW w:type="dxa" w:w="4535"/>
          </w:tcPr>
          <w:p>
            <w:r/>
            <w:r>
              <w:rPr>
                <w:sz w:val="19"/>
              </w:rPr>
              <w:t>Filled today by a screen enhancement on XK01, which will not exist.</w:t>
            </w:r>
          </w:p>
        </w:tc>
      </w:tr>
      <w:tr>
        <w:tc>
          <w:tcPr>
            <w:tcW w:type="dxa" w:w="737"/>
          </w:tcPr>
          <w:p>
            <w:r/>
            <w:r>
              <w:rPr>
                <w:sz w:val="19"/>
              </w:rPr>
              <w:t>R6</w:t>
            </w:r>
          </w:p>
        </w:tc>
        <w:tc>
          <w:tcPr>
            <w:tcW w:type="dxa" w:w="4082"/>
          </w:tcPr>
          <w:p>
            <w:r/>
            <w:r>
              <w:rPr>
                <w:sz w:val="19"/>
              </w:rPr>
              <w:t>The screen enhancement on XK01 that maintains ZFI_TAX_TAB, if it is a custom development</w:t>
            </w:r>
          </w:p>
        </w:tc>
        <w:tc>
          <w:tcPr>
            <w:tcW w:type="dxa" w:w="4535"/>
          </w:tcPr>
          <w:p>
            <w:r/>
            <w:r>
              <w:rPr>
                <w:sz w:val="19"/>
              </w:rPr>
              <w:t>To see what it does before the same is done in code.</w:t>
            </w:r>
          </w:p>
        </w:tc>
      </w:tr>
      <w:tr>
        <w:tc>
          <w:tcPr>
            <w:tcW w:type="dxa" w:w="737"/>
          </w:tcPr>
          <w:p>
            <w:r/>
            <w:r>
              <w:rPr>
                <w:sz w:val="19"/>
              </w:rPr>
              <w:t>R7</w:t>
            </w:r>
          </w:p>
        </w:tc>
        <w:tc>
          <w:tcPr>
            <w:tcW w:type="dxa" w:w="4082"/>
          </w:tcPr>
          <w:p>
            <w:r/>
            <w:r>
              <w:rPr>
                <w:sz w:val="19"/>
              </w:rPr>
              <w:t>Development access, with authorisation to create and change vendor and Business Partner master data, and read access to the AL11 inbound and outbound directories</w:t>
            </w:r>
          </w:p>
        </w:tc>
        <w:tc>
          <w:tcPr>
            <w:tcW w:type="dxa" w:w="4535"/>
          </w:tcPr>
          <w:p>
            <w:r/>
            <w:r>
              <w:rPr>
                <w:sz w:val="19"/>
              </w:rPr>
              <w:t>To develop and to test against the real files.</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