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C8102E"/>
          <w:sz w:val="44"/>
          <w:szCs w:val="44"/>
        </w:rPr>
        <w:t xml:space="preserve">Pricing Validation after ECC → S/4HANA Migration</w:t>
      </w:r>
    </w:p>
    <w:p>
      <w:pPr>
        <w:spacing w:after="120"/>
        <w:jc w:val="center"/>
      </w:pPr>
      <w:r>
        <w:rPr>
          <w:color w:val="333333"/>
          <w:sz w:val="28"/>
          <w:szCs w:val="28"/>
        </w:rPr>
        <w:t xml:space="preserve">User Guide — Program ZSD_PRICING_COMPARE</w:t>
      </w:r>
    </w:p>
    <w:p>
      <w:pPr>
        <w:spacing w:after="600"/>
        <w:jc w:val="center"/>
      </w:pPr>
      <w:r>
        <w:rPr>
          <w:color w:val="666666"/>
          <w:sz w:val="24"/>
          <w:szCs w:val="24"/>
        </w:rPr>
        <w:t xml:space="preserve">Coca-Cola Bottlers Japan Inc. (CCBJI)</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c>
          <w:tcPr>
            <w:tcW w:type="dxa" w:w="2200"/>
            <w:shd w:fill="F2F2F2" w:val="clear"/>
            <w:tcMar>
              <w:top w:type="dxa" w:w="60"/>
              <w:left w:type="dxa" w:w="100"/>
              <w:bottom w:type="dxa" w:w="60"/>
              <w:right w:type="dxa" w:w="100"/>
            </w:tcMar>
          </w:tcPr>
          <w:p>
            <w:pPr>
              <w:spacing w:after="0"/>
            </w:pPr>
            <w:r>
              <w:rPr>
                <w:b/>
                <w:bCs/>
                <w:sz w:val="20"/>
                <w:szCs w:val="20"/>
              </w:rPr>
              <w:t xml:space="preserve">Document</w:t>
            </w:r>
          </w:p>
        </w:tc>
        <w:tc>
          <w:tcPr>
            <w:tcW w:type="dxa" w:w="4800"/>
            <w:tcMar>
              <w:top w:type="dxa" w:w="60"/>
              <w:left w:type="dxa" w:w="100"/>
              <w:bottom w:type="dxa" w:w="60"/>
              <w:right w:type="dxa" w:w="100"/>
            </w:tcMar>
          </w:tcPr>
          <w:p>
            <w:pPr>
              <w:spacing w:after="0"/>
            </w:pPr>
            <w:r>
              <w:rPr>
                <w:sz w:val="20"/>
                <w:szCs w:val="20"/>
              </w:rPr>
              <w:t xml:space="preserve">User Guide (business / functional users)</w:t>
            </w:r>
          </w:p>
        </w:tc>
      </w:tr>
      <w:tr>
        <w:tc>
          <w:tcPr>
            <w:tcW w:type="dxa" w:w="2200"/>
            <w:shd w:fill="F2F2F2" w:val="clear"/>
            <w:tcMar>
              <w:top w:type="dxa" w:w="60"/>
              <w:left w:type="dxa" w:w="100"/>
              <w:bottom w:type="dxa" w:w="60"/>
              <w:right w:type="dxa" w:w="100"/>
            </w:tcMar>
          </w:tcPr>
          <w:p>
            <w:pPr>
              <w:spacing w:after="0"/>
            </w:pPr>
            <w:r>
              <w:rPr>
                <w:b/>
                <w:bCs/>
                <w:sz w:val="20"/>
                <w:szCs w:val="20"/>
              </w:rPr>
              <w:t xml:space="preserve">Program</w:t>
            </w:r>
          </w:p>
        </w:tc>
        <w:tc>
          <w:tcPr>
            <w:tcW w:type="dxa" w:w="4800"/>
            <w:tcMar>
              <w:top w:type="dxa" w:w="60"/>
              <w:left w:type="dxa" w:w="100"/>
              <w:bottom w:type="dxa" w:w="60"/>
              <w:right w:type="dxa" w:w="100"/>
            </w:tcMar>
          </w:tcPr>
          <w:p>
            <w:pPr>
              <w:spacing w:after="0"/>
            </w:pPr>
            <w:r>
              <w:rPr>
                <w:sz w:val="20"/>
                <w:szCs w:val="20"/>
              </w:rPr>
              <w:t xml:space="preserve">ZSD_PRICING_COMPARE (ABAP report, SE38)</w:t>
            </w:r>
          </w:p>
        </w:tc>
      </w:tr>
      <w:tr>
        <w:tc>
          <w:tcPr>
            <w:tcW w:type="dxa" w:w="2200"/>
            <w:shd w:fill="F2F2F2" w:val="clear"/>
            <w:tcMar>
              <w:top w:type="dxa" w:w="60"/>
              <w:left w:type="dxa" w:w="100"/>
              <w:bottom w:type="dxa" w:w="60"/>
              <w:right w:type="dxa" w:w="100"/>
            </w:tcMar>
          </w:tcPr>
          <w:p>
            <w:pPr>
              <w:spacing w:after="0"/>
            </w:pPr>
            <w:r>
              <w:rPr>
                <w:b/>
                <w:bCs/>
                <w:sz w:val="20"/>
                <w:szCs w:val="20"/>
              </w:rPr>
              <w:t xml:space="preserve">Module</w:t>
            </w:r>
          </w:p>
        </w:tc>
        <w:tc>
          <w:tcPr>
            <w:tcW w:type="dxa" w:w="4800"/>
            <w:tcMar>
              <w:top w:type="dxa" w:w="60"/>
              <w:left w:type="dxa" w:w="100"/>
              <w:bottom w:type="dxa" w:w="60"/>
              <w:right w:type="dxa" w:w="100"/>
            </w:tcMar>
          </w:tcPr>
          <w:p>
            <w:pPr>
              <w:spacing w:after="0"/>
            </w:pPr>
            <w:r>
              <w:rPr>
                <w:sz w:val="20"/>
                <w:szCs w:val="20"/>
              </w:rPr>
              <w:t xml:space="preserve">SD – Sales Order Pricing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Prepared by</w:t>
            </w:r>
          </w:p>
        </w:tc>
        <w:tc>
          <w:tcPr>
            <w:tcW w:type="dxa" w:w="4800"/>
            <w:tcMar>
              <w:top w:type="dxa" w:w="60"/>
              <w:left w:type="dxa" w:w="100"/>
              <w:bottom w:type="dxa" w:w="60"/>
              <w:right w:type="dxa" w:w="100"/>
            </w:tcMar>
          </w:tcPr>
          <w:p>
            <w:pPr>
              <w:spacing w:after="0"/>
            </w:pPr>
            <w:r>
              <w:rPr>
                <w:sz w:val="20"/>
                <w:szCs w:val="20"/>
              </w:rPr>
              <w:t xml:space="preserve">Diligent Consulting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Version</w:t>
            </w:r>
          </w:p>
        </w:tc>
        <w:tc>
          <w:tcPr>
            <w:tcW w:type="dxa" w:w="4800"/>
            <w:tcMar>
              <w:top w:type="dxa" w:w="60"/>
              <w:left w:type="dxa" w:w="100"/>
              <w:bottom w:type="dxa" w:w="60"/>
              <w:right w:type="dxa" w:w="100"/>
            </w:tcMar>
          </w:tcPr>
          <w:p>
            <w:pPr>
              <w:spacing w:after="0"/>
            </w:pPr>
            <w:r>
              <w:rPr>
                <w:sz w:val="20"/>
                <w:szCs w:val="20"/>
              </w:rPr>
              <w:t xml:space="preserve">1.0</w:t>
            </w:r>
          </w:p>
        </w:tc>
      </w:tr>
    </w:tbl>
    <w:p>
      <w:r>
        <w:br w:type="page"/>
      </w:r>
    </w:p>
    <w:p>
      <w:pPr>
        <w:pStyle w:val="Heading1"/>
        <w:spacing w:after="160" w:before="320"/>
      </w:pPr>
      <w:r>
        <w:rPr>
          <w:b/>
          <w:bCs/>
          <w:color w:val="C8102E"/>
          <w:sz w:val="30"/>
          <w:szCs w:val="30"/>
        </w:rPr>
        <w:t xml:space="preserve">1. Why this program exists</w:t>
      </w:r>
    </w:p>
    <w:p>
      <w:pPr>
        <w:spacing w:after="120"/>
      </w:pPr>
      <w:r>
        <w:rPr>
          <w:sz w:val="22"/>
          <w:szCs w:val="22"/>
        </w:rPr>
        <w:t xml:space="preserve">CCBJI has migrated from SAP ECC to SAP S/4HANA. The sales orders that were migrated still carry the prices that were calculated by the old ECC system. After such a migration there is one critical question for the business:</w:t>
      </w:r>
    </w:p>
    <w:p>
      <w:pPr>
        <w:shd w:fill="F2F2F2" w:val="clear"/>
        <w:spacing w:after="160"/>
        <w:ind w:left="504" w:right="504"/>
      </w:pPr>
      <w:r>
        <w:rPr>
          <w:i/>
          <w:iCs/>
          <w:sz w:val="22"/>
          <w:szCs w:val="22"/>
        </w:rPr>
        <w:t xml:space="preserve">“If we create the same order again today in S/4HANA, will the system calculate exactly the same prices, discounts and taxes as ECC did?”</w:t>
      </w:r>
    </w:p>
    <w:p>
      <w:pPr>
        <w:spacing w:after="120"/>
      </w:pPr>
      <w:r>
        <w:rPr>
          <w:sz w:val="22"/>
          <w:szCs w:val="22"/>
        </w:rPr>
        <w:t xml:space="preserve">If the answer is yes, the pricing configuration and all pricing condition records were migrated correctly. If the answer is no, there is a gap — for example a missing condition record, a wrong access sequence, or a currency/decimal issue — that must be corrected before it affects real business documents.</w:t>
      </w:r>
    </w:p>
    <w:p>
      <w:pPr>
        <w:spacing w:after="120"/>
      </w:pPr>
      <w:r>
        <w:rPr>
          <w:sz w:val="22"/>
          <w:szCs w:val="22"/>
        </w:rPr>
        <w:t xml:space="preserve">This program answers that question automatically, order by order and condition by condition, and shows the result in a simple traffic-light report.</w:t>
      </w:r>
    </w:p>
    <w:p>
      <w:pPr>
        <w:pStyle w:val="Heading1"/>
        <w:spacing w:after="160" w:before="320"/>
      </w:pPr>
      <w:r>
        <w:rPr>
          <w:b/>
          <w:bCs/>
          <w:color w:val="C8102E"/>
          <w:sz w:val="30"/>
          <w:szCs w:val="30"/>
        </w:rPr>
        <w:t xml:space="preserve">2. What the program does – in simple terms</w:t>
      </w:r>
    </w:p>
    <w:p>
      <w:pPr>
        <w:spacing w:after="120"/>
      </w:pPr>
      <w:r>
        <w:rPr>
          <w:sz w:val="22"/>
          <w:szCs w:val="22"/>
        </w:rPr>
        <w:t xml:space="preserve">The selection screen offers two modes. In the automatic mode (default) you enter a sales document type and a date range (mandatory), optionally a customer range and how many orders to check (default 1). In the second mode you simply enter specific sales order numbers yourself — each listed order is copied and compared. In automatic mode everything else is automatic:</w:t>
      </w:r>
    </w:p>
    <w:p>
      <w:pPr>
        <w:pStyle w:val="ListParagraph"/>
        <w:numPr>
          <w:ilvl w:val="0"/>
          <w:numId w:val="2"/>
        </w:numPr>
        <w:spacing w:after="80"/>
      </w:pPr>
      <w:r>
        <w:rPr>
          <w:sz w:val="22"/>
          <w:szCs w:val="22"/>
        </w:rPr>
        <w:t xml:space="preserve">The program searches all sales orders of that document type created in that period and picks the orders with the highest net value — as many as you asked for in “How many orders to check”. Each selected order is called an </w:t>
      </w:r>
      <w:r>
        <w:rPr>
          <w:b/>
          <w:bCs/>
          <w:sz w:val="22"/>
          <w:szCs w:val="22"/>
        </w:rPr>
        <w:t xml:space="preserve">old order (X)</w:t>
      </w:r>
      <w:r>
        <w:rPr>
          <w:sz w:val="22"/>
          <w:szCs w:val="22"/>
        </w:rPr>
        <w:t xml:space="preserve"> — it still carries the prices calculated by ECC. If you also enter customers, the highest-value orders are determined per customer: for example 5 customers and “check 5 orders” means 5 × 5 = 25 orders are checked in one run.</w:t>
      </w:r>
    </w:p>
    <w:p>
      <w:pPr>
        <w:pStyle w:val="ListParagraph"/>
        <w:numPr>
          <w:ilvl w:val="0"/>
          <w:numId w:val="2"/>
        </w:numPr>
        <w:spacing w:after="80"/>
      </w:pPr>
      <w:r>
        <w:rPr>
          <w:sz w:val="22"/>
          <w:szCs w:val="22"/>
        </w:rPr>
        <w:t xml:space="preserve">It reads every detail of the old order from the database: customer, materials, quantities, plant, and the original pricing date.</w:t>
      </w:r>
    </w:p>
    <w:p>
      <w:pPr>
        <w:pStyle w:val="ListParagraph"/>
        <w:numPr>
          <w:ilvl w:val="0"/>
          <w:numId w:val="2"/>
        </w:numPr>
        <w:spacing w:after="80"/>
      </w:pPr>
      <w:r>
        <w:rPr>
          <w:sz w:val="22"/>
          <w:szCs w:val="22"/>
        </w:rPr>
        <w:t xml:space="preserve">It then creates an exact copy of that order — the </w:t>
      </w:r>
      <w:r>
        <w:rPr>
          <w:b/>
          <w:bCs/>
          <w:sz w:val="22"/>
          <w:szCs w:val="22"/>
        </w:rPr>
        <w:t xml:space="preserve">new order (Y)</w:t>
      </w:r>
      <w:r>
        <w:rPr>
          <w:sz w:val="22"/>
          <w:szCs w:val="22"/>
        </w:rPr>
        <w:t xml:space="preserve"> — using the standard SAP interface (BAPI). While creating the copy, S/4HANA is forced to calculate all prices completely fresh, using the same pricing date as the original order. This guarantees the same condition records apply — the comparison is system vs. system, not date vs. date.</w:t>
      </w:r>
    </w:p>
    <w:p>
      <w:pPr>
        <w:pStyle w:val="ListParagraph"/>
        <w:numPr>
          <w:ilvl w:val="0"/>
          <w:numId w:val="2"/>
        </w:numPr>
        <w:spacing w:after="80"/>
      </w:pPr>
      <w:r>
        <w:rPr>
          <w:sz w:val="22"/>
          <w:szCs w:val="22"/>
        </w:rPr>
        <w:t xml:space="preserve">The program compares the two orders line by line: every pricing condition (price, discount, surcharge, tax) of the old order against the same condition of the new order — rate, pricing unit, unit of measure, condition value — plus the stored value fields per item (net value, net price, cost, subtotals 1–6, tax amount, cash-discount flag) and the order header net value.</w:t>
      </w:r>
    </w:p>
    <w:p>
      <w:pPr>
        <w:pStyle w:val="ListParagraph"/>
        <w:numPr>
          <w:ilvl w:val="0"/>
          <w:numId w:val="2"/>
        </w:numPr>
        <w:spacing w:after="80"/>
      </w:pPr>
      <w:r>
        <w:rPr>
          <w:sz w:val="22"/>
          <w:szCs w:val="22"/>
        </w:rPr>
        <w:t xml:space="preserve">The result is shown on two screens. The first screen has one row per order with a clear verdict: ALL OK (green) when everything matches, CHECK (red) when there are differences, ERROR (red) when the copy could not be created. Double-clicking an order row opens the detailed pricing comparison for that order.</w:t>
      </w:r>
    </w:p>
    <w:p>
      <w:pPr>
        <w:spacing w:after="120"/>
      </w:pPr>
      <w:r>
        <w:rPr>
          <w:sz w:val="22"/>
          <w:szCs w:val="22"/>
        </w:rPr>
        <w:t xml:space="preserve">Japanese Yen is handled correctly: the program takes into account that JPY has no decimal places, so no false differences are reported due to decimal shifts. Percentage conditions are also normalised before comparison.</w:t>
      </w:r>
    </w:p>
    <w:p>
      <w:pPr>
        <w:pStyle w:val="Heading1"/>
        <w:spacing w:after="160" w:before="320"/>
      </w:pPr>
      <w:r>
        <w:rPr>
          <w:b/>
          <w:bCs/>
          <w:color w:val="C8102E"/>
          <w:sz w:val="30"/>
          <w:szCs w:val="30"/>
        </w:rPr>
        <w:t xml:space="preserve">3. How to run the program</w:t>
      </w:r>
    </w:p>
    <w:p>
      <w:pPr>
        <w:pStyle w:val="ListParagraph"/>
        <w:numPr>
          <w:ilvl w:val="0"/>
          <w:numId w:val="3"/>
        </w:numPr>
        <w:spacing w:after="80"/>
      </w:pPr>
      <w:r>
        <w:rPr>
          <w:sz w:val="22"/>
          <w:szCs w:val="22"/>
        </w:rPr>
        <w:t xml:space="preserve">Start transaction SE38 (or the assigned transaction code), enter program </w:t>
      </w:r>
      <w:r>
        <w:rPr>
          <w:b/>
          <w:bCs/>
          <w:sz w:val="22"/>
          <w:szCs w:val="22"/>
        </w:rPr>
        <w:t xml:space="preserve">ZSD_PRICING_COMPARE</w:t>
      </w:r>
      <w:r>
        <w:rPr>
          <w:sz w:val="22"/>
          <w:szCs w:val="22"/>
        </w:rPr>
        <w:t xml:space="preserve"> and press Execute.</w:t>
      </w:r>
    </w:p>
    <w:p>
      <w:pPr>
        <w:pStyle w:val="ListParagraph"/>
        <w:numPr>
          <w:ilvl w:val="0"/>
          <w:numId w:val="3"/>
        </w:numPr>
        <w:spacing w:after="80"/>
      </w:pPr>
      <w:r>
        <w:rPr>
          <w:sz w:val="22"/>
          <w:szCs w:val="22"/>
        </w:rPr>
        <w:t xml:space="preserve">Enter the Sales Document Type you want to check (e.g. standard order type).</w:t>
      </w:r>
    </w:p>
    <w:p>
      <w:pPr>
        <w:pStyle w:val="ListParagraph"/>
        <w:numPr>
          <w:ilvl w:val="0"/>
          <w:numId w:val="3"/>
        </w:numPr>
        <w:spacing w:after="80"/>
      </w:pPr>
      <w:r>
        <w:rPr>
          <w:sz w:val="22"/>
          <w:szCs w:val="22"/>
        </w:rPr>
        <w:t xml:space="preserve">Enter the Created-On date range (e.g. the month before the migration).</w:t>
      </w:r>
    </w:p>
    <w:p>
      <w:pPr>
        <w:pStyle w:val="ListParagraph"/>
        <w:numPr>
          <w:ilvl w:val="0"/>
          <w:numId w:val="3"/>
        </w:numPr>
        <w:spacing w:after="80"/>
      </w:pPr>
      <w:r>
        <w:rPr>
          <w:sz w:val="22"/>
          <w:szCs w:val="22"/>
        </w:rPr>
        <w:t xml:space="preserve">Optional: enter a Customer range to check specific customers, and set “How many orders to check” (default 1). With customers entered, that many top orders are checked per customer.</w:t>
      </w:r>
    </w:p>
    <w:p>
      <w:pPr>
        <w:pStyle w:val="ListParagraph"/>
        <w:numPr>
          <w:ilvl w:val="0"/>
          <w:numId w:val="3"/>
        </w:numPr>
        <w:spacing w:after="80"/>
      </w:pPr>
      <w:r>
        <w:rPr>
          <w:sz w:val="22"/>
          <w:szCs w:val="22"/>
        </w:rPr>
        <w:t xml:space="preserve">Alternative: choose the second radio button “Specific sales orders” and enter the order numbers you want to check yourself — then document type and date range are not needed.</w:t>
      </w:r>
    </w:p>
    <w:p>
      <w:pPr>
        <w:pStyle w:val="ListParagraph"/>
        <w:numPr>
          <w:ilvl w:val="0"/>
          <w:numId w:val="3"/>
        </w:numPr>
        <w:spacing w:after="80"/>
      </w:pPr>
      <w:r>
        <w:rPr>
          <w:sz w:val="22"/>
          <w:szCs w:val="22"/>
        </w:rPr>
        <w:t xml:space="preserve">Press Execute (F8). The program runs and shows the comparison report.</w:t>
      </w:r>
    </w:p>
    <w:p>
      <w:pPr>
        <w:spacing w:after="120"/>
      </w:pPr>
      <w:r>
        <w:rPr>
          <w:sz w:val="22"/>
          <w:szCs w:val="22"/>
        </w:rPr>
        <w:t xml:space="preserve">The selection screen adapts to your choice: only the fields of the chosen mode are shown, and the mandatory ones carry the required-entry indicator. After execution, the first screen shows one row per checked order with the verdict (ALL OK / CHECK / ERROR), the old and new net values, and the number of checks passed. The header line answers the key question at a glance: "RESULT: ALL OK" or "RESULT: N differences". The order number is shown as a clickable link — click it (or double-click the row) to open the detailed pricing comparison for that order.</w:t>
      </w:r>
    </w:p>
    <w:p>
      <w:pPr>
        <w:shd w:fill="FFEB9C" w:val="clear"/>
        <w:spacing w:after="160"/>
        <w:ind w:left="504" w:right="504"/>
      </w:pPr>
      <w:r>
        <w:rPr>
          <w:b/>
          <w:bCs/>
          <w:sz w:val="22"/>
          <w:szCs w:val="22"/>
        </w:rPr>
        <w:t xml:space="preserve">Important: the program really creates a test copy of the order (see section 6). It must therefore be executed in the quality/test system that contains the migrated data — not in production.</w:t>
      </w:r>
    </w:p>
    <w:p>
      <w:pPr>
        <w:pStyle w:val="Heading1"/>
        <w:spacing w:after="160" w:before="320"/>
      </w:pPr>
      <w:r>
        <w:rPr>
          <w:b/>
          <w:bCs/>
          <w:color w:val="C8102E"/>
          <w:sz w:val="30"/>
          <w:szCs w:val="30"/>
        </w:rPr>
        <w:t xml:space="preserve">4. How to read the report</w:t>
      </w:r>
    </w:p>
    <w:p>
      <w:pPr>
        <w:pStyle w:val="Heading2"/>
        <w:spacing w:after="120" w:before="240"/>
      </w:pPr>
      <w:r>
        <w:rPr>
          <w:b/>
          <w:bCs/>
          <w:color w:val="333333"/>
          <w:sz w:val="24"/>
          <w:szCs w:val="24"/>
        </w:rPr>
        <w:t xml:space="preserve">4.1 Screen 1 — Order overview (one row per order)</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shd w:fill="F2F2F2" w:val="clear"/>
            <w:tcMar>
              <w:top w:type="dxa" w:w="60"/>
              <w:left w:type="dxa" w:w="100"/>
              <w:bottom w:type="dxa" w:w="60"/>
              <w:right w:type="dxa" w:w="100"/>
            </w:tcMar>
          </w:tcPr>
          <w:p>
            <w:pPr>
              <w:spacing w:after="0"/>
            </w:pPr>
            <w:r>
              <w:rPr>
                <w:b/>
                <w:bCs/>
                <w:sz w:val="20"/>
                <w:szCs w:val="20"/>
              </w:rPr>
              <w:t xml:space="preserve">Column</w:t>
            </w:r>
          </w:p>
        </w:tc>
        <w:tc>
          <w:tcPr>
            <w:tcW w:type="dxa" w:w="4600"/>
            <w:shd w:fill="F2F2F2" w:val="clear"/>
            <w:tcMar>
              <w:top w:type="dxa" w:w="60"/>
              <w:left w:type="dxa" w:w="100"/>
              <w:bottom w:type="dxa" w:w="60"/>
              <w:right w:type="dxa" w:w="100"/>
            </w:tcMar>
          </w:tcPr>
          <w:p>
            <w:pPr>
              <w:spacing w:after="0"/>
            </w:pPr>
            <w:r>
              <w:rPr>
                <w:b/>
                <w:bCs/>
                <w:sz w:val="20"/>
                <w:szCs w:val="20"/>
              </w:rPr>
              <w:t xml:space="preserve">Meaning</w:t>
            </w:r>
          </w:p>
        </w:tc>
      </w:tr>
      <w:tr>
        <w:tc>
          <w:tcPr>
            <w:tcW w:type="dxa" w:w="2400"/>
            <w:tcMar>
              <w:top w:type="dxa" w:w="60"/>
              <w:left w:type="dxa" w:w="100"/>
              <w:bottom w:type="dxa" w:w="60"/>
              <w:right w:type="dxa" w:w="100"/>
            </w:tcMar>
          </w:tcPr>
          <w:p>
            <w:pPr>
              <w:spacing w:after="0"/>
            </w:pPr>
            <w:r>
              <w:rPr>
                <w:sz w:val="20"/>
                <w:szCs w:val="20"/>
              </w:rPr>
              <w:t xml:space="preserve">Sales Order Old</w:t>
            </w:r>
          </w:p>
        </w:tc>
        <w:tc>
          <w:tcPr>
            <w:tcW w:type="dxa" w:w="4600"/>
            <w:tcMar>
              <w:top w:type="dxa" w:w="60"/>
              <w:left w:type="dxa" w:w="100"/>
              <w:bottom w:type="dxa" w:w="60"/>
              <w:right w:type="dxa" w:w="100"/>
            </w:tcMar>
          </w:tcPr>
          <w:p>
            <w:pPr>
              <w:spacing w:after="0"/>
            </w:pPr>
            <w:r>
              <w:rPr>
                <w:sz w:val="20"/>
                <w:szCs w:val="20"/>
              </w:rPr>
              <w:t xml:space="preserve">The migrated order (X) with the original ECC prices — clickable link that opens the detail screen</w:t>
            </w:r>
          </w:p>
        </w:tc>
      </w:tr>
      <w:tr>
        <w:tc>
          <w:tcPr>
            <w:tcW w:type="dxa" w:w="2400"/>
            <w:tcMar>
              <w:top w:type="dxa" w:w="60"/>
              <w:left w:type="dxa" w:w="100"/>
              <w:bottom w:type="dxa" w:w="60"/>
              <w:right w:type="dxa" w:w="100"/>
            </w:tcMar>
          </w:tcPr>
          <w:p>
            <w:pPr>
              <w:spacing w:after="0"/>
            </w:pPr>
            <w:r>
              <w:rPr>
                <w:sz w:val="20"/>
                <w:szCs w:val="20"/>
              </w:rPr>
              <w:t xml:space="preserve">Sales Order New</w:t>
            </w:r>
          </w:p>
        </w:tc>
        <w:tc>
          <w:tcPr>
            <w:tcW w:type="dxa" w:w="4600"/>
            <w:tcMar>
              <w:top w:type="dxa" w:w="60"/>
              <w:left w:type="dxa" w:w="100"/>
              <w:bottom w:type="dxa" w:w="60"/>
              <w:right w:type="dxa" w:w="100"/>
            </w:tcMar>
          </w:tcPr>
          <w:p>
            <w:pPr>
              <w:spacing w:after="0"/>
            </w:pPr>
            <w:r>
              <w:rPr>
                <w:sz w:val="20"/>
                <w:szCs w:val="20"/>
              </w:rPr>
              <w:t xml:space="preserve">The test copy (Y) freshly priced by S/4HANA</w:t>
            </w:r>
          </w:p>
        </w:tc>
      </w:tr>
      <w:tr>
        <w:tc>
          <w:tcPr>
            <w:tcW w:type="dxa" w:w="2400"/>
            <w:tcMar>
              <w:top w:type="dxa" w:w="60"/>
              <w:left w:type="dxa" w:w="100"/>
              <w:bottom w:type="dxa" w:w="60"/>
              <w:right w:type="dxa" w:w="100"/>
            </w:tcMar>
          </w:tcPr>
          <w:p>
            <w:pPr>
              <w:spacing w:after="0"/>
            </w:pPr>
            <w:r>
              <w:rPr>
                <w:sz w:val="20"/>
                <w:szCs w:val="20"/>
              </w:rPr>
              <w:t xml:space="preserve">Net Value X / Y / delta</w:t>
            </w:r>
          </w:p>
        </w:tc>
        <w:tc>
          <w:tcPr>
            <w:tcW w:type="dxa" w:w="4600"/>
            <w:tcMar>
              <w:top w:type="dxa" w:w="60"/>
              <w:left w:type="dxa" w:w="100"/>
              <w:bottom w:type="dxa" w:w="60"/>
              <w:right w:type="dxa" w:w="100"/>
            </w:tcMar>
          </w:tcPr>
          <w:p>
            <w:pPr>
              <w:spacing w:after="0"/>
            </w:pPr>
            <w:r>
              <w:rPr>
                <w:sz w:val="20"/>
                <w:szCs w:val="20"/>
              </w:rPr>
              <w:t xml:space="preserve">Order net value of the old vs. new order and the difference — a delta of zero is the strongest single indicator that pricing matches</w:t>
            </w:r>
          </w:p>
        </w:tc>
      </w:tr>
      <w:tr>
        <w:tc>
          <w:tcPr>
            <w:tcW w:type="dxa" w:w="2400"/>
            <w:tcMar>
              <w:top w:type="dxa" w:w="60"/>
              <w:left w:type="dxa" w:w="100"/>
              <w:bottom w:type="dxa" w:w="60"/>
              <w:right w:type="dxa" w:w="100"/>
            </w:tcMar>
          </w:tcPr>
          <w:p>
            <w:pPr>
              <w:spacing w:after="0"/>
            </w:pPr>
            <w:r>
              <w:rPr>
                <w:sz w:val="20"/>
                <w:szCs w:val="20"/>
              </w:rPr>
              <w:t xml:space="preserve">Checks / OK / Differences / Warnings</w:t>
            </w:r>
          </w:p>
        </w:tc>
        <w:tc>
          <w:tcPr>
            <w:tcW w:type="dxa" w:w="4600"/>
            <w:tcMar>
              <w:top w:type="dxa" w:w="60"/>
              <w:left w:type="dxa" w:w="100"/>
              <w:bottom w:type="dxa" w:w="60"/>
              <w:right w:type="dxa" w:w="100"/>
            </w:tcMar>
          </w:tcPr>
          <w:p>
            <w:pPr>
              <w:spacing w:after="0"/>
            </w:pPr>
            <w:r>
              <w:rPr>
                <w:sz w:val="20"/>
                <w:szCs w:val="20"/>
              </w:rPr>
              <w:t xml:space="preserve">How many individual comparisons were made for this order and how they turned out</w:t>
            </w:r>
          </w:p>
        </w:tc>
      </w:tr>
      <w:tr>
        <w:tc>
          <w:tcPr>
            <w:tcW w:type="dxa" w:w="2400"/>
            <w:tcMar>
              <w:top w:type="dxa" w:w="60"/>
              <w:left w:type="dxa" w:w="100"/>
              <w:bottom w:type="dxa" w:w="60"/>
              <w:right w:type="dxa" w:w="100"/>
            </w:tcMar>
          </w:tcPr>
          <w:p>
            <w:pPr>
              <w:spacing w:after="0"/>
            </w:pPr>
            <w:r>
              <w:rPr>
                <w:sz w:val="20"/>
                <w:szCs w:val="20"/>
              </w:rPr>
              <w:t xml:space="preserve">Result</w:t>
            </w:r>
          </w:p>
        </w:tc>
        <w:tc>
          <w:tcPr>
            <w:tcW w:type="dxa" w:w="4600"/>
            <w:tcMar>
              <w:top w:type="dxa" w:w="60"/>
              <w:left w:type="dxa" w:w="100"/>
              <w:bottom w:type="dxa" w:w="60"/>
              <w:right w:type="dxa" w:w="100"/>
            </w:tcMar>
          </w:tcPr>
          <w:p>
            <w:pPr>
              <w:spacing w:after="0"/>
            </w:pPr>
            <w:r>
              <w:rPr>
                <w:sz w:val="20"/>
                <w:szCs w:val="20"/>
              </w:rPr>
              <w:t xml:space="preserve">ALL OK (green) = pricing matches · CHECK (red) = real differences, open the detail · ERROR (red) = copy could not be created</w:t>
            </w:r>
          </w:p>
        </w:tc>
      </w:tr>
    </w:tbl>
    <w:p>
      <w:pPr>
        <w:pStyle w:val="Heading2"/>
        <w:spacing w:after="120" w:before="240"/>
      </w:pPr>
      <w:r>
        <w:rPr>
          <w:b/>
          <w:bCs/>
          <w:color w:val="333333"/>
          <w:sz w:val="24"/>
          <w:szCs w:val="24"/>
        </w:rPr>
        <w:t xml:space="preserve">4.2 Screen 2 — Pricing detail (click an order number)</w:t>
      </w:r>
    </w:p>
    <w:p>
      <w:pPr>
        <w:spacing w:after="120"/>
      </w:pPr>
      <w:r>
        <w:rPr>
          <w:sz w:val="22"/>
          <w:szCs w:val="22"/>
        </w:rPr>
        <w:t xml:space="preserve">The detail opens as a popup and is sorted in reading order: first the order total, then the value fields of every item, then the pricing conditions of every item.</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shd w:fill="F2F2F2" w:val="clear"/>
            <w:tcMar>
              <w:top w:type="dxa" w:w="60"/>
              <w:left w:type="dxa" w:w="100"/>
              <w:bottom w:type="dxa" w:w="60"/>
              <w:right w:type="dxa" w:w="100"/>
            </w:tcMar>
          </w:tcPr>
          <w:p>
            <w:pPr>
              <w:spacing w:after="0"/>
            </w:pPr>
            <w:r>
              <w:rPr>
                <w:b/>
                <w:bCs/>
                <w:sz w:val="20"/>
                <w:szCs w:val="20"/>
              </w:rPr>
              <w:t xml:space="preserve">Column</w:t>
            </w:r>
          </w:p>
        </w:tc>
        <w:tc>
          <w:tcPr>
            <w:tcW w:type="dxa" w:w="4600"/>
            <w:shd w:fill="F2F2F2" w:val="clear"/>
            <w:tcMar>
              <w:top w:type="dxa" w:w="60"/>
              <w:left w:type="dxa" w:w="100"/>
              <w:bottom w:type="dxa" w:w="60"/>
              <w:right w:type="dxa" w:w="100"/>
            </w:tcMar>
          </w:tcPr>
          <w:p>
            <w:pPr>
              <w:spacing w:after="0"/>
            </w:pPr>
            <w:r>
              <w:rPr>
                <w:b/>
                <w:bCs/>
                <w:sz w:val="20"/>
                <w:szCs w:val="20"/>
              </w:rPr>
              <w:t xml:space="preserve">Meaning</w:t>
            </w:r>
          </w:p>
        </w:tc>
      </w:tr>
      <w:tr>
        <w:tc>
          <w:tcPr>
            <w:tcW w:type="dxa" w:w="2400"/>
            <w:tcMar>
              <w:top w:type="dxa" w:w="60"/>
              <w:left w:type="dxa" w:w="100"/>
              <w:bottom w:type="dxa" w:w="60"/>
              <w:right w:type="dxa" w:w="100"/>
            </w:tcMar>
          </w:tcPr>
          <w:p>
            <w:pPr>
              <w:spacing w:after="0"/>
            </w:pPr>
            <w:r>
              <w:rPr>
                <w:sz w:val="20"/>
                <w:szCs w:val="20"/>
              </w:rPr>
              <w:t xml:space="preserve">Section</w:t>
            </w:r>
          </w:p>
        </w:tc>
        <w:tc>
          <w:tcPr>
            <w:tcW w:type="dxa" w:w="4600"/>
            <w:tcMar>
              <w:top w:type="dxa" w:w="60"/>
              <w:left w:type="dxa" w:w="100"/>
              <w:bottom w:type="dxa" w:w="60"/>
              <w:right w:type="dxa" w:w="100"/>
            </w:tcMar>
          </w:tcPr>
          <w:p>
            <w:pPr>
              <w:spacing w:after="0"/>
            </w:pPr>
            <w:r>
              <w:rPr>
                <w:sz w:val="20"/>
                <w:szCs w:val="20"/>
              </w:rPr>
              <w:t xml:space="preserve">What kind of check the row is: Order total → Item values → Pricing condition</w:t>
            </w:r>
          </w:p>
        </w:tc>
      </w:tr>
      <w:tr>
        <w:tc>
          <w:tcPr>
            <w:tcW w:type="dxa" w:w="2400"/>
            <w:tcMar>
              <w:top w:type="dxa" w:w="60"/>
              <w:left w:type="dxa" w:w="100"/>
              <w:bottom w:type="dxa" w:w="60"/>
              <w:right w:type="dxa" w:w="100"/>
            </w:tcMar>
          </w:tcPr>
          <w:p>
            <w:pPr>
              <w:spacing w:after="0"/>
            </w:pPr>
            <w:r>
              <w:rPr>
                <w:sz w:val="20"/>
                <w:szCs w:val="20"/>
              </w:rPr>
              <w:t xml:space="preserve">Condition/Field</w:t>
            </w:r>
          </w:p>
        </w:tc>
        <w:tc>
          <w:tcPr>
            <w:tcW w:type="dxa" w:w="4600"/>
            <w:tcMar>
              <w:top w:type="dxa" w:w="60"/>
              <w:left w:type="dxa" w:w="100"/>
              <w:bottom w:type="dxa" w:w="60"/>
              <w:right w:type="dxa" w:w="100"/>
            </w:tcMar>
          </w:tcPr>
          <w:p>
            <w:pPr>
              <w:spacing w:after="0"/>
            </w:pPr>
            <w:r>
              <w:rPr>
                <w:sz w:val="20"/>
                <w:szCs w:val="20"/>
              </w:rPr>
              <w:t xml:space="preserve">The pricing condition type (e.g. MWST, YJR0) or the compared value field (e.g. NETWR, KZWI3). Double-click a condition row to open its condition record (VK13).</w:t>
            </w:r>
          </w:p>
        </w:tc>
      </w:tr>
      <w:tr>
        <w:tc>
          <w:tcPr>
            <w:tcW w:type="dxa" w:w="2400"/>
            <w:tcMar>
              <w:top w:type="dxa" w:w="60"/>
              <w:left w:type="dxa" w:w="100"/>
              <w:bottom w:type="dxa" w:w="60"/>
              <w:right w:type="dxa" w:w="100"/>
            </w:tcMar>
          </w:tcPr>
          <w:p>
            <w:pPr>
              <w:spacing w:after="0"/>
            </w:pPr>
            <w:r>
              <w:rPr>
                <w:sz w:val="20"/>
                <w:szCs w:val="20"/>
              </w:rPr>
              <w:t xml:space="preserve">Description</w:t>
            </w:r>
          </w:p>
        </w:tc>
        <w:tc>
          <w:tcPr>
            <w:tcW w:type="dxa" w:w="4600"/>
            <w:tcMar>
              <w:top w:type="dxa" w:w="60"/>
              <w:left w:type="dxa" w:w="100"/>
              <w:bottom w:type="dxa" w:w="60"/>
              <w:right w:type="dxa" w:w="100"/>
            </w:tcMar>
          </w:tcPr>
          <w:p>
            <w:pPr>
              <w:spacing w:after="0"/>
            </w:pPr>
            <w:r>
              <w:rPr>
                <w:sz w:val="20"/>
                <w:szCs w:val="20"/>
              </w:rPr>
              <w:t xml:space="preserve">Plain-language meaning of the row, e.g. "Output Tax", "Item net value", "Pricing subtotal 3", "Cost (moving average price)"</w:t>
            </w:r>
          </w:p>
        </w:tc>
      </w:tr>
      <w:tr>
        <w:tc>
          <w:tcPr>
            <w:tcW w:type="dxa" w:w="2400"/>
            <w:tcMar>
              <w:top w:type="dxa" w:w="60"/>
              <w:left w:type="dxa" w:w="100"/>
              <w:bottom w:type="dxa" w:w="60"/>
              <w:right w:type="dxa" w:w="100"/>
            </w:tcMar>
          </w:tcPr>
          <w:p>
            <w:pPr>
              <w:spacing w:after="0"/>
            </w:pPr>
            <w:r>
              <w:rPr>
                <w:sz w:val="20"/>
                <w:szCs w:val="20"/>
              </w:rPr>
              <w:t xml:space="preserve">Rate X / Y / delta</w:t>
            </w:r>
          </w:p>
        </w:tc>
        <w:tc>
          <w:tcPr>
            <w:tcW w:type="dxa" w:w="4600"/>
            <w:tcMar>
              <w:top w:type="dxa" w:w="60"/>
              <w:left w:type="dxa" w:w="100"/>
              <w:bottom w:type="dxa" w:w="60"/>
              <w:right w:type="dxa" w:w="100"/>
            </w:tcMar>
          </w:tcPr>
          <w:p>
            <w:pPr>
              <w:spacing w:after="0"/>
            </w:pPr>
            <w:r>
              <w:rPr>
                <w:sz w:val="20"/>
                <w:szCs w:val="20"/>
              </w:rPr>
              <w:t xml:space="preserve">Condition rate (percentage or price per unit) — filled for pricing conditions only</w:t>
            </w:r>
          </w:p>
        </w:tc>
      </w:tr>
      <w:tr>
        <w:tc>
          <w:tcPr>
            <w:tcW w:type="dxa" w:w="2400"/>
            <w:tcMar>
              <w:top w:type="dxa" w:w="60"/>
              <w:left w:type="dxa" w:w="100"/>
              <w:bottom w:type="dxa" w:w="60"/>
              <w:right w:type="dxa" w:w="100"/>
            </w:tcMar>
          </w:tcPr>
          <w:p>
            <w:pPr>
              <w:spacing w:after="0"/>
            </w:pPr>
            <w:r>
              <w:rPr>
                <w:sz w:val="20"/>
                <w:szCs w:val="20"/>
              </w:rPr>
              <w:t xml:space="preserve">Amount X / Y / delta</w:t>
            </w:r>
          </w:p>
        </w:tc>
        <w:tc>
          <w:tcPr>
            <w:tcW w:type="dxa" w:w="4600"/>
            <w:tcMar>
              <w:top w:type="dxa" w:w="60"/>
              <w:left w:type="dxa" w:w="100"/>
              <w:bottom w:type="dxa" w:w="60"/>
              <w:right w:type="dxa" w:w="100"/>
            </w:tcMar>
          </w:tcPr>
          <w:p>
            <w:pPr>
              <w:spacing w:after="0"/>
            </w:pPr>
            <w:r>
              <w:rPr>
                <w:sz w:val="20"/>
                <w:szCs w:val="20"/>
              </w:rPr>
              <w:t xml:space="preserve">Money value in document currency — condition values and item/header value fields</w:t>
            </w:r>
          </w:p>
        </w:tc>
      </w:tr>
      <w:tr>
        <w:tc>
          <w:tcPr>
            <w:tcW w:type="dxa" w:w="2400"/>
            <w:tcMar>
              <w:top w:type="dxa" w:w="60"/>
              <w:left w:type="dxa" w:w="100"/>
              <w:bottom w:type="dxa" w:w="60"/>
              <w:right w:type="dxa" w:w="100"/>
            </w:tcMar>
          </w:tcPr>
          <w:p>
            <w:pPr>
              <w:spacing w:after="0"/>
            </w:pPr>
            <w:r>
              <w:rPr>
                <w:sz w:val="20"/>
                <w:szCs w:val="20"/>
              </w:rPr>
              <w:t xml:space="preserve">Pricing date</w:t>
            </w:r>
          </w:p>
        </w:tc>
        <w:tc>
          <w:tcPr>
            <w:tcW w:type="dxa" w:w="4600"/>
            <w:tcMar>
              <w:top w:type="dxa" w:w="60"/>
              <w:left w:type="dxa" w:w="100"/>
              <w:bottom w:type="dxa" w:w="60"/>
              <w:right w:type="dxa" w:w="100"/>
            </w:tcMar>
          </w:tcPr>
          <w:p>
            <w:pPr>
              <w:spacing w:after="0"/>
            </w:pPr>
            <w:r>
              <w:rPr>
                <w:sz w:val="20"/>
                <w:szCs w:val="20"/>
              </w:rPr>
              <w:t xml:space="preserve">The date the copy was priced on (= the original order’s pricing date). Use it when checking condition records in VK13.</w:t>
            </w:r>
          </w:p>
        </w:tc>
      </w:tr>
      <w:tr>
        <w:tc>
          <w:tcPr>
            <w:tcW w:type="dxa" w:w="2400"/>
            <w:tcMar>
              <w:top w:type="dxa" w:w="60"/>
              <w:left w:type="dxa" w:w="100"/>
              <w:bottom w:type="dxa" w:w="60"/>
              <w:right w:type="dxa" w:w="100"/>
            </w:tcMar>
          </w:tcPr>
          <w:p>
            <w:pPr>
              <w:spacing w:after="0"/>
            </w:pPr>
            <w:r>
              <w:rPr>
                <w:sz w:val="20"/>
                <w:szCs w:val="20"/>
              </w:rPr>
              <w:t xml:space="preserve">Remark</w:t>
            </w:r>
          </w:p>
        </w:tc>
        <w:tc>
          <w:tcPr>
            <w:tcW w:type="dxa" w:w="4600"/>
            <w:tcMar>
              <w:top w:type="dxa" w:w="60"/>
              <w:left w:type="dxa" w:w="100"/>
              <w:bottom w:type="dxa" w:w="60"/>
              <w:right w:type="dxa" w:w="100"/>
            </w:tcMar>
          </w:tcPr>
          <w:p>
            <w:pPr>
              <w:spacing w:after="0"/>
            </w:pPr>
            <w:r>
              <w:rPr>
                <w:sz w:val="20"/>
                <w:szCs w:val="20"/>
              </w:rPr>
              <w:t xml:space="preserve">Explanation of the status, including any SAP messages</w:t>
            </w:r>
          </w:p>
        </w:tc>
      </w:tr>
    </w:tbl>
    <w:p>
      <w:pPr>
        <w:pStyle w:val="Heading2"/>
        <w:spacing w:after="120" w:before="240"/>
      </w:pPr>
      <w:r>
        <w:rPr>
          <w:b/>
          <w:bCs/>
          <w:color w:val="333333"/>
          <w:sz w:val="24"/>
          <w:szCs w:val="24"/>
        </w:rPr>
        <w:t xml:space="preserve">4.3 Status and colors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4200"/>
      </w:tblGrid>
      <w:tr>
        <w:tc>
          <w:tcPr>
            <w:tcW w:type="dxa" w:w="1900"/>
            <w:shd w:fill="F2F2F2" w:val="clear"/>
            <w:tcMar>
              <w:top w:type="dxa" w:w="60"/>
              <w:left w:type="dxa" w:w="100"/>
              <w:bottom w:type="dxa" w:w="60"/>
              <w:right w:type="dxa" w:w="100"/>
            </w:tcMar>
          </w:tcPr>
          <w:p>
            <w:pPr>
              <w:spacing w:after="0"/>
            </w:pPr>
            <w:r>
              <w:rPr>
                <w:b/>
                <w:bCs/>
                <w:sz w:val="20"/>
                <w:szCs w:val="20"/>
              </w:rPr>
              <w:t xml:space="preserve">Status</w:t>
            </w:r>
          </w:p>
        </w:tc>
        <w:tc>
          <w:tcPr>
            <w:tcW w:type="dxa" w:w="900"/>
            <w:shd w:fill="F2F2F2" w:val="clear"/>
            <w:tcMar>
              <w:top w:type="dxa" w:w="60"/>
              <w:left w:type="dxa" w:w="100"/>
              <w:bottom w:type="dxa" w:w="60"/>
              <w:right w:type="dxa" w:w="100"/>
            </w:tcMar>
          </w:tcPr>
          <w:p>
            <w:pPr>
              <w:spacing w:after="0"/>
            </w:pPr>
            <w:r>
              <w:rPr>
                <w:b/>
                <w:bCs/>
                <w:sz w:val="20"/>
                <w:szCs w:val="20"/>
              </w:rPr>
              <w:t xml:space="preserve">Color</w:t>
            </w:r>
          </w:p>
        </w:tc>
        <w:tc>
          <w:tcPr>
            <w:tcW w:type="dxa" w:w="4200"/>
            <w:shd w:fill="F2F2F2" w:val="clear"/>
            <w:tcMar>
              <w:top w:type="dxa" w:w="60"/>
              <w:left w:type="dxa" w:w="100"/>
              <w:bottom w:type="dxa" w:w="60"/>
              <w:right w:type="dxa" w:w="100"/>
            </w:tcMar>
          </w:tcPr>
          <w:p>
            <w:pPr>
              <w:spacing w:after="0"/>
            </w:pPr>
            <w:r>
              <w:rPr>
                <w:b/>
                <w:bCs/>
                <w:sz w:val="20"/>
                <w:szCs w:val="20"/>
              </w:rPr>
              <w:t xml:space="preserve">What it means / what to do</w:t>
            </w:r>
          </w:p>
        </w:tc>
      </w:tr>
      <w:tr>
        <w:tc>
          <w:tcPr>
            <w:tcW w:type="dxa" w:w="1900"/>
            <w:tcMar>
              <w:top w:type="dxa" w:w="60"/>
              <w:left w:type="dxa" w:w="100"/>
              <w:bottom w:type="dxa" w:w="60"/>
              <w:right w:type="dxa" w:w="100"/>
            </w:tcMar>
          </w:tcPr>
          <w:p>
            <w:pPr>
              <w:spacing w:after="0"/>
            </w:pPr>
            <w:r>
              <w:rPr>
                <w:sz w:val="20"/>
                <w:szCs w:val="20"/>
              </w:rPr>
              <w:t xml:space="preserve">OK</w:t>
            </w:r>
          </w:p>
        </w:tc>
        <w:tc>
          <w:tcPr>
            <w:tcW w:type="dxa" w:w="900"/>
            <w:shd w:fill="C6EFCE" w:val="clear"/>
            <w:tcMar>
              <w:top w:type="dxa" w:w="60"/>
              <w:left w:type="dxa" w:w="100"/>
              <w:bottom w:type="dxa" w:w="60"/>
              <w:right w:type="dxa" w:w="100"/>
            </w:tcMar>
          </w:tcPr>
          <w:p>
            <w:pPr>
              <w:spacing w:after="0"/>
            </w:pPr>
            <w:r>
              <w:rPr>
                <w:sz w:val="20"/>
                <w:szCs w:val="20"/>
              </w:rPr>
              <w:t xml:space="preserve">Green</w:t>
            </w:r>
          </w:p>
        </w:tc>
        <w:tc>
          <w:tcPr>
            <w:tcW w:type="dxa" w:w="4200"/>
            <w:tcMar>
              <w:top w:type="dxa" w:w="60"/>
              <w:left w:type="dxa" w:w="100"/>
              <w:bottom w:type="dxa" w:w="60"/>
              <w:right w:type="dxa" w:w="100"/>
            </w:tcMar>
          </w:tcPr>
          <w:p>
            <w:pPr>
              <w:spacing w:after="0"/>
            </w:pPr>
            <w:r>
              <w:rPr>
                <w:sz w:val="20"/>
                <w:szCs w:val="20"/>
              </w:rPr>
              <w:t xml:space="preserve">S/4HANA calculated exactly the same result as ECC. No action needed.</w:t>
            </w:r>
          </w:p>
        </w:tc>
      </w:tr>
      <w:tr>
        <w:tc>
          <w:tcPr>
            <w:tcW w:type="dxa" w:w="1900"/>
            <w:tcMar>
              <w:top w:type="dxa" w:w="60"/>
              <w:left w:type="dxa" w:w="100"/>
              <w:bottom w:type="dxa" w:w="60"/>
              <w:right w:type="dxa" w:w="100"/>
            </w:tcMar>
          </w:tcPr>
          <w:p>
            <w:pPr>
              <w:spacing w:after="0"/>
            </w:pPr>
            <w:r>
              <w:rPr>
                <w:sz w:val="20"/>
                <w:szCs w:val="20"/>
              </w:rPr>
              <w:t xml:space="preserve">MISMATCH</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condition exists in both orders but with a different value. The pricing configuration or the migrated condition record must be checked.</w:t>
            </w:r>
          </w:p>
        </w:tc>
      </w:tr>
      <w:tr>
        <w:tc>
          <w:tcPr>
            <w:tcW w:type="dxa" w:w="1900"/>
            <w:tcMar>
              <w:top w:type="dxa" w:w="60"/>
              <w:left w:type="dxa" w:w="100"/>
              <w:bottom w:type="dxa" w:w="60"/>
              <w:right w:type="dxa" w:w="100"/>
            </w:tcMar>
          </w:tcPr>
          <w:p>
            <w:pPr>
              <w:spacing w:after="0"/>
            </w:pPr>
            <w:r>
              <w:rPr>
                <w:sz w:val="20"/>
                <w:szCs w:val="20"/>
              </w:rPr>
              <w:t xml:space="preserve">MISSING_S4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A condition that had a real value in the old order was NOT found by S/4HANA. Usually a missing or wrongly migrated condition record or access sequence.</w:t>
            </w:r>
          </w:p>
        </w:tc>
      </w:tr>
      <w:tr>
        <w:tc>
          <w:tcPr>
            <w:tcW w:type="dxa" w:w="1900"/>
            <w:tcMar>
              <w:top w:type="dxa" w:w="60"/>
              <w:left w:type="dxa" w:w="100"/>
              <w:bottom w:type="dxa" w:w="60"/>
              <w:right w:type="dxa" w:w="100"/>
            </w:tcMar>
          </w:tcPr>
          <w:p>
            <w:pPr>
              <w:spacing w:after="0"/>
            </w:pPr>
            <w:r>
              <w:rPr>
                <w:sz w:val="20"/>
                <w:szCs w:val="20"/>
              </w:rPr>
              <w:t xml:space="preserve">MISSING_S4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condition with zero value was not re-determined. It does not change the final price — informational only.</w:t>
            </w:r>
          </w:p>
        </w:tc>
      </w:tr>
      <w:tr>
        <w:tc>
          <w:tcPr>
            <w:tcW w:type="dxa" w:w="1900"/>
            <w:tcMar>
              <w:top w:type="dxa" w:w="60"/>
              <w:left w:type="dxa" w:w="100"/>
              <w:bottom w:type="dxa" w:w="60"/>
              <w:right w:type="dxa" w:w="100"/>
            </w:tcMar>
          </w:tcPr>
          <w:p>
            <w:pPr>
              <w:spacing w:after="0"/>
            </w:pPr>
            <w:r>
              <w:rPr>
                <w:sz w:val="20"/>
                <w:szCs w:val="20"/>
              </w:rPr>
              <w:t xml:space="preserve">NEW_IN_S4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S/4HANA determined a condition with a real value that the old order did not have — the new price differs from ECC.</w:t>
            </w:r>
          </w:p>
        </w:tc>
      </w:tr>
      <w:tr>
        <w:tc>
          <w:tcPr>
            <w:tcW w:type="dxa" w:w="1900"/>
            <w:tcMar>
              <w:top w:type="dxa" w:w="60"/>
              <w:left w:type="dxa" w:w="100"/>
              <w:bottom w:type="dxa" w:w="60"/>
              <w:right w:type="dxa" w:w="100"/>
            </w:tcMar>
          </w:tcPr>
          <w:p>
            <w:pPr>
              <w:spacing w:after="0"/>
            </w:pPr>
            <w:r>
              <w:rPr>
                <w:sz w:val="20"/>
                <w:szCs w:val="20"/>
              </w:rPr>
              <w:t xml:space="preserve">NEW_IN_S4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new condition with zero value — no impact on the final price.</w:t>
            </w:r>
          </w:p>
        </w:tc>
      </w:tr>
      <w:tr>
        <w:tc>
          <w:tcPr>
            <w:tcW w:type="dxa" w:w="1900"/>
            <w:tcMar>
              <w:top w:type="dxa" w:w="60"/>
              <w:left w:type="dxa" w:w="100"/>
              <w:bottom w:type="dxa" w:w="60"/>
              <w:right w:type="dxa" w:w="100"/>
            </w:tcMar>
          </w:tcPr>
          <w:p>
            <w:pPr>
              <w:spacing w:after="0"/>
            </w:pPr>
            <w:r>
              <w:rPr>
                <w:sz w:val="20"/>
                <w:szCs w:val="20"/>
              </w:rPr>
              <w:t xml:space="preserve">MANUAL</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The condition was entered manually on the old order. A fresh pricing run can never reproduce manual entries — informational only.</w:t>
            </w:r>
          </w:p>
        </w:tc>
      </w:tr>
      <w:tr>
        <w:tc>
          <w:tcPr>
            <w:tcW w:type="dxa" w:w="1900"/>
            <w:tcMar>
              <w:top w:type="dxa" w:w="60"/>
              <w:left w:type="dxa" w:w="100"/>
              <w:bottom w:type="dxa" w:w="60"/>
              <w:right w:type="dxa" w:w="100"/>
            </w:tcMar>
          </w:tcPr>
          <w:p>
            <w:pPr>
              <w:spacing w:after="0"/>
            </w:pPr>
            <w:r>
              <w:rPr>
                <w:sz w:val="20"/>
                <w:szCs w:val="20"/>
              </w:rPr>
              <w:t xml:space="preserve">ERROR</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test copy could not be created. The SAP error message is shown in the Remark column (e.g. blocked customer, missing master data).</w:t>
            </w:r>
          </w:p>
        </w:tc>
      </w:tr>
    </w:tbl>
    <w:p>
      <w:pPr>
        <w:spacing w:after="120"/>
      </w:pPr>
      <w:r>
        <w:rPr>
          <w:sz w:val="22"/>
          <w:szCs w:val="22"/>
        </w:rPr>
        <w:t xml:space="preserve"/>
      </w:r>
    </w:p>
    <w:p>
      <w:pPr>
        <w:spacing w:after="120"/>
      </w:pPr>
      <w:r>
        <w:rPr>
          <w:b/>
          <w:bCs/>
          <w:sz w:val="22"/>
          <w:szCs w:val="22"/>
        </w:rPr>
        <w:t xml:space="preserve">Rule of thumb: if everything is green or yellow, the pricing of this order was migrated correctly. Only red rows need investigation.</w:t>
      </w:r>
    </w:p>
    <w:p>
      <w:pPr>
        <w:pStyle w:val="Heading1"/>
        <w:spacing w:after="160" w:before="320"/>
      </w:pPr>
      <w:r>
        <w:rPr>
          <w:b/>
          <w:bCs/>
          <w:color w:val="C8102E"/>
          <w:sz w:val="30"/>
          <w:szCs w:val="30"/>
        </w:rPr>
        <w:t xml:space="preserve">5. What to do when you see red rows</w:t>
      </w:r>
    </w:p>
    <w:p>
      <w:pPr>
        <w:pStyle w:val="ListParagraph"/>
        <w:numPr>
          <w:ilvl w:val="0"/>
          <w:numId w:val="4"/>
        </w:numPr>
        <w:spacing w:after="80"/>
      </w:pPr>
      <w:r>
        <w:rPr>
          <w:sz w:val="22"/>
          <w:szCs w:val="22"/>
        </w:rPr>
        <w:t xml:space="preserve">MISMATCH → </w:t>
      </w:r>
      <w:r>
        <w:rPr>
          <w:sz w:val="22"/>
          <w:szCs w:val="22"/>
        </w:rPr>
        <w:t xml:space="preserve">double-click the red condition row — the program opens the condition record display (VK13) for that condition type. Check the record valid on the pricing date shown in the row: calculation type, scales and currency decimals.</w:t>
      </w:r>
    </w:p>
    <w:p>
      <w:pPr>
        <w:pStyle w:val="ListParagraph"/>
        <w:numPr>
          <w:ilvl w:val="0"/>
          <w:numId w:val="4"/>
        </w:numPr>
        <w:spacing w:after="80"/>
      </w:pPr>
      <w:r>
        <w:rPr>
          <w:sz w:val="22"/>
          <w:szCs w:val="22"/>
        </w:rPr>
        <w:t xml:space="preserve">MISSING_S4 with value → </w:t>
      </w:r>
      <w:r>
        <w:rPr>
          <w:sz w:val="22"/>
          <w:szCs w:val="22"/>
        </w:rPr>
        <w:t xml:space="preserve">check whether the condition record exists in S/4HANA for the order’s pricing date and key combination; if it exists, check the access sequence and requirements in the pricing procedure.</w:t>
      </w:r>
    </w:p>
    <w:p>
      <w:pPr>
        <w:pStyle w:val="ListParagraph"/>
        <w:numPr>
          <w:ilvl w:val="0"/>
          <w:numId w:val="4"/>
        </w:numPr>
        <w:spacing w:after="80"/>
      </w:pPr>
      <w:r>
        <w:rPr>
          <w:sz w:val="22"/>
          <w:szCs w:val="22"/>
        </w:rPr>
        <w:t xml:space="preserve">NEW_IN_S4 with value → </w:t>
      </w:r>
      <w:r>
        <w:rPr>
          <w:sz w:val="22"/>
          <w:szCs w:val="22"/>
        </w:rPr>
        <w:t xml:space="preserve">a condition record or automatic determination exists in S/4HANA that did not apply in ECC; verify whether this is intended.</w:t>
      </w:r>
    </w:p>
    <w:p>
      <w:pPr>
        <w:pStyle w:val="ListParagraph"/>
        <w:numPr>
          <w:ilvl w:val="0"/>
          <w:numId w:val="4"/>
        </w:numPr>
        <w:spacing w:after="80"/>
      </w:pPr>
      <w:r>
        <w:rPr>
          <w:sz w:val="22"/>
          <w:szCs w:val="22"/>
        </w:rPr>
        <w:t xml:space="preserve">ERROR → </w:t>
      </w:r>
      <w:r>
        <w:rPr>
          <w:sz w:val="22"/>
          <w:szCs w:val="22"/>
        </w:rPr>
        <w:t xml:space="preserve">read the message in the Remark column; typically master data (customer/material) is incomplete in the test system.</w:t>
      </w:r>
    </w:p>
    <w:p>
      <w:pPr>
        <w:spacing w:after="120"/>
      </w:pPr>
      <w:r>
        <w:rPr>
          <w:sz w:val="22"/>
          <w:szCs w:val="22"/>
        </w:rPr>
        <w:t xml:space="preserve">After the configuration or condition records are corrected, simply run the program again for the same document type and period — the report should turn green.</w:t>
      </w:r>
    </w:p>
    <w:p>
      <w:pPr>
        <w:pStyle w:val="Heading1"/>
        <w:spacing w:after="160" w:before="320"/>
      </w:pPr>
      <w:r>
        <w:rPr>
          <w:b/>
          <w:bCs/>
          <w:color w:val="C8102E"/>
          <w:sz w:val="30"/>
          <w:szCs w:val="30"/>
        </w:rPr>
        <w:t xml:space="preserve">6. Important notes</w:t>
      </w:r>
    </w:p>
    <w:p>
      <w:pPr>
        <w:pStyle w:val="ListParagraph"/>
        <w:numPr>
          <w:ilvl w:val="0"/>
          <w:numId w:val="4"/>
        </w:numPr>
        <w:spacing w:after="80"/>
      </w:pPr>
      <w:r>
        <w:rPr>
          <w:b/>
          <w:bCs/>
          <w:sz w:val="22"/>
          <w:szCs w:val="22"/>
        </w:rPr>
        <w:t xml:space="preserve">The program creates a real test order (Y). </w:t>
      </w:r>
      <w:r>
        <w:rPr>
          <w:sz w:val="22"/>
          <w:szCs w:val="22"/>
        </w:rPr>
        <w:t xml:space="preserve">It stays in the system and is not deleted automatically. Every test copy carries the text </w:t>
      </w:r>
      <w:r>
        <w:rPr>
          <w:b/>
          <w:bCs/>
          <w:sz w:val="22"/>
          <w:szCs w:val="22"/>
        </w:rPr>
        <w:t xml:space="preserve">PRCVAL-&lt;old order number&gt;</w:t>
      </w:r>
      <w:r>
        <w:rPr>
          <w:sz w:val="22"/>
          <w:szCs w:val="22"/>
        </w:rPr>
        <w:t xml:space="preserve"> in its Purchase Order Number field, so all test copies can be found at any time (e.g. transaction VA05) and rejected/cleaned up after the validation phase.</w:t>
      </w:r>
    </w:p>
    <w:p>
      <w:pPr>
        <w:pStyle w:val="ListParagraph"/>
        <w:numPr>
          <w:ilvl w:val="0"/>
          <w:numId w:val="4"/>
        </w:numPr>
        <w:spacing w:after="80"/>
      </w:pPr>
      <w:r>
        <w:rPr>
          <w:sz w:val="22"/>
          <w:szCs w:val="22"/>
        </w:rPr>
        <w:t xml:space="preserve">Run the program only in the quality/test system that holds the migrated data — never in production.</w:t>
      </w:r>
    </w:p>
    <w:p>
      <w:pPr>
        <w:pStyle w:val="ListParagraph"/>
        <w:numPr>
          <w:ilvl w:val="0"/>
          <w:numId w:val="4"/>
        </w:numPr>
        <w:spacing w:after="80"/>
      </w:pPr>
      <w:r>
        <w:rPr>
          <w:sz w:val="22"/>
          <w:szCs w:val="22"/>
        </w:rPr>
        <w:t xml:space="preserve">The new order is priced on the original pricing date of the old order. Differences shown by the report are therefore genuine migration findings — they cannot be caused by price changes that happened after the order date.</w:t>
      </w:r>
    </w:p>
    <w:p>
      <w:pPr>
        <w:pStyle w:val="ListParagraph"/>
        <w:numPr>
          <w:ilvl w:val="0"/>
          <w:numId w:val="4"/>
        </w:numPr>
        <w:spacing w:after="80"/>
      </w:pPr>
      <w:r>
        <w:rPr>
          <w:sz w:val="22"/>
          <w:szCs w:val="22"/>
        </w:rPr>
        <w:t xml:space="preserve">The number of orders checked per run is controlled by “How many orders to check” (default 1) — overall, or per customer when a customer range is entered. To validate broadly, vary document type, period and customers across runs.</w:t>
      </w:r>
    </w:p>
    <w:p>
      <w:pPr>
        <w:pStyle w:val="ListParagraph"/>
        <w:numPr>
          <w:ilvl w:val="0"/>
          <w:numId w:val="4"/>
        </w:numPr>
        <w:spacing w:after="80"/>
      </w:pPr>
      <w:r>
        <w:rPr>
          <w:sz w:val="22"/>
          <w:szCs w:val="22"/>
        </w:rPr>
        <w:t xml:space="preserve">Statistical condition lines and inactive condition lines are excluded automatically; fully rejected items of the old order are skipped.</w:t>
      </w:r>
    </w:p>
    <w:p>
      <w:pPr>
        <w:pStyle w:val="Heading1"/>
        <w:spacing w:after="160" w:before="320"/>
      </w:pPr>
      <w:r>
        <w:rPr>
          <w:b/>
          <w:bCs/>
          <w:color w:val="C8102E"/>
          <w:sz w:val="30"/>
          <w:szCs w:val="30"/>
        </w:rPr>
        <w:t xml:space="preserve">7. Frequently asked questions</w:t>
      </w:r>
    </w:p>
    <w:p>
      <w:pPr>
        <w:spacing w:after="60"/>
      </w:pPr>
      <w:r>
        <w:rPr>
          <w:b/>
          <w:bCs/>
          <w:sz w:val="22"/>
          <w:szCs w:val="22"/>
        </w:rPr>
        <w:t xml:space="preserve">Q: Why does the program pick the highest-value order?</w:t>
      </w:r>
    </w:p>
    <w:p>
      <w:pPr>
        <w:spacing w:after="120"/>
      </w:pPr>
      <w:r>
        <w:rPr>
          <w:sz w:val="22"/>
          <w:szCs w:val="22"/>
        </w:rPr>
        <w:t xml:space="preserve">A: The highest-value order of a period is normally the one with the most items and the richest pricing (discounts, surcharges, taxes), so it gives the broadest coverage in a single check.</w:t>
      </w:r>
    </w:p>
    <w:p>
      <w:pPr>
        <w:spacing w:after="60"/>
      </w:pPr>
      <w:r>
        <w:rPr>
          <w:b/>
          <w:bCs/>
          <w:sz w:val="22"/>
          <w:szCs w:val="22"/>
        </w:rPr>
        <w:t xml:space="preserve">Q: Does the program change the old order?</w:t>
      </w:r>
    </w:p>
    <w:p>
      <w:pPr>
        <w:spacing w:after="120"/>
      </w:pPr>
      <w:r>
        <w:rPr>
          <w:sz w:val="22"/>
          <w:szCs w:val="22"/>
        </w:rPr>
        <w:t xml:space="preserve">A: No. The old order is only read. Only a new test copy is created.</w:t>
      </w:r>
    </w:p>
    <w:p>
      <w:pPr>
        <w:spacing w:after="60"/>
      </w:pPr>
      <w:r>
        <w:rPr>
          <w:b/>
          <w:bCs/>
          <w:sz w:val="22"/>
          <w:szCs w:val="22"/>
        </w:rPr>
        <w:t xml:space="preserve">Q: The report shows yellow MANUAL rows – is that a problem?</w:t>
      </w:r>
    </w:p>
    <w:p>
      <w:pPr>
        <w:spacing w:after="120"/>
      </w:pPr>
      <w:r>
        <w:rPr>
          <w:sz w:val="22"/>
          <w:szCs w:val="22"/>
        </w:rPr>
        <w:t xml:space="preserve">A: No. Prices that a user typed in manually on the original order can never be reproduced by an automatic pricing run. These rows are shown for completeness only.</w:t>
      </w:r>
    </w:p>
    <w:p>
      <w:pPr>
        <w:spacing w:after="60"/>
      </w:pPr>
      <w:r>
        <w:rPr>
          <w:b/>
          <w:bCs/>
          <w:sz w:val="22"/>
          <w:szCs w:val="22"/>
        </w:rPr>
        <w:t xml:space="preserve">Q: Can the test copies be delivered or billed by accident?</w:t>
      </w:r>
    </w:p>
    <w:p>
      <w:pPr>
        <w:spacing w:after="120"/>
      </w:pPr>
      <w:r>
        <w:rPr>
          <w:sz w:val="22"/>
          <w:szCs w:val="22"/>
        </w:rPr>
        <w:t xml:space="preserve">A: They are normal orders in the test system, so they should be cleaned up after the validation phase. They are easy to find via the PRCVAL purchase order number. If desired, a rejection reason can be set on them so they drop out of all open-order lists.</w:t>
      </w:r>
    </w:p>
    <w:p>
      <w:pPr>
        <w:spacing w:after="60"/>
      </w:pPr>
      <w:r>
        <w:rPr>
          <w:b/>
          <w:bCs/>
          <w:sz w:val="22"/>
          <w:szCs w:val="22"/>
        </w:rPr>
        <w:t xml:space="preserve">Q: What about Japanese Yen amounts?</w:t>
      </w:r>
    </w:p>
    <w:p>
      <w:pPr>
        <w:spacing w:after="120"/>
      </w:pPr>
      <w:r>
        <w:rPr>
          <w:sz w:val="22"/>
          <w:szCs w:val="22"/>
        </w:rPr>
        <w:t xml:space="preserve">A: JPY has no decimal places. SAP stores such amounts internally with a shifted decimal point; the program corrects this automatically on both sides of the comparison, so JPY values are compared correctly and no false differences appear.</w:t>
      </w:r>
    </w:p>
    <w:sectPr>
      <w:pgSz w:w="11906" w:h="16838" w:orient="portrait"/>
      <w:pgMar w:top="1080" w:right="1250" w:bottom="108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76" w:hanging="288"/>
      </w:pPr>
    </w:lvl>
  </w:abstractNum>
  <w:abstractNum w:abstractNumId="3" w15:restartNumberingAfterBreak="0">
    <w:multiLevelType w:val="hybridMultilevel"/>
    <w:lvl w:ilvl="0" w15:tentative="1">
      <w:start w:val="1"/>
      <w:numFmt w:val="decimal"/>
      <w:lvlText w:val="%1."/>
      <w:lvlJc w:val="start"/>
      <w:pPr>
        <w:ind w:left="576" w:hanging="360"/>
      </w:pPr>
    </w:lvl>
  </w:abstractNum>
  <w:abstractNum w:abstractNumId="4" w15:restartNumberingAfterBreak="0">
    <w:multiLevelType w:val="hybridMultilevel"/>
    <w:lvl w:ilvl="0" w15:tentative="1">
      <w:start w:val="1"/>
      <w:numFmt w:val="decimal"/>
      <w:lvlText w:val="%1."/>
      <w:lvlJc w:val="start"/>
      <w:pPr>
        <w:ind w:left="576"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2026-08-05T03:25:31.145Z</dcterms:created>
  <dcterms:modified xsi:type="dcterms:W3CDTF">2026-08-05T03:25:31.226Z</dcterms:modified>
</cp:coreProperties>
</file>

<file path=docProps/custom.xml><?xml version="1.0" encoding="utf-8"?>
<Properties xmlns="http://schemas.openxmlformats.org/officeDocument/2006/custom-properties" xmlns:vt="http://schemas.openxmlformats.org/officeDocument/2006/docPropsVTypes"/>
</file>