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2"/>
          <w:szCs w:val="52"/>
        </w:rPr>
        <w:t xml:space="preserve">Support Fee Calculation &amp; Posting</w:t>
      </w:r>
    </w:p>
    <w:p>
      <w:pPr>
        <w:spacing w:after="120"/>
        <w:jc w:val="center"/>
      </w:pPr>
      <w:r>
        <w:rPr>
          <w:sz w:val="30"/>
          <w:szCs w:val="30"/>
        </w:rPr>
        <w:t xml:space="preserve">New Process in S/4HANA — Overview for Business Users</w:t>
      </w:r>
    </w:p>
    <w:p>
      <w:pPr>
        <w:spacing w:after="2400"/>
        <w:jc w:val="center"/>
      </w:pPr>
      <w:r>
        <w:rPr>
          <w:color w:val="666666"/>
          <w:sz w:val="21"/>
          <w:szCs w:val="21"/>
        </w:rPr>
        <w:t xml:space="preserve">Program /CCBJI/RUFIGLR_REPORTING_SUPP  |  Transaction /CCBJI/RURGL_REPSUPP</w:t>
      </w:r>
    </w:p>
    <w:p>
      <w:pPr>
        <w:jc w:val="center"/>
      </w:pPr>
      <w:r>
        <w:rPr>
          <w:color w:val="666666"/>
          <w:sz w:val="21"/>
          <w:szCs w:val="21"/>
        </w:rPr>
        <w:t xml:space="preserve">CCBJI — Company Code 7827  |  Document version 1.0</w:t>
      </w:r>
    </w:p>
    <w:p>
      <w:r>
        <w:br w:type="page"/>
      </w:r>
    </w:p>
    <w:p>
      <w:pPr>
        <w:pStyle w:val="Heading1"/>
        <w:spacing w:after="160" w:before="320"/>
      </w:pPr>
      <w:r>
        <w:rPr>
          <w:color w:val="1F4E79"/>
        </w:rPr>
        <w:t xml:space="preserve">1. What is changing, in one picture</w:t>
      </w:r>
    </w:p>
    <w:p>
      <w:pPr>
        <w:spacing w:after="120"/>
      </w:pPr>
      <w:r>
        <w:t xml:space="preserve">Today the monthly Support Fee runs across three systems: BW calculates the fee, writes a text file, and a second program in ECC reads that file and posts the accounting documents. With BW being retired, the whole process is rebuilt as ONE program inside S/4HANA. Nothing changes in the business meaning of the fee — the same rules, rates and accounts are used. What changes is where and how it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shd w:fill="D9E2F3" w:val="clear"/>
            <w:tcMar>
              <w:top w:type="dxa" w:w="60"/>
              <w:left w:type="dxa" w:w="100"/>
              <w:bottom w:type="dxa" w:w="60"/>
              <w:right w:type="dxa" w:w="100"/>
            </w:tcMar>
          </w:tcPr>
          <w:p>
            <w:r>
              <w:rPr>
                <w:b/>
                <w:bCs/>
                <w:sz w:val="19"/>
                <w:szCs w:val="19"/>
              </w:rPr>
              <w:t xml:space="preserve"/>
            </w:r>
          </w:p>
        </w:tc>
        <w:tc>
          <w:tcPr>
            <w:tcW w:type="dxa" w:w="3400"/>
            <w:shd w:fill="D9E2F3" w:val="clear"/>
            <w:tcMar>
              <w:top w:type="dxa" w:w="60"/>
              <w:left w:type="dxa" w:w="100"/>
              <w:bottom w:type="dxa" w:w="60"/>
              <w:right w:type="dxa" w:w="100"/>
            </w:tcMar>
          </w:tcPr>
          <w:p>
            <w:r>
              <w:rPr>
                <w:b/>
                <w:bCs/>
                <w:sz w:val="19"/>
                <w:szCs w:val="19"/>
              </w:rPr>
              <w:t xml:space="preserve">Old process (BW + ECC)</w:t>
            </w:r>
          </w:p>
        </w:tc>
        <w:tc>
          <w:tcPr>
            <w:tcW w:type="dxa" w:w="3426"/>
            <w:shd w:fill="D9E2F3" w:val="clear"/>
            <w:tcMar>
              <w:top w:type="dxa" w:w="60"/>
              <w:left w:type="dxa" w:w="100"/>
              <w:bottom w:type="dxa" w:w="60"/>
              <w:right w:type="dxa" w:w="100"/>
            </w:tcMar>
          </w:tcPr>
          <w:p>
            <w:r>
              <w:rPr>
                <w:b/>
                <w:bCs/>
                <w:sz w:val="19"/>
                <w:szCs w:val="19"/>
              </w:rPr>
              <w:t xml:space="preserve">New process (S/4HANA only)</w:t>
            </w:r>
          </w:p>
        </w:tc>
      </w:tr>
      <w:tr>
        <w:trPr>
          <w:tblHeader w:val="false"/>
        </w:trPr>
        <w:tc>
          <w:tcPr>
            <w:tcW w:type="dxa" w:w="2200"/>
            <w:tcMar>
              <w:top w:type="dxa" w:w="60"/>
              <w:left w:type="dxa" w:w="100"/>
              <w:bottom w:type="dxa" w:w="60"/>
              <w:right w:type="dxa" w:w="100"/>
            </w:tcMar>
          </w:tcPr>
          <w:p>
            <w:r>
              <w:rPr>
                <w:b w:val="false"/>
                <w:bCs w:val="false"/>
                <w:sz w:val="19"/>
                <w:szCs w:val="19"/>
              </w:rPr>
              <w:t xml:space="preserve">Systems involved</w:t>
            </w:r>
          </w:p>
        </w:tc>
        <w:tc>
          <w:tcPr>
            <w:tcW w:type="dxa" w:w="3400"/>
            <w:tcMar>
              <w:top w:type="dxa" w:w="60"/>
              <w:left w:type="dxa" w:w="100"/>
              <w:bottom w:type="dxa" w:w="60"/>
              <w:right w:type="dxa" w:w="100"/>
            </w:tcMar>
          </w:tcPr>
          <w:p>
            <w:r>
              <w:rPr>
                <w:b w:val="false"/>
                <w:bCs w:val="false"/>
                <w:sz w:val="19"/>
                <w:szCs w:val="19"/>
              </w:rPr>
              <w:t xml:space="preserve">BW system + ECC system + file transfer</w:t>
            </w:r>
          </w:p>
        </w:tc>
        <w:tc>
          <w:tcPr>
            <w:tcW w:type="dxa" w:w="3426"/>
            <w:tcMar>
              <w:top w:type="dxa" w:w="60"/>
              <w:left w:type="dxa" w:w="100"/>
              <w:bottom w:type="dxa" w:w="60"/>
              <w:right w:type="dxa" w:w="100"/>
            </w:tcMar>
          </w:tcPr>
          <w:p>
            <w:r>
              <w:rPr>
                <w:b w:val="false"/>
                <w:bCs w:val="false"/>
                <w:sz w:val="19"/>
                <w:szCs w:val="19"/>
              </w:rPr>
              <w:t xml:space="preserve">S/4HANA only — one program</w:t>
            </w:r>
          </w:p>
        </w:tc>
      </w:tr>
      <w:tr>
        <w:trPr>
          <w:tblHeader w:val="false"/>
        </w:trPr>
        <w:tc>
          <w:tcPr>
            <w:tcW w:type="dxa" w:w="2200"/>
            <w:tcMar>
              <w:top w:type="dxa" w:w="60"/>
              <w:left w:type="dxa" w:w="100"/>
              <w:bottom w:type="dxa" w:w="60"/>
              <w:right w:type="dxa" w:w="100"/>
            </w:tcMar>
          </w:tcPr>
          <w:p>
            <w:r>
              <w:rPr>
                <w:b w:val="false"/>
                <w:bCs w:val="false"/>
                <w:sz w:val="19"/>
                <w:szCs w:val="19"/>
              </w:rPr>
              <w:t xml:space="preserve">Data source</w:t>
            </w:r>
          </w:p>
        </w:tc>
        <w:tc>
          <w:tcPr>
            <w:tcW w:type="dxa" w:w="3400"/>
            <w:tcMar>
              <w:top w:type="dxa" w:w="60"/>
              <w:left w:type="dxa" w:w="100"/>
              <w:bottom w:type="dxa" w:w="60"/>
              <w:right w:type="dxa" w:w="100"/>
            </w:tcMar>
          </w:tcPr>
          <w:p>
            <w:r>
              <w:rPr>
                <w:b w:val="false"/>
                <w:bCs w:val="false"/>
                <w:sz w:val="19"/>
                <w:szCs w:val="19"/>
              </w:rPr>
              <w:t xml:space="preserve">BW copies of FI and COPA data (CE1JP00, FAGLFLEXA)</w:t>
            </w:r>
          </w:p>
        </w:tc>
        <w:tc>
          <w:tcPr>
            <w:tcW w:type="dxa" w:w="3426"/>
            <w:tcMar>
              <w:top w:type="dxa" w:w="60"/>
              <w:left w:type="dxa" w:w="100"/>
              <w:bottom w:type="dxa" w:w="60"/>
              <w:right w:type="dxa" w:w="100"/>
            </w:tcMar>
          </w:tcPr>
          <w:p>
            <w:r>
              <w:rPr>
                <w:b w:val="false"/>
                <w:bCs w:val="false"/>
                <w:sz w:val="19"/>
                <w:szCs w:val="19"/>
              </w:rPr>
              <w:t xml:space="preserve">ACDOCA — the single S/4 accounting table, always current</w:t>
            </w:r>
          </w:p>
        </w:tc>
      </w:tr>
      <w:tr>
        <w:trPr>
          <w:tblHeader w:val="false"/>
        </w:trPr>
        <w:tc>
          <w:tcPr>
            <w:tcW w:type="dxa" w:w="2200"/>
            <w:tcMar>
              <w:top w:type="dxa" w:w="60"/>
              <w:left w:type="dxa" w:w="100"/>
              <w:bottom w:type="dxa" w:w="60"/>
              <w:right w:type="dxa" w:w="100"/>
            </w:tcMar>
          </w:tcPr>
          <w:p>
            <w:r>
              <w:rPr>
                <w:b w:val="false"/>
                <w:bCs w:val="false"/>
                <w:sz w:val="19"/>
                <w:szCs w:val="19"/>
              </w:rPr>
              <w:t xml:space="preserve">Calculation</w:t>
            </w:r>
          </w:p>
        </w:tc>
        <w:tc>
          <w:tcPr>
            <w:tcW w:type="dxa" w:w="3400"/>
            <w:tcMar>
              <w:top w:type="dxa" w:w="60"/>
              <w:left w:type="dxa" w:w="100"/>
              <w:bottom w:type="dxa" w:w="60"/>
              <w:right w:type="dxa" w:w="100"/>
            </w:tcMar>
          </w:tcPr>
          <w:p>
            <w:r>
              <w:rPr>
                <w:b w:val="false"/>
                <w:bCs w:val="false"/>
                <w:sz w:val="19"/>
                <w:szCs w:val="19"/>
              </w:rPr>
              <w:t xml:space="preserve">HANA database views in BW</w:t>
            </w:r>
          </w:p>
        </w:tc>
        <w:tc>
          <w:tcPr>
            <w:tcW w:type="dxa" w:w="3426"/>
            <w:tcMar>
              <w:top w:type="dxa" w:w="60"/>
              <w:left w:type="dxa" w:w="100"/>
              <w:bottom w:type="dxa" w:w="60"/>
              <w:right w:type="dxa" w:w="100"/>
            </w:tcMar>
          </w:tcPr>
          <w:p>
            <w:r>
              <w:rPr>
                <w:b w:val="false"/>
                <w:bCs w:val="false"/>
                <w:sz w:val="19"/>
                <w:szCs w:val="19"/>
              </w:rPr>
              <w:t xml:space="preserve">Inside the new ABAP program</w:t>
            </w:r>
          </w:p>
        </w:tc>
      </w:tr>
      <w:tr>
        <w:trPr>
          <w:tblHeader w:val="false"/>
        </w:trPr>
        <w:tc>
          <w:tcPr>
            <w:tcW w:type="dxa" w:w="2200"/>
            <w:tcMar>
              <w:top w:type="dxa" w:w="60"/>
              <w:left w:type="dxa" w:w="100"/>
              <w:bottom w:type="dxa" w:w="60"/>
              <w:right w:type="dxa" w:w="100"/>
            </w:tcMar>
          </w:tcPr>
          <w:p>
            <w:r>
              <w:rPr>
                <w:b w:val="false"/>
                <w:bCs w:val="false"/>
                <w:sz w:val="19"/>
                <w:szCs w:val="19"/>
              </w:rPr>
              <w:t xml:space="preserve">Posting</w:t>
            </w:r>
          </w:p>
        </w:tc>
        <w:tc>
          <w:tcPr>
            <w:tcW w:type="dxa" w:w="3400"/>
            <w:tcMar>
              <w:top w:type="dxa" w:w="60"/>
              <w:left w:type="dxa" w:w="100"/>
              <w:bottom w:type="dxa" w:w="60"/>
              <w:right w:type="dxa" w:w="100"/>
            </w:tcMar>
          </w:tcPr>
          <w:p>
            <w:r>
              <w:rPr>
                <w:b w:val="false"/>
                <w:bCs w:val="false"/>
                <w:sz w:val="19"/>
                <w:szCs w:val="19"/>
              </w:rPr>
              <w:t xml:space="preserve">Text file on server, picked up by ECC job</w:t>
            </w:r>
          </w:p>
        </w:tc>
        <w:tc>
          <w:tcPr>
            <w:tcW w:type="dxa" w:w="3426"/>
            <w:tcMar>
              <w:top w:type="dxa" w:w="60"/>
              <w:left w:type="dxa" w:w="100"/>
              <w:bottom w:type="dxa" w:w="60"/>
              <w:right w:type="dxa" w:w="100"/>
            </w:tcMar>
          </w:tcPr>
          <w:p>
            <w:r>
              <w:rPr>
                <w:b w:val="false"/>
                <w:bCs w:val="false"/>
                <w:sz w:val="19"/>
                <w:szCs w:val="19"/>
              </w:rPr>
              <w:t xml:space="preserve">Direct posting in the same run — no files</w:t>
            </w:r>
          </w:p>
        </w:tc>
      </w:tr>
      <w:tr>
        <w:trPr>
          <w:tblHeader w:val="false"/>
        </w:trPr>
        <w:tc>
          <w:tcPr>
            <w:tcW w:type="dxa" w:w="2200"/>
            <w:tcMar>
              <w:top w:type="dxa" w:w="60"/>
              <w:left w:type="dxa" w:w="100"/>
              <w:bottom w:type="dxa" w:w="60"/>
              <w:right w:type="dxa" w:w="100"/>
            </w:tcMar>
          </w:tcPr>
          <w:p>
            <w:r>
              <w:rPr>
                <w:b w:val="false"/>
                <w:bCs w:val="false"/>
                <w:sz w:val="19"/>
                <w:szCs w:val="19"/>
              </w:rPr>
              <w:t xml:space="preserve">Checking before posting</w:t>
            </w:r>
          </w:p>
        </w:tc>
        <w:tc>
          <w:tcPr>
            <w:tcW w:type="dxa" w:w="3400"/>
            <w:tcMar>
              <w:top w:type="dxa" w:w="60"/>
              <w:left w:type="dxa" w:w="100"/>
              <w:bottom w:type="dxa" w:w="60"/>
              <w:right w:type="dxa" w:w="100"/>
            </w:tcMar>
          </w:tcPr>
          <w:p>
            <w:r>
              <w:rPr>
                <w:b w:val="false"/>
                <w:bCs w:val="false"/>
                <w:sz w:val="19"/>
                <w:szCs w:val="19"/>
              </w:rPr>
              <w:t xml:space="preserve">Not possible — file was posted as-is</w:t>
            </w:r>
          </w:p>
        </w:tc>
        <w:tc>
          <w:tcPr>
            <w:tcW w:type="dxa" w:w="3426"/>
            <w:tcMar>
              <w:top w:type="dxa" w:w="60"/>
              <w:left w:type="dxa" w:w="100"/>
              <w:bottom w:type="dxa" w:w="60"/>
              <w:right w:type="dxa" w:w="100"/>
            </w:tcMar>
          </w:tcPr>
          <w:p>
            <w:r>
              <w:rPr>
                <w:b w:val="false"/>
                <w:bCs w:val="false"/>
                <w:sz w:val="19"/>
                <w:szCs w:val="19"/>
              </w:rPr>
              <w:t xml:space="preserve">New Simulation mode: full dry run, nothing posted</w:t>
            </w:r>
          </w:p>
        </w:tc>
      </w:tr>
      <w:tr>
        <w:trPr>
          <w:tblHeader w:val="false"/>
        </w:trPr>
        <w:tc>
          <w:tcPr>
            <w:tcW w:type="dxa" w:w="2200"/>
            <w:tcMar>
              <w:top w:type="dxa" w:w="60"/>
              <w:left w:type="dxa" w:w="100"/>
              <w:bottom w:type="dxa" w:w="60"/>
              <w:right w:type="dxa" w:w="100"/>
            </w:tcMar>
          </w:tcPr>
          <w:p>
            <w:r>
              <w:rPr>
                <w:b w:val="false"/>
                <w:bCs w:val="false"/>
                <w:sz w:val="19"/>
                <w:szCs w:val="19"/>
              </w:rPr>
              <w:t xml:space="preserve">Speed on big volumes</w:t>
            </w:r>
          </w:p>
        </w:tc>
        <w:tc>
          <w:tcPr>
            <w:tcW w:type="dxa" w:w="3400"/>
            <w:tcMar>
              <w:top w:type="dxa" w:w="60"/>
              <w:left w:type="dxa" w:w="100"/>
              <w:bottom w:type="dxa" w:w="60"/>
              <w:right w:type="dxa" w:w="100"/>
            </w:tcMar>
          </w:tcPr>
          <w:p>
            <w:r>
              <w:rPr>
                <w:b w:val="false"/>
                <w:bCs w:val="false"/>
                <w:sz w:val="19"/>
                <w:szCs w:val="19"/>
              </w:rPr>
              <w:t xml:space="preserve">Frequent memory problems (10 fixes in history)</w:t>
            </w:r>
          </w:p>
        </w:tc>
        <w:tc>
          <w:tcPr>
            <w:tcW w:type="dxa" w:w="3426"/>
            <w:tcMar>
              <w:top w:type="dxa" w:w="60"/>
              <w:left w:type="dxa" w:w="100"/>
              <w:bottom w:type="dxa" w:w="60"/>
              <w:right w:type="dxa" w:w="100"/>
            </w:tcMar>
          </w:tcPr>
          <w:p>
            <w:r>
              <w:rPr>
                <w:b w:val="false"/>
                <w:bCs w:val="false"/>
                <w:sz w:val="19"/>
                <w:szCs w:val="19"/>
              </w:rPr>
              <w:t xml:space="preserve">Database does the heavy work + parallel processing</w:t>
            </w:r>
          </w:p>
        </w:tc>
      </w:tr>
    </w:tbl>
    <w:p>
      <w:pPr>
        <w:pStyle w:val="Heading1"/>
        <w:spacing w:after="160" w:before="320"/>
      </w:pPr>
      <w:r>
        <w:rPr>
          <w:color w:val="1F4E79"/>
        </w:rPr>
        <w:t xml:space="preserve">2. The new process flow — month end</w:t>
      </w:r>
    </w:p>
    <w:p>
      <w:pPr>
        <w:spacing w:after="120"/>
      </w:pPr>
      <w:r>
        <w:t xml:space="preserve">The month-end activity becomes three simple steps, all in one transaction:</w:t>
      </w:r>
    </w:p>
    <w:p>
      <w:pPr>
        <w:pStyle w:val="ListParagraph"/>
        <w:numPr>
          <w:ilvl w:val="0"/>
          <w:numId w:val="2"/>
        </w:numPr>
        <w:spacing w:after="80"/>
      </w:pPr>
      <w:r>
        <w:t xml:space="preserve">SIMULATE — The user runs the program in Simulation mode. The program reads the month’s expense postings, applies the incidence % rules, and shows exactly which accounting documents WOULD be created, with all amounts. Nothing is saved. Finance reviews the totals.</w:t>
      </w:r>
    </w:p>
    <w:p>
      <w:pPr>
        <w:pStyle w:val="ListParagraph"/>
        <w:numPr>
          <w:ilvl w:val="0"/>
          <w:numId w:val="2"/>
        </w:numPr>
        <w:spacing w:after="80"/>
      </w:pPr>
      <w:r>
        <w:t xml:space="preserve">POST — Once the simulation looks correct, the user runs the same selection in Posting mode. The program creates the FI documents (document type YE) directly — debit accrual account, credit support-fee accounts, including tax lines — and the COPA profitability information is written with the same posting. A log shows every document number created, or the reason if something failed.</w:t>
      </w:r>
    </w:p>
    <w:p>
      <w:pPr>
        <w:pStyle w:val="ListParagraph"/>
        <w:numPr>
          <w:ilvl w:val="0"/>
          <w:numId w:val="2"/>
        </w:numPr>
        <w:spacing w:after="80"/>
      </w:pPr>
      <w:r>
        <w:t xml:space="preserve">VERIFY — The result list shows document numbers with a click-through to the document display (FB03). Reports (Summary, Detail, Monthly, JC Audit) can be run any time to review the figures.</w:t>
      </w:r>
    </w:p>
    <w:p>
      <w:pPr>
        <w:spacing w:after="120"/>
      </w:pPr>
      <w:r>
        <w:rPr>
          <w:i/>
          <w:iCs/>
        </w:rPr>
        <w:t xml:space="preserve">Built-in safety: if the fee for a month was already posted, the program stops and warns before posting a second time. The old process had no such protection.</w:t>
      </w:r>
    </w:p>
    <w:p>
      <w:pPr>
        <w:pStyle w:val="Heading1"/>
        <w:spacing w:after="160" w:before="320"/>
      </w:pPr>
      <w:r>
        <w:rPr>
          <w:color w:val="1F4E79"/>
        </w:rPr>
        <w:t xml:space="preserve">3. New tables that will be created</w:t>
      </w:r>
    </w:p>
    <w:p>
      <w:pPr>
        <w:spacing w:after="120"/>
      </w:pPr>
      <w:r>
        <w:t xml:space="preserve">Four small configuration tables will be created. They replace data that used to live in the BW system, and they make the business rules visible and maintainable in S/4 (via standard table maintenance, SM30).</w:t>
      </w:r>
    </w:p>
    <w:p>
      <w:pPr>
        <w:pStyle w:val="Heading2"/>
        <w:spacing w:after="120" w:before="240"/>
      </w:pPr>
      <w:r>
        <w:rPr>
          <w:color w:val="1F4E79"/>
        </w:rPr>
        <w:t xml:space="preserve">3.1  /CCBJI/T_KAM_L4_CC — KAM organisation to cost center</w:t>
      </w:r>
    </w:p>
    <w:p>
      <w:pPr>
        <w:spacing w:after="120"/>
      </w:pPr>
      <w:r>
        <w:t xml:space="preserve">Links each KAM Level-4 organisation code to its cost center, which the program uses to find the correct profit center. Loaded initially with the 115 mappings from BW; afterwards maintained by upload file (a new, simple upload program with its own transaction is part of this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shd w:fill="D9E2F3" w:val="clear"/>
            <w:tcMar>
              <w:top w:type="dxa" w:w="60"/>
              <w:left w:type="dxa" w:w="100"/>
              <w:bottom w:type="dxa" w:w="60"/>
              <w:right w:type="dxa" w:w="100"/>
            </w:tcMar>
          </w:tcPr>
          <w:p>
            <w:r>
              <w:rPr>
                <w:b/>
                <w:bCs/>
                <w:sz w:val="19"/>
                <w:szCs w:val="19"/>
              </w:rPr>
              <w:t xml:space="preserve">Field</w:t>
            </w:r>
          </w:p>
        </w:tc>
        <w:tc>
          <w:tcPr>
            <w:tcW w:type="dxa" w:w="2200"/>
            <w:shd w:fill="D9E2F3" w:val="clear"/>
            <w:tcMar>
              <w:top w:type="dxa" w:w="60"/>
              <w:left w:type="dxa" w:w="100"/>
              <w:bottom w:type="dxa" w:w="60"/>
              <w:right w:type="dxa" w:w="100"/>
            </w:tcMar>
          </w:tcPr>
          <w:p>
            <w:r>
              <w:rPr>
                <w:b/>
                <w:bCs/>
                <w:sz w:val="19"/>
                <w:szCs w:val="19"/>
              </w:rPr>
              <w:t xml:space="preserve">Type</w:t>
            </w:r>
          </w:p>
        </w:tc>
        <w:tc>
          <w:tcPr>
            <w:tcW w:type="dxa" w:w="4226"/>
            <w:shd w:fill="D9E2F3" w:val="clear"/>
            <w:tcMar>
              <w:top w:type="dxa" w:w="60"/>
              <w:left w:type="dxa" w:w="100"/>
              <w:bottom w:type="dxa" w:w="60"/>
              <w:right w:type="dxa" w:w="100"/>
            </w:tcMar>
          </w:tcPr>
          <w:p>
            <w:r>
              <w:rPr>
                <w:b/>
                <w:bCs/>
                <w:sz w:val="19"/>
                <w:szCs w:val="19"/>
              </w:rPr>
              <w:t xml:space="preserve">Meaning</w:t>
            </w:r>
          </w:p>
        </w:tc>
      </w:tr>
      <w:tr>
        <w:trPr>
          <w:tblHeader w:val="false"/>
        </w:trPr>
        <w:tc>
          <w:tcPr>
            <w:tcW w:type="dxa" w:w="2600"/>
            <w:tcMar>
              <w:top w:type="dxa" w:w="60"/>
              <w:left w:type="dxa" w:w="100"/>
              <w:bottom w:type="dxa" w:w="60"/>
              <w:right w:type="dxa" w:w="100"/>
            </w:tcMar>
          </w:tcPr>
          <w:p>
            <w:r>
              <w:rPr>
                <w:b w:val="false"/>
                <w:bCs w:val="false"/>
                <w:sz w:val="19"/>
                <w:szCs w:val="19"/>
              </w:rPr>
              <w:t xml:space="preserve">KAMORGL4CD (key)</w:t>
            </w:r>
          </w:p>
        </w:tc>
        <w:tc>
          <w:tcPr>
            <w:tcW w:type="dxa" w:w="2200"/>
            <w:tcMar>
              <w:top w:type="dxa" w:w="60"/>
              <w:left w:type="dxa" w:w="100"/>
              <w:bottom w:type="dxa" w:w="60"/>
              <w:right w:type="dxa" w:w="100"/>
            </w:tcMar>
          </w:tcPr>
          <w:p>
            <w:r>
              <w:rPr>
                <w:b w:val="false"/>
                <w:bCs w:val="false"/>
                <w:sz w:val="19"/>
                <w:szCs w:val="19"/>
              </w:rPr>
              <w:t xml:space="preserve">Character 8</w:t>
            </w:r>
          </w:p>
        </w:tc>
        <w:tc>
          <w:tcPr>
            <w:tcW w:type="dxa" w:w="4226"/>
            <w:tcMar>
              <w:top w:type="dxa" w:w="60"/>
              <w:left w:type="dxa" w:w="100"/>
              <w:bottom w:type="dxa" w:w="60"/>
              <w:right w:type="dxa" w:w="100"/>
            </w:tcMar>
          </w:tcPr>
          <w:p>
            <w:r>
              <w:rPr>
                <w:b w:val="false"/>
                <w:bCs w:val="false"/>
                <w:sz w:val="19"/>
                <w:szCs w:val="19"/>
              </w:rPr>
              <w:t xml:space="preserve">KAM Level-4 organisation code</w:t>
            </w:r>
          </w:p>
        </w:tc>
      </w:tr>
      <w:tr>
        <w:trPr>
          <w:tblHeader w:val="false"/>
        </w:trPr>
        <w:tc>
          <w:tcPr>
            <w:tcW w:type="dxa" w:w="2600"/>
            <w:tcMar>
              <w:top w:type="dxa" w:w="60"/>
              <w:left w:type="dxa" w:w="100"/>
              <w:bottom w:type="dxa" w:w="60"/>
              <w:right w:type="dxa" w:w="100"/>
            </w:tcMar>
          </w:tcPr>
          <w:p>
            <w:r>
              <w:rPr>
                <w:b w:val="false"/>
                <w:bCs w:val="false"/>
                <w:sz w:val="19"/>
                <w:szCs w:val="19"/>
              </w:rPr>
              <w:t xml:space="preserve">KOSTL</w:t>
            </w:r>
          </w:p>
        </w:tc>
        <w:tc>
          <w:tcPr>
            <w:tcW w:type="dxa" w:w="2200"/>
            <w:tcMar>
              <w:top w:type="dxa" w:w="60"/>
              <w:left w:type="dxa" w:w="100"/>
              <w:bottom w:type="dxa" w:w="60"/>
              <w:right w:type="dxa" w:w="100"/>
            </w:tcMar>
          </w:tcPr>
          <w:p>
            <w:r>
              <w:rPr>
                <w:b w:val="false"/>
                <w:bCs w:val="false"/>
                <w:sz w:val="19"/>
                <w:szCs w:val="19"/>
              </w:rPr>
              <w:t xml:space="preserve">Character 10</w:t>
            </w:r>
          </w:p>
        </w:tc>
        <w:tc>
          <w:tcPr>
            <w:tcW w:type="dxa" w:w="4226"/>
            <w:tcMar>
              <w:top w:type="dxa" w:w="60"/>
              <w:left w:type="dxa" w:w="100"/>
              <w:bottom w:type="dxa" w:w="60"/>
              <w:right w:type="dxa" w:w="100"/>
            </w:tcMar>
          </w:tcPr>
          <w:p>
            <w:r>
              <w:rPr>
                <w:b w:val="false"/>
                <w:bCs w:val="false"/>
                <w:sz w:val="19"/>
                <w:szCs w:val="19"/>
              </w:rPr>
              <w:t xml:space="preserve">Cost center assigned to that organisation</w:t>
            </w:r>
          </w:p>
        </w:tc>
      </w:tr>
    </w:tbl>
    <w:p>
      <w:pPr>
        <w:pStyle w:val="Heading2"/>
        <w:spacing w:after="120" w:before="240"/>
      </w:pPr>
      <w:r>
        <w:rPr>
          <w:color w:val="1F4E79"/>
        </w:rPr>
        <w:t xml:space="preserve">3.2  /CCBJI/T_SUPFEE_CE — cost element for COPA posting</w:t>
      </w:r>
    </w:p>
    <w:p>
      <w:pPr>
        <w:spacing w:after="120"/>
      </w:pPr>
      <w:r>
        <w:t xml:space="preserve">Tells the program which cost element to use when writing the COPA (profitability) side of the posting. Loaded once with the 16 rows from BW; rarely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shd w:fill="D9E2F3" w:val="clear"/>
            <w:tcMar>
              <w:top w:type="dxa" w:w="60"/>
              <w:left w:type="dxa" w:w="100"/>
              <w:bottom w:type="dxa" w:w="60"/>
              <w:right w:type="dxa" w:w="100"/>
            </w:tcMar>
          </w:tcPr>
          <w:p>
            <w:r>
              <w:rPr>
                <w:b/>
                <w:bCs/>
                <w:sz w:val="19"/>
                <w:szCs w:val="19"/>
              </w:rPr>
              <w:t xml:space="preserve">Field</w:t>
            </w:r>
          </w:p>
        </w:tc>
        <w:tc>
          <w:tcPr>
            <w:tcW w:type="dxa" w:w="2200"/>
            <w:shd w:fill="D9E2F3" w:val="clear"/>
            <w:tcMar>
              <w:top w:type="dxa" w:w="60"/>
              <w:left w:type="dxa" w:w="100"/>
              <w:bottom w:type="dxa" w:w="60"/>
              <w:right w:type="dxa" w:w="100"/>
            </w:tcMar>
          </w:tcPr>
          <w:p>
            <w:r>
              <w:rPr>
                <w:b/>
                <w:bCs/>
                <w:sz w:val="19"/>
                <w:szCs w:val="19"/>
              </w:rPr>
              <w:t xml:space="preserve">Type</w:t>
            </w:r>
          </w:p>
        </w:tc>
        <w:tc>
          <w:tcPr>
            <w:tcW w:type="dxa" w:w="4226"/>
            <w:shd w:fill="D9E2F3" w:val="clear"/>
            <w:tcMar>
              <w:top w:type="dxa" w:w="60"/>
              <w:left w:type="dxa" w:w="100"/>
              <w:bottom w:type="dxa" w:w="60"/>
              <w:right w:type="dxa" w:w="100"/>
            </w:tcMar>
          </w:tcPr>
          <w:p>
            <w:r>
              <w:rPr>
                <w:b/>
                <w:bCs/>
                <w:sz w:val="19"/>
                <w:szCs w:val="19"/>
              </w:rPr>
              <w:t xml:space="preserve">Meaning</w:t>
            </w:r>
          </w:p>
        </w:tc>
      </w:tr>
      <w:tr>
        <w:trPr>
          <w:tblHeader w:val="false"/>
        </w:trPr>
        <w:tc>
          <w:tcPr>
            <w:tcW w:type="dxa" w:w="2600"/>
            <w:tcMar>
              <w:top w:type="dxa" w:w="60"/>
              <w:left w:type="dxa" w:w="100"/>
              <w:bottom w:type="dxa" w:w="60"/>
              <w:right w:type="dxa" w:w="100"/>
            </w:tcMar>
          </w:tcPr>
          <w:p>
            <w:r>
              <w:rPr>
                <w:b w:val="false"/>
                <w:bCs w:val="false"/>
                <w:sz w:val="19"/>
                <w:szCs w:val="19"/>
              </w:rPr>
              <w:t xml:space="preserve">HKONT (key)</w:t>
            </w:r>
          </w:p>
        </w:tc>
        <w:tc>
          <w:tcPr>
            <w:tcW w:type="dxa" w:w="2200"/>
            <w:tcMar>
              <w:top w:type="dxa" w:w="60"/>
              <w:left w:type="dxa" w:w="100"/>
              <w:bottom w:type="dxa" w:w="60"/>
              <w:right w:type="dxa" w:w="100"/>
            </w:tcMar>
          </w:tcPr>
          <w:p>
            <w:r>
              <w:rPr>
                <w:b w:val="false"/>
                <w:bCs w:val="false"/>
                <w:sz w:val="19"/>
                <w:szCs w:val="19"/>
              </w:rPr>
              <w:t xml:space="preserve">Character 10</w:t>
            </w:r>
          </w:p>
        </w:tc>
        <w:tc>
          <w:tcPr>
            <w:tcW w:type="dxa" w:w="4226"/>
            <w:tcMar>
              <w:top w:type="dxa" w:w="60"/>
              <w:left w:type="dxa" w:w="100"/>
              <w:bottom w:type="dxa" w:w="60"/>
              <w:right w:type="dxa" w:w="100"/>
            </w:tcMar>
          </w:tcPr>
          <w:p>
            <w:r>
              <w:rPr>
                <w:b w:val="false"/>
                <w:bCs w:val="false"/>
                <w:sz w:val="19"/>
                <w:szCs w:val="19"/>
              </w:rPr>
              <w:t xml:space="preserve">Posting G/L account</w:t>
            </w:r>
          </w:p>
        </w:tc>
      </w:tr>
      <w:tr>
        <w:trPr>
          <w:tblHeader w:val="false"/>
        </w:trPr>
        <w:tc>
          <w:tcPr>
            <w:tcW w:type="dxa" w:w="2600"/>
            <w:tcMar>
              <w:top w:type="dxa" w:w="60"/>
              <w:left w:type="dxa" w:w="100"/>
              <w:bottom w:type="dxa" w:w="60"/>
              <w:right w:type="dxa" w:w="100"/>
            </w:tcMar>
          </w:tcPr>
          <w:p>
            <w:r>
              <w:rPr>
                <w:b w:val="false"/>
                <w:bCs w:val="false"/>
                <w:sz w:val="19"/>
                <w:szCs w:val="19"/>
              </w:rPr>
              <w:t xml:space="preserve">WW214 / WW207 / WW237 (keys)</w:t>
            </w:r>
          </w:p>
        </w:tc>
        <w:tc>
          <w:tcPr>
            <w:tcW w:type="dxa" w:w="2200"/>
            <w:tcMar>
              <w:top w:type="dxa" w:w="60"/>
              <w:left w:type="dxa" w:w="100"/>
              <w:bottom w:type="dxa" w:w="60"/>
              <w:right w:type="dxa" w:w="100"/>
            </w:tcMar>
          </w:tcPr>
          <w:p>
            <w:r>
              <w:rPr>
                <w:b w:val="false"/>
                <w:bCs w:val="false"/>
                <w:sz w:val="19"/>
                <w:szCs w:val="19"/>
              </w:rPr>
              <w:t xml:space="preserve">Flags</w:t>
            </w:r>
          </w:p>
        </w:tc>
        <w:tc>
          <w:tcPr>
            <w:tcW w:type="dxa" w:w="4226"/>
            <w:tcMar>
              <w:top w:type="dxa" w:w="60"/>
              <w:left w:type="dxa" w:w="100"/>
              <w:bottom w:type="dxa" w:w="60"/>
              <w:right w:type="dxa" w:w="100"/>
            </w:tcMar>
          </w:tcPr>
          <w:p>
            <w:r>
              <w:rPr>
                <w:b w:val="false"/>
                <w:bCs w:val="false"/>
                <w:sz w:val="19"/>
                <w:szCs w:val="19"/>
              </w:rPr>
              <w:t xml:space="preserve">Whether Bottler account / Dealer / Brand is filled on the line</w:t>
            </w:r>
          </w:p>
        </w:tc>
      </w:tr>
      <w:tr>
        <w:trPr>
          <w:tblHeader w:val="false"/>
        </w:trPr>
        <w:tc>
          <w:tcPr>
            <w:tcW w:type="dxa" w:w="2600"/>
            <w:tcMar>
              <w:top w:type="dxa" w:w="60"/>
              <w:left w:type="dxa" w:w="100"/>
              <w:bottom w:type="dxa" w:w="60"/>
              <w:right w:type="dxa" w:w="100"/>
            </w:tcMar>
          </w:tcPr>
          <w:p>
            <w:r>
              <w:rPr>
                <w:b w:val="false"/>
                <w:bCs w:val="false"/>
                <w:sz w:val="19"/>
                <w:szCs w:val="19"/>
              </w:rPr>
              <w:t xml:space="preserve">KSTAR</w:t>
            </w:r>
          </w:p>
        </w:tc>
        <w:tc>
          <w:tcPr>
            <w:tcW w:type="dxa" w:w="2200"/>
            <w:tcMar>
              <w:top w:type="dxa" w:w="60"/>
              <w:left w:type="dxa" w:w="100"/>
              <w:bottom w:type="dxa" w:w="60"/>
              <w:right w:type="dxa" w:w="100"/>
            </w:tcMar>
          </w:tcPr>
          <w:p>
            <w:r>
              <w:rPr>
                <w:b w:val="false"/>
                <w:bCs w:val="false"/>
                <w:sz w:val="19"/>
                <w:szCs w:val="19"/>
              </w:rPr>
              <w:t xml:space="preserve">Character 10</w:t>
            </w:r>
          </w:p>
        </w:tc>
        <w:tc>
          <w:tcPr>
            <w:tcW w:type="dxa" w:w="4226"/>
            <w:tcMar>
              <w:top w:type="dxa" w:w="60"/>
              <w:left w:type="dxa" w:w="100"/>
              <w:bottom w:type="dxa" w:w="60"/>
              <w:right w:type="dxa" w:w="100"/>
            </w:tcMar>
          </w:tcPr>
          <w:p>
            <w:r>
              <w:rPr>
                <w:b w:val="false"/>
                <w:bCs w:val="false"/>
                <w:sz w:val="19"/>
                <w:szCs w:val="19"/>
              </w:rPr>
              <w:t xml:space="preserve">Cost element to post to</w:t>
            </w:r>
          </w:p>
        </w:tc>
      </w:tr>
    </w:tbl>
    <w:p>
      <w:pPr>
        <w:pStyle w:val="Heading2"/>
        <w:spacing w:after="120" w:before="240"/>
      </w:pPr>
      <w:r>
        <w:rPr>
          <w:color w:val="1F4E79"/>
        </w:rPr>
        <w:t xml:space="preserve">3.3  /CCBJI/T_GL_TYPE — G/L account classification (new business rule)</w:t>
      </w:r>
    </w:p>
    <w:p>
      <w:pPr>
        <w:spacing w:after="120"/>
      </w:pPr>
      <w:r>
        <w:t xml:space="preserve">New rule from the functional specification: some G/L accounts get a fixed 50% rate, CokeON cost accounts get the vending-channel rate, and all others follow the normal lookup. This table holds that classification. Until the business provides the account lists, the table stays empty and every account simply follows the normal rules — exactly like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shd w:fill="D9E2F3" w:val="clear"/>
            <w:tcMar>
              <w:top w:type="dxa" w:w="60"/>
              <w:left w:type="dxa" w:w="100"/>
              <w:bottom w:type="dxa" w:w="60"/>
              <w:right w:type="dxa" w:w="100"/>
            </w:tcMar>
          </w:tcPr>
          <w:p>
            <w:r>
              <w:rPr>
                <w:b/>
                <w:bCs/>
                <w:sz w:val="19"/>
                <w:szCs w:val="19"/>
              </w:rPr>
              <w:t xml:space="preserve">Field</w:t>
            </w:r>
          </w:p>
        </w:tc>
        <w:tc>
          <w:tcPr>
            <w:tcW w:type="dxa" w:w="2200"/>
            <w:shd w:fill="D9E2F3" w:val="clear"/>
            <w:tcMar>
              <w:top w:type="dxa" w:w="60"/>
              <w:left w:type="dxa" w:w="100"/>
              <w:bottom w:type="dxa" w:w="60"/>
              <w:right w:type="dxa" w:w="100"/>
            </w:tcMar>
          </w:tcPr>
          <w:p>
            <w:r>
              <w:rPr>
                <w:b/>
                <w:bCs/>
                <w:sz w:val="19"/>
                <w:szCs w:val="19"/>
              </w:rPr>
              <w:t xml:space="preserve">Type</w:t>
            </w:r>
          </w:p>
        </w:tc>
        <w:tc>
          <w:tcPr>
            <w:tcW w:type="dxa" w:w="4226"/>
            <w:shd w:fill="D9E2F3" w:val="clear"/>
            <w:tcMar>
              <w:top w:type="dxa" w:w="60"/>
              <w:left w:type="dxa" w:w="100"/>
              <w:bottom w:type="dxa" w:w="60"/>
              <w:right w:type="dxa" w:w="100"/>
            </w:tcMar>
          </w:tcPr>
          <w:p>
            <w:r>
              <w:rPr>
                <w:b/>
                <w:bCs/>
                <w:sz w:val="19"/>
                <w:szCs w:val="19"/>
              </w:rPr>
              <w:t xml:space="preserve">Meaning</w:t>
            </w:r>
          </w:p>
        </w:tc>
      </w:tr>
      <w:tr>
        <w:trPr>
          <w:tblHeader w:val="false"/>
        </w:trPr>
        <w:tc>
          <w:tcPr>
            <w:tcW w:type="dxa" w:w="2600"/>
            <w:tcMar>
              <w:top w:type="dxa" w:w="60"/>
              <w:left w:type="dxa" w:w="100"/>
              <w:bottom w:type="dxa" w:w="60"/>
              <w:right w:type="dxa" w:w="100"/>
            </w:tcMar>
          </w:tcPr>
          <w:p>
            <w:r>
              <w:rPr>
                <w:b w:val="false"/>
                <w:bCs w:val="false"/>
                <w:sz w:val="19"/>
                <w:szCs w:val="19"/>
              </w:rPr>
              <w:t xml:space="preserve">RACCT (key)</w:t>
            </w:r>
          </w:p>
        </w:tc>
        <w:tc>
          <w:tcPr>
            <w:tcW w:type="dxa" w:w="2200"/>
            <w:tcMar>
              <w:top w:type="dxa" w:w="60"/>
              <w:left w:type="dxa" w:w="100"/>
              <w:bottom w:type="dxa" w:w="60"/>
              <w:right w:type="dxa" w:w="100"/>
            </w:tcMar>
          </w:tcPr>
          <w:p>
            <w:r>
              <w:rPr>
                <w:b w:val="false"/>
                <w:bCs w:val="false"/>
                <w:sz w:val="19"/>
                <w:szCs w:val="19"/>
              </w:rPr>
              <w:t xml:space="preserve">Character 10</w:t>
            </w:r>
          </w:p>
        </w:tc>
        <w:tc>
          <w:tcPr>
            <w:tcW w:type="dxa" w:w="4226"/>
            <w:tcMar>
              <w:top w:type="dxa" w:w="60"/>
              <w:left w:type="dxa" w:w="100"/>
              <w:bottom w:type="dxa" w:w="60"/>
              <w:right w:type="dxa" w:w="100"/>
            </w:tcMar>
          </w:tcPr>
          <w:p>
            <w:r>
              <w:rPr>
                <w:b w:val="false"/>
                <w:bCs w:val="false"/>
                <w:sz w:val="19"/>
                <w:szCs w:val="19"/>
              </w:rPr>
              <w:t xml:space="preserve">Expense G/L account</w:t>
            </w:r>
          </w:p>
        </w:tc>
      </w:tr>
      <w:tr>
        <w:trPr>
          <w:tblHeader w:val="false"/>
        </w:trPr>
        <w:tc>
          <w:tcPr>
            <w:tcW w:type="dxa" w:w="2600"/>
            <w:tcMar>
              <w:top w:type="dxa" w:w="60"/>
              <w:left w:type="dxa" w:w="100"/>
              <w:bottom w:type="dxa" w:w="60"/>
              <w:right w:type="dxa" w:w="100"/>
            </w:tcMar>
          </w:tcPr>
          <w:p>
            <w:r>
              <w:rPr>
                <w:b w:val="false"/>
                <w:bCs w:val="false"/>
                <w:sz w:val="19"/>
                <w:szCs w:val="19"/>
              </w:rPr>
              <w:t xml:space="preserve">GL_TYPE</w:t>
            </w:r>
          </w:p>
        </w:tc>
        <w:tc>
          <w:tcPr>
            <w:tcW w:type="dxa" w:w="2200"/>
            <w:tcMar>
              <w:top w:type="dxa" w:w="60"/>
              <w:left w:type="dxa" w:w="100"/>
              <w:bottom w:type="dxa" w:w="60"/>
              <w:right w:type="dxa" w:w="100"/>
            </w:tcMar>
          </w:tcPr>
          <w:p>
            <w:r>
              <w:rPr>
                <w:b w:val="false"/>
                <w:bCs w:val="false"/>
                <w:sz w:val="19"/>
                <w:szCs w:val="19"/>
              </w:rPr>
              <w:t xml:space="preserve">Choice</w:t>
            </w:r>
          </w:p>
        </w:tc>
        <w:tc>
          <w:tcPr>
            <w:tcW w:type="dxa" w:w="4226"/>
            <w:tcMar>
              <w:top w:type="dxa" w:w="60"/>
              <w:left w:type="dxa" w:w="100"/>
              <w:bottom w:type="dxa" w:w="60"/>
              <w:right w:type="dxa" w:w="100"/>
            </w:tcMar>
          </w:tcPr>
          <w:p>
            <w:r>
              <w:rPr>
                <w:b w:val="false"/>
                <w:bCs w:val="false"/>
                <w:sz w:val="19"/>
                <w:szCs w:val="19"/>
              </w:rPr>
              <w:t xml:space="preserve">50PCT = fixed 50% / COKEON = vending rate / OTHER = normal rules</w:t>
            </w:r>
          </w:p>
        </w:tc>
      </w:tr>
    </w:tbl>
    <w:p>
      <w:pPr>
        <w:pStyle w:val="Heading2"/>
        <w:spacing w:after="120" w:before="240"/>
      </w:pPr>
      <w:r>
        <w:rPr>
          <w:color w:val="1F4E79"/>
        </w:rPr>
        <w:t xml:space="preserve">3.4  /CCBJI/T_RPPCAT_TY — RPP category classification (new business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shd w:fill="D9E2F3" w:val="clear"/>
            <w:tcMar>
              <w:top w:type="dxa" w:w="60"/>
              <w:left w:type="dxa" w:w="100"/>
              <w:bottom w:type="dxa" w:w="60"/>
              <w:right w:type="dxa" w:w="100"/>
            </w:tcMar>
          </w:tcPr>
          <w:p>
            <w:r>
              <w:rPr>
                <w:b/>
                <w:bCs/>
                <w:sz w:val="19"/>
                <w:szCs w:val="19"/>
              </w:rPr>
              <w:t xml:space="preserve">Field</w:t>
            </w:r>
          </w:p>
        </w:tc>
        <w:tc>
          <w:tcPr>
            <w:tcW w:type="dxa" w:w="2200"/>
            <w:shd w:fill="D9E2F3" w:val="clear"/>
            <w:tcMar>
              <w:top w:type="dxa" w:w="60"/>
              <w:left w:type="dxa" w:w="100"/>
              <w:bottom w:type="dxa" w:w="60"/>
              <w:right w:type="dxa" w:w="100"/>
            </w:tcMar>
          </w:tcPr>
          <w:p>
            <w:r>
              <w:rPr>
                <w:b/>
                <w:bCs/>
                <w:sz w:val="19"/>
                <w:szCs w:val="19"/>
              </w:rPr>
              <w:t xml:space="preserve">Type</w:t>
            </w:r>
          </w:p>
        </w:tc>
        <w:tc>
          <w:tcPr>
            <w:tcW w:type="dxa" w:w="4226"/>
            <w:shd w:fill="D9E2F3" w:val="clear"/>
            <w:tcMar>
              <w:top w:type="dxa" w:w="60"/>
              <w:left w:type="dxa" w:w="100"/>
              <w:bottom w:type="dxa" w:w="60"/>
              <w:right w:type="dxa" w:w="100"/>
            </w:tcMar>
          </w:tcPr>
          <w:p>
            <w:r>
              <w:rPr>
                <w:b/>
                <w:bCs/>
                <w:sz w:val="19"/>
                <w:szCs w:val="19"/>
              </w:rPr>
              <w:t xml:space="preserve">Meaning</w:t>
            </w:r>
          </w:p>
        </w:tc>
      </w:tr>
      <w:tr>
        <w:trPr>
          <w:tblHeader w:val="false"/>
        </w:trPr>
        <w:tc>
          <w:tcPr>
            <w:tcW w:type="dxa" w:w="2600"/>
            <w:tcMar>
              <w:top w:type="dxa" w:w="60"/>
              <w:left w:type="dxa" w:w="100"/>
              <w:bottom w:type="dxa" w:w="60"/>
              <w:right w:type="dxa" w:w="100"/>
            </w:tcMar>
          </w:tcPr>
          <w:p>
            <w:r>
              <w:rPr>
                <w:b w:val="false"/>
                <w:bCs w:val="false"/>
                <w:sz w:val="19"/>
                <w:szCs w:val="19"/>
              </w:rPr>
              <w:t xml:space="preserve">RPPCAT (key)</w:t>
            </w:r>
          </w:p>
        </w:tc>
        <w:tc>
          <w:tcPr>
            <w:tcW w:type="dxa" w:w="2200"/>
            <w:tcMar>
              <w:top w:type="dxa" w:w="60"/>
              <w:left w:type="dxa" w:w="100"/>
              <w:bottom w:type="dxa" w:w="60"/>
              <w:right w:type="dxa" w:w="100"/>
            </w:tcMar>
          </w:tcPr>
          <w:p>
            <w:r>
              <w:rPr>
                <w:b w:val="false"/>
                <w:bCs w:val="false"/>
                <w:sz w:val="19"/>
                <w:szCs w:val="19"/>
              </w:rPr>
              <w:t xml:space="preserve">Character 3</w:t>
            </w:r>
          </w:p>
        </w:tc>
        <w:tc>
          <w:tcPr>
            <w:tcW w:type="dxa" w:w="4226"/>
            <w:tcMar>
              <w:top w:type="dxa" w:w="60"/>
              <w:left w:type="dxa" w:w="100"/>
              <w:bottom w:type="dxa" w:w="60"/>
              <w:right w:type="dxa" w:w="100"/>
            </w:tcMar>
          </w:tcPr>
          <w:p>
            <w:r>
              <w:rPr>
                <w:b w:val="false"/>
                <w:bCs w:val="false"/>
                <w:sz w:val="19"/>
                <w:szCs w:val="19"/>
              </w:rPr>
              <w:t xml:space="preserve">RPP category code</w:t>
            </w:r>
          </w:p>
        </w:tc>
      </w:tr>
      <w:tr>
        <w:trPr>
          <w:tblHeader w:val="false"/>
        </w:trPr>
        <w:tc>
          <w:tcPr>
            <w:tcW w:type="dxa" w:w="2600"/>
            <w:tcMar>
              <w:top w:type="dxa" w:w="60"/>
              <w:left w:type="dxa" w:w="100"/>
              <w:bottom w:type="dxa" w:w="60"/>
              <w:right w:type="dxa" w:w="100"/>
            </w:tcMar>
          </w:tcPr>
          <w:p>
            <w:r>
              <w:rPr>
                <w:b w:val="false"/>
                <w:bCs w:val="false"/>
                <w:sz w:val="19"/>
                <w:szCs w:val="19"/>
              </w:rPr>
              <w:t xml:space="preserve">RPPCAT_TYPE</w:t>
            </w:r>
          </w:p>
        </w:tc>
        <w:tc>
          <w:tcPr>
            <w:tcW w:type="dxa" w:w="2200"/>
            <w:tcMar>
              <w:top w:type="dxa" w:w="60"/>
              <w:left w:type="dxa" w:w="100"/>
              <w:bottom w:type="dxa" w:w="60"/>
              <w:right w:type="dxa" w:w="100"/>
            </w:tcMar>
          </w:tcPr>
          <w:p>
            <w:r>
              <w:rPr>
                <w:b w:val="false"/>
                <w:bCs w:val="false"/>
                <w:sz w:val="19"/>
                <w:szCs w:val="19"/>
              </w:rPr>
              <w:t xml:space="preserve">Choice</w:t>
            </w:r>
          </w:p>
        </w:tc>
        <w:tc>
          <w:tcPr>
            <w:tcW w:type="dxa" w:w="4226"/>
            <w:tcMar>
              <w:top w:type="dxa" w:w="60"/>
              <w:left w:type="dxa" w:w="100"/>
              <w:bottom w:type="dxa" w:w="60"/>
              <w:right w:type="dxa" w:w="100"/>
            </w:tcMar>
          </w:tcPr>
          <w:p>
            <w:r>
              <w:rPr>
                <w:b w:val="false"/>
                <w:bCs w:val="false"/>
                <w:sz w:val="19"/>
                <w:szCs w:val="19"/>
              </w:rPr>
              <w:t xml:space="preserve">OTHER = out of scope / ADJACENT = fixed 50% / SPECIFIC = normal rules</w:t>
            </w:r>
          </w:p>
        </w:tc>
      </w:tr>
    </w:tbl>
    <w:p>
      <w:pPr>
        <w:pStyle w:val="Heading2"/>
        <w:spacing w:after="120" w:before="240"/>
      </w:pPr>
      <w:r>
        <w:rPr>
          <w:color w:val="1F4E79"/>
        </w:rPr>
        <w:t xml:space="preserve">3.5  Small settings (TVARVC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9E2F3" w:val="clear"/>
            <w:tcMar>
              <w:top w:type="dxa" w:w="60"/>
              <w:left w:type="dxa" w:w="100"/>
              <w:bottom w:type="dxa" w:w="60"/>
              <w:right w:type="dxa" w:w="100"/>
            </w:tcMar>
          </w:tcPr>
          <w:p>
            <w:r>
              <w:rPr>
                <w:b/>
                <w:bCs/>
                <w:sz w:val="19"/>
                <w:szCs w:val="19"/>
              </w:rPr>
              <w:t xml:space="preserve">Setting</w:t>
            </w:r>
          </w:p>
        </w:tc>
        <w:tc>
          <w:tcPr>
            <w:tcW w:type="dxa" w:w="5426"/>
            <w:shd w:fill="D9E2F3" w:val="clear"/>
            <w:tcMar>
              <w:top w:type="dxa" w:w="60"/>
              <w:left w:type="dxa" w:w="100"/>
              <w:bottom w:type="dxa" w:w="60"/>
              <w:right w:type="dxa" w:w="100"/>
            </w:tcMar>
          </w:tcPr>
          <w:p>
            <w:r>
              <w:rPr>
                <w:b/>
                <w:bCs/>
                <w:sz w:val="19"/>
                <w:szCs w:val="19"/>
              </w:rPr>
              <w:t xml:space="preserve">Meaning</w:t>
            </w:r>
          </w:p>
        </w:tc>
      </w:tr>
      <w:tr>
        <w:trPr>
          <w:tblHeader w:val="false"/>
        </w:trPr>
        <w:tc>
          <w:tcPr>
            <w:tcW w:type="dxa" w:w="3600"/>
            <w:tcMar>
              <w:top w:type="dxa" w:w="60"/>
              <w:left w:type="dxa" w:w="100"/>
              <w:bottom w:type="dxa" w:w="60"/>
              <w:right w:type="dxa" w:w="100"/>
            </w:tcMar>
          </w:tcPr>
          <w:p>
            <w:r>
              <w:rPr>
                <w:b w:val="false"/>
                <w:bCs w:val="false"/>
                <w:sz w:val="19"/>
                <w:szCs w:val="19"/>
              </w:rPr>
              <w:t xml:space="preserve">/CCBJI/RTR_50PCT</w:t>
            </w:r>
          </w:p>
        </w:tc>
        <w:tc>
          <w:tcPr>
            <w:tcW w:type="dxa" w:w="5426"/>
            <w:tcMar>
              <w:top w:type="dxa" w:w="60"/>
              <w:left w:type="dxa" w:w="100"/>
              <w:bottom w:type="dxa" w:w="60"/>
              <w:right w:type="dxa" w:w="100"/>
            </w:tcMar>
          </w:tcPr>
          <w:p>
            <w:r>
              <w:rPr>
                <w:b w:val="false"/>
                <w:bCs w:val="false"/>
                <w:sz w:val="19"/>
                <w:szCs w:val="19"/>
              </w:rPr>
              <w:t xml:space="preserve">The fixed 50% rate — kept as a setting, not hard-coded</w:t>
            </w:r>
          </w:p>
        </w:tc>
      </w:tr>
      <w:tr>
        <w:trPr>
          <w:tblHeader w:val="false"/>
        </w:trPr>
        <w:tc>
          <w:tcPr>
            <w:tcW w:type="dxa" w:w="3600"/>
            <w:tcMar>
              <w:top w:type="dxa" w:w="60"/>
              <w:left w:type="dxa" w:w="100"/>
              <w:bottom w:type="dxa" w:w="60"/>
              <w:right w:type="dxa" w:w="100"/>
            </w:tcMar>
          </w:tcPr>
          <w:p>
            <w:r>
              <w:rPr>
                <w:b w:val="false"/>
                <w:bCs w:val="false"/>
                <w:sz w:val="19"/>
                <w:szCs w:val="19"/>
              </w:rPr>
              <w:t xml:space="preserve">/CCBJI/RTR_VENDPCT</w:t>
            </w:r>
          </w:p>
        </w:tc>
        <w:tc>
          <w:tcPr>
            <w:tcW w:type="dxa" w:w="5426"/>
            <w:tcMar>
              <w:top w:type="dxa" w:w="60"/>
              <w:left w:type="dxa" w:w="100"/>
              <w:bottom w:type="dxa" w:w="60"/>
              <w:right w:type="dxa" w:w="100"/>
            </w:tcMar>
          </w:tcPr>
          <w:p>
            <w:r>
              <w:rPr>
                <w:b w:val="false"/>
                <w:bCs w:val="false"/>
                <w:sz w:val="19"/>
                <w:szCs w:val="19"/>
              </w:rPr>
              <w:t xml:space="preserve">The vending-channel % for CokeON accounts (value to be provided by business)</w:t>
            </w:r>
          </w:p>
        </w:tc>
      </w:tr>
      <w:tr>
        <w:trPr>
          <w:tblHeader w:val="false"/>
        </w:trPr>
        <w:tc>
          <w:tcPr>
            <w:tcW w:type="dxa" w:w="3600"/>
            <w:tcMar>
              <w:top w:type="dxa" w:w="60"/>
              <w:left w:type="dxa" w:w="100"/>
              <w:bottom w:type="dxa" w:w="60"/>
              <w:right w:type="dxa" w:w="100"/>
            </w:tcMar>
          </w:tcPr>
          <w:p>
            <w:r>
              <w:rPr>
                <w:b w:val="false"/>
                <w:bCs w:val="false"/>
                <w:sz w:val="19"/>
                <w:szCs w:val="19"/>
              </w:rPr>
              <w:t xml:space="preserve">/CCBJI/RTR_DEBITGL</w:t>
            </w:r>
          </w:p>
        </w:tc>
        <w:tc>
          <w:tcPr>
            <w:tcW w:type="dxa" w:w="5426"/>
            <w:tcMar>
              <w:top w:type="dxa" w:w="60"/>
              <w:left w:type="dxa" w:w="100"/>
              <w:bottom w:type="dxa" w:w="60"/>
              <w:right w:type="dxa" w:w="100"/>
            </w:tcMar>
          </w:tcPr>
          <w:p>
            <w:r>
              <w:rPr>
                <w:b w:val="false"/>
                <w:bCs w:val="false"/>
                <w:sz w:val="19"/>
                <w:szCs w:val="19"/>
              </w:rPr>
              <w:t xml:space="preserve">G/L account of the aggregated debit line (copied from ECC)</w:t>
            </w:r>
          </w:p>
        </w:tc>
      </w:tr>
      <w:tr>
        <w:trPr>
          <w:tblHeader w:val="false"/>
        </w:trPr>
        <w:tc>
          <w:tcPr>
            <w:tcW w:type="dxa" w:w="3600"/>
            <w:tcMar>
              <w:top w:type="dxa" w:w="60"/>
              <w:left w:type="dxa" w:w="100"/>
              <w:bottom w:type="dxa" w:w="60"/>
              <w:right w:type="dxa" w:w="100"/>
            </w:tcMar>
          </w:tcPr>
          <w:p>
            <w:r>
              <w:rPr>
                <w:b w:val="false"/>
                <w:bCs w:val="false"/>
                <w:sz w:val="19"/>
                <w:szCs w:val="19"/>
              </w:rPr>
              <w:t xml:space="preserve">/CCBJI/RTR_KOSTL</w:t>
            </w:r>
          </w:p>
        </w:tc>
        <w:tc>
          <w:tcPr>
            <w:tcW w:type="dxa" w:w="5426"/>
            <w:tcMar>
              <w:top w:type="dxa" w:w="60"/>
              <w:left w:type="dxa" w:w="100"/>
              <w:bottom w:type="dxa" w:w="60"/>
              <w:right w:type="dxa" w:w="100"/>
            </w:tcMar>
          </w:tcPr>
          <w:p>
            <w:r>
              <w:rPr>
                <w:b w:val="false"/>
                <w:bCs w:val="false"/>
                <w:sz w:val="19"/>
                <w:szCs w:val="19"/>
              </w:rPr>
              <w:t xml:space="preserve">Profit center used on the debit line (copied from ECC)</w:t>
            </w:r>
          </w:p>
        </w:tc>
      </w:tr>
      <w:tr>
        <w:trPr>
          <w:tblHeader w:val="false"/>
        </w:trPr>
        <w:tc>
          <w:tcPr>
            <w:tcW w:type="dxa" w:w="3600"/>
            <w:tcMar>
              <w:top w:type="dxa" w:w="60"/>
              <w:left w:type="dxa" w:w="100"/>
              <w:bottom w:type="dxa" w:w="60"/>
              <w:right w:type="dxa" w:w="100"/>
            </w:tcMar>
          </w:tcPr>
          <w:p>
            <w:r>
              <w:rPr>
                <w:b w:val="false"/>
                <w:bCs w:val="false"/>
                <w:sz w:val="19"/>
                <w:szCs w:val="19"/>
              </w:rPr>
              <w:t xml:space="preserve">/CCBJI/RTR/RECTYPE</w:t>
            </w:r>
          </w:p>
        </w:tc>
        <w:tc>
          <w:tcPr>
            <w:tcW w:type="dxa" w:w="5426"/>
            <w:tcMar>
              <w:top w:type="dxa" w:w="60"/>
              <w:left w:type="dxa" w:w="100"/>
              <w:bottom w:type="dxa" w:w="60"/>
              <w:right w:type="dxa" w:w="100"/>
            </w:tcMar>
          </w:tcPr>
          <w:p>
            <w:r>
              <w:rPr>
                <w:b w:val="false"/>
                <w:bCs w:val="false"/>
                <w:sz w:val="19"/>
                <w:szCs w:val="19"/>
              </w:rPr>
              <w:t xml:space="preserve">Record types in scope for COPA (copied from BW: 4, 6, 7, 8, 9, B)</w:t>
            </w:r>
          </w:p>
        </w:tc>
      </w:tr>
    </w:tbl>
    <w:p>
      <w:pPr>
        <w:pStyle w:val="Heading1"/>
        <w:spacing w:after="160" w:before="320"/>
      </w:pPr>
      <w:r>
        <w:rPr>
          <w:color w:val="1F4E79"/>
        </w:rPr>
        <w:t xml:space="preserve">4. Existing tables the program will use</w:t>
      </w:r>
    </w:p>
    <w:p>
      <w:pPr>
        <w:spacing w:after="120"/>
      </w:pPr>
      <w:r>
        <w:t xml:space="preserve">No changes are made to any of these tables — the program only reads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D9E2F3" w:val="clear"/>
            <w:tcMar>
              <w:top w:type="dxa" w:w="60"/>
              <w:left w:type="dxa" w:w="100"/>
              <w:bottom w:type="dxa" w:w="60"/>
              <w:right w:type="dxa" w:w="100"/>
            </w:tcMar>
          </w:tcPr>
          <w:p>
            <w:r>
              <w:rPr>
                <w:b/>
                <w:bCs/>
                <w:sz w:val="19"/>
                <w:szCs w:val="19"/>
              </w:rPr>
              <w:t xml:space="preserve">Table</w:t>
            </w:r>
          </w:p>
        </w:tc>
        <w:tc>
          <w:tcPr>
            <w:tcW w:type="dxa" w:w="6126"/>
            <w:shd w:fill="D9E2F3" w:val="clear"/>
            <w:tcMar>
              <w:top w:type="dxa" w:w="60"/>
              <w:left w:type="dxa" w:w="100"/>
              <w:bottom w:type="dxa" w:w="60"/>
              <w:right w:type="dxa" w:w="100"/>
            </w:tcMar>
          </w:tcPr>
          <w:p>
            <w:r>
              <w:rPr>
                <w:b/>
                <w:bCs/>
                <w:sz w:val="19"/>
                <w:szCs w:val="19"/>
              </w:rPr>
              <w:t xml:space="preserve">Role in the process</w:t>
            </w:r>
          </w:p>
        </w:tc>
      </w:tr>
      <w:tr>
        <w:trPr>
          <w:tblHeader w:val="false"/>
        </w:trPr>
        <w:tc>
          <w:tcPr>
            <w:tcW w:type="dxa" w:w="2900"/>
            <w:tcMar>
              <w:top w:type="dxa" w:w="60"/>
              <w:left w:type="dxa" w:w="100"/>
              <w:bottom w:type="dxa" w:w="60"/>
              <w:right w:type="dxa" w:w="100"/>
            </w:tcMar>
          </w:tcPr>
          <w:p>
            <w:r>
              <w:rPr>
                <w:b w:val="false"/>
                <w:bCs w:val="false"/>
                <w:sz w:val="19"/>
                <w:szCs w:val="19"/>
              </w:rPr>
              <w:t xml:space="preserve">ACDOCA</w:t>
            </w:r>
          </w:p>
        </w:tc>
        <w:tc>
          <w:tcPr>
            <w:tcW w:type="dxa" w:w="6126"/>
            <w:tcMar>
              <w:top w:type="dxa" w:w="60"/>
              <w:left w:type="dxa" w:w="100"/>
              <w:bottom w:type="dxa" w:w="60"/>
              <w:right w:type="dxa" w:w="100"/>
            </w:tcMar>
          </w:tcPr>
          <w:p>
            <w:r>
              <w:rPr>
                <w:b w:val="false"/>
                <w:bCs w:val="false"/>
                <w:sz w:val="19"/>
                <w:szCs w:val="19"/>
              </w:rPr>
              <w:t xml:space="preserve">The S/4 universal journal — single source of all FI and COPA postings. Replaces the BW copies.</w:t>
            </w:r>
          </w:p>
        </w:tc>
      </w:tr>
      <w:tr>
        <w:trPr>
          <w:tblHeader w:val="false"/>
        </w:trPr>
        <w:tc>
          <w:tcPr>
            <w:tcW w:type="dxa" w:w="2900"/>
            <w:tcMar>
              <w:top w:type="dxa" w:w="60"/>
              <w:left w:type="dxa" w:w="100"/>
              <w:bottom w:type="dxa" w:w="60"/>
              <w:right w:type="dxa" w:w="100"/>
            </w:tcMar>
          </w:tcPr>
          <w:p>
            <w:r>
              <w:rPr>
                <w:b w:val="false"/>
                <w:bCs w:val="false"/>
                <w:sz w:val="19"/>
                <w:szCs w:val="19"/>
              </w:rPr>
              <w:t xml:space="preserve">/CCBJI/T_MAP_GL</w:t>
            </w:r>
          </w:p>
        </w:tc>
        <w:tc>
          <w:tcPr>
            <w:tcW w:type="dxa" w:w="6126"/>
            <w:tcMar>
              <w:top w:type="dxa" w:w="60"/>
              <w:left w:type="dxa" w:w="100"/>
              <w:bottom w:type="dxa" w:w="60"/>
              <w:right w:type="dxa" w:w="100"/>
            </w:tcMar>
          </w:tcPr>
          <w:p>
            <w:r>
              <w:rPr>
                <w:b w:val="false"/>
                <w:bCs w:val="false"/>
                <w:sz w:val="19"/>
                <w:szCs w:val="19"/>
              </w:rPr>
              <w:t xml:space="preserve">Per expense G/L: the accrual (debit) and posting (credit) accounts and tax code — the heart of the posting logic. Already in S/4 with 1,358 entries.</w:t>
            </w:r>
          </w:p>
        </w:tc>
      </w:tr>
      <w:tr>
        <w:trPr>
          <w:tblHeader w:val="false"/>
        </w:trPr>
        <w:tc>
          <w:tcPr>
            <w:tcW w:type="dxa" w:w="2900"/>
            <w:tcMar>
              <w:top w:type="dxa" w:w="60"/>
              <w:left w:type="dxa" w:w="100"/>
              <w:bottom w:type="dxa" w:w="60"/>
              <w:right w:type="dxa" w:w="100"/>
            </w:tcMar>
          </w:tcPr>
          <w:p>
            <w:r>
              <w:rPr>
                <w:b w:val="false"/>
                <w:bCs w:val="false"/>
                <w:sz w:val="19"/>
                <w:szCs w:val="19"/>
              </w:rPr>
              <w:t xml:space="preserve">/CCBJI/T_SUP_FEE</w:t>
            </w:r>
          </w:p>
        </w:tc>
        <w:tc>
          <w:tcPr>
            <w:tcW w:type="dxa" w:w="6126"/>
            <w:tcMar>
              <w:top w:type="dxa" w:w="60"/>
              <w:left w:type="dxa" w:w="100"/>
              <w:bottom w:type="dxa" w:w="60"/>
              <w:right w:type="dxa" w:w="100"/>
            </w:tcMar>
          </w:tcPr>
          <w:p>
            <w:r>
              <w:rPr>
                <w:b w:val="false"/>
                <w:bCs w:val="false"/>
                <w:sz w:val="19"/>
                <w:szCs w:val="19"/>
              </w:rPr>
              <w:t xml:space="preserve">The incidence % master (rates by G/L, period, channel, bottler account, RPP category, cost center). Already in S/4 with the full history.</w:t>
            </w:r>
          </w:p>
        </w:tc>
      </w:tr>
      <w:tr>
        <w:trPr>
          <w:tblHeader w:val="false"/>
        </w:trPr>
        <w:tc>
          <w:tcPr>
            <w:tcW w:type="dxa" w:w="2900"/>
            <w:tcMar>
              <w:top w:type="dxa" w:w="60"/>
              <w:left w:type="dxa" w:w="100"/>
              <w:bottom w:type="dxa" w:w="60"/>
              <w:right w:type="dxa" w:w="100"/>
            </w:tcMar>
          </w:tcPr>
          <w:p>
            <w:r>
              <w:rPr>
                <w:b w:val="false"/>
                <w:bCs w:val="false"/>
                <w:sz w:val="19"/>
                <w:szCs w:val="19"/>
              </w:rPr>
              <w:t xml:space="preserve">/CCBJI/T_DOC_TYP</w:t>
            </w:r>
          </w:p>
        </w:tc>
        <w:tc>
          <w:tcPr>
            <w:tcW w:type="dxa" w:w="6126"/>
            <w:tcMar>
              <w:top w:type="dxa" w:w="60"/>
              <w:left w:type="dxa" w:w="100"/>
              <w:bottom w:type="dxa" w:w="60"/>
              <w:right w:type="dxa" w:w="100"/>
            </w:tcMar>
          </w:tcPr>
          <w:p>
            <w:r>
              <w:rPr>
                <w:b w:val="false"/>
                <w:bCs w:val="false"/>
                <w:sz w:val="19"/>
                <w:szCs w:val="19"/>
              </w:rPr>
              <w:t xml:space="preserve">Decides per G/L account whether a posting is treated as FI-sourced or COPA-sourced.</w:t>
            </w:r>
          </w:p>
        </w:tc>
      </w:tr>
      <w:tr>
        <w:trPr>
          <w:tblHeader w:val="false"/>
        </w:trPr>
        <w:tc>
          <w:tcPr>
            <w:tcW w:type="dxa" w:w="2900"/>
            <w:tcMar>
              <w:top w:type="dxa" w:w="60"/>
              <w:left w:type="dxa" w:w="100"/>
              <w:bottom w:type="dxa" w:w="60"/>
              <w:right w:type="dxa" w:w="100"/>
            </w:tcMar>
          </w:tcPr>
          <w:p>
            <w:r>
              <w:rPr>
                <w:b w:val="false"/>
                <w:bCs w:val="false"/>
                <w:sz w:val="19"/>
                <w:szCs w:val="19"/>
              </w:rPr>
              <w:t xml:space="preserve">/CCBJI/T_CCJCACC</w:t>
            </w:r>
          </w:p>
        </w:tc>
        <w:tc>
          <w:tcPr>
            <w:tcW w:type="dxa" w:w="6126"/>
            <w:tcMar>
              <w:top w:type="dxa" w:w="60"/>
              <w:left w:type="dxa" w:w="100"/>
              <w:bottom w:type="dxa" w:w="60"/>
              <w:right w:type="dxa" w:w="100"/>
            </w:tcMar>
          </w:tcPr>
          <w:p>
            <w:r>
              <w:rPr>
                <w:b w:val="false"/>
                <w:bCs w:val="false"/>
                <w:sz w:val="19"/>
                <w:szCs w:val="19"/>
              </w:rPr>
              <w:t xml:space="preserve">CCJC account code mapping for the reports.</w:t>
            </w:r>
          </w:p>
        </w:tc>
      </w:tr>
      <w:tr>
        <w:trPr>
          <w:tblHeader w:val="false"/>
        </w:trPr>
        <w:tc>
          <w:tcPr>
            <w:tcW w:type="dxa" w:w="2900"/>
            <w:tcMar>
              <w:top w:type="dxa" w:w="60"/>
              <w:left w:type="dxa" w:w="100"/>
              <w:bottom w:type="dxa" w:w="60"/>
              <w:right w:type="dxa" w:w="100"/>
            </w:tcMar>
          </w:tcPr>
          <w:p>
            <w:r>
              <w:rPr>
                <w:b w:val="false"/>
                <w:bCs w:val="false"/>
                <w:sz w:val="19"/>
                <w:szCs w:val="19"/>
              </w:rPr>
              <w:t xml:space="preserve">/CCEJ/TEJACC, /CCEJ/TKAMREP</w:t>
            </w:r>
          </w:p>
        </w:tc>
        <w:tc>
          <w:tcPr>
            <w:tcW w:type="dxa" w:w="6126"/>
            <w:tcMar>
              <w:top w:type="dxa" w:w="60"/>
              <w:left w:type="dxa" w:w="100"/>
              <w:bottom w:type="dxa" w:w="60"/>
              <w:right w:type="dxa" w:w="100"/>
            </w:tcMar>
          </w:tcPr>
          <w:p>
            <w:r>
              <w:rPr>
                <w:b w:val="false"/>
                <w:bCs w:val="false"/>
                <w:sz w:val="19"/>
                <w:szCs w:val="19"/>
              </w:rPr>
              <w:t xml:space="preserve">KAM representative and KAM Level-4 organisation lookup.</w:t>
            </w:r>
          </w:p>
        </w:tc>
      </w:tr>
      <w:tr>
        <w:trPr>
          <w:tblHeader w:val="false"/>
        </w:trPr>
        <w:tc>
          <w:tcPr>
            <w:tcW w:type="dxa" w:w="2900"/>
            <w:tcMar>
              <w:top w:type="dxa" w:w="60"/>
              <w:left w:type="dxa" w:w="100"/>
              <w:bottom w:type="dxa" w:w="60"/>
              <w:right w:type="dxa" w:w="100"/>
            </w:tcMar>
          </w:tcPr>
          <w:p>
            <w:r>
              <w:rPr>
                <w:b w:val="false"/>
                <w:bCs w:val="false"/>
                <w:sz w:val="19"/>
                <w:szCs w:val="19"/>
              </w:rPr>
              <w:t xml:space="preserve">/CCEJ/TZKTSD0004</w:t>
            </w:r>
          </w:p>
        </w:tc>
        <w:tc>
          <w:tcPr>
            <w:tcW w:type="dxa" w:w="6126"/>
            <w:tcMar>
              <w:top w:type="dxa" w:w="60"/>
              <w:left w:type="dxa" w:w="100"/>
              <w:bottom w:type="dxa" w:w="60"/>
              <w:right w:type="dxa" w:w="100"/>
            </w:tcMar>
          </w:tcPr>
          <w:p>
            <w:r>
              <w:rPr>
                <w:b w:val="false"/>
                <w:bCs w:val="false"/>
                <w:sz w:val="19"/>
                <w:szCs w:val="19"/>
              </w:rPr>
              <w:t xml:space="preserve">Revenue-management plant code per customer.</w:t>
            </w:r>
          </w:p>
        </w:tc>
      </w:tr>
      <w:tr>
        <w:trPr>
          <w:tblHeader w:val="false"/>
        </w:trPr>
        <w:tc>
          <w:tcPr>
            <w:tcW w:type="dxa" w:w="2900"/>
            <w:tcMar>
              <w:top w:type="dxa" w:w="60"/>
              <w:left w:type="dxa" w:w="100"/>
              <w:bottom w:type="dxa" w:w="60"/>
              <w:right w:type="dxa" w:w="100"/>
            </w:tcMar>
          </w:tcPr>
          <w:p>
            <w:r>
              <w:rPr>
                <w:b w:val="false"/>
                <w:bCs w:val="false"/>
                <w:sz w:val="19"/>
                <w:szCs w:val="19"/>
              </w:rPr>
              <w:t xml:space="preserve">/CCEJ/TRPPCATE, /CCEJ/TZKTSD0023</w:t>
            </w:r>
          </w:p>
        </w:tc>
        <w:tc>
          <w:tcPr>
            <w:tcW w:type="dxa" w:w="6126"/>
            <w:tcMar>
              <w:top w:type="dxa" w:w="60"/>
              <w:left w:type="dxa" w:w="100"/>
              <w:bottom w:type="dxa" w:w="60"/>
              <w:right w:type="dxa" w:w="100"/>
            </w:tcMar>
          </w:tcPr>
          <w:p>
            <w:r>
              <w:rPr>
                <w:b w:val="false"/>
                <w:bCs w:val="false"/>
                <w:sz w:val="19"/>
                <w:szCs w:val="19"/>
              </w:rPr>
              <w:t xml:space="preserve">RPP category and Bottler account descriptions.</w:t>
            </w:r>
          </w:p>
        </w:tc>
      </w:tr>
      <w:tr>
        <w:trPr>
          <w:tblHeader w:val="false"/>
        </w:trPr>
        <w:tc>
          <w:tcPr>
            <w:tcW w:type="dxa" w:w="2900"/>
            <w:tcMar>
              <w:top w:type="dxa" w:w="60"/>
              <w:left w:type="dxa" w:w="100"/>
              <w:bottom w:type="dxa" w:w="60"/>
              <w:right w:type="dxa" w:w="100"/>
            </w:tcMar>
          </w:tcPr>
          <w:p>
            <w:r>
              <w:rPr>
                <w:b w:val="false"/>
                <w:bCs w:val="false"/>
                <w:sz w:val="19"/>
                <w:szCs w:val="19"/>
              </w:rPr>
              <w:t xml:space="preserve">MARA, KNA1, CSKS, SKAT, CEPCT</w:t>
            </w:r>
          </w:p>
        </w:tc>
        <w:tc>
          <w:tcPr>
            <w:tcW w:type="dxa" w:w="6126"/>
            <w:tcMar>
              <w:top w:type="dxa" w:w="60"/>
              <w:left w:type="dxa" w:w="100"/>
              <w:bottom w:type="dxa" w:w="60"/>
              <w:right w:type="dxa" w:w="100"/>
            </w:tcMar>
          </w:tcPr>
          <w:p>
            <w:r>
              <w:rPr>
                <w:b w:val="false"/>
                <w:bCs w:val="false"/>
                <w:sz w:val="19"/>
                <w:szCs w:val="19"/>
              </w:rPr>
              <w:t xml:space="preserve">Standard SAP masters: material, customer, cost center, G/L and profit center texts.</w:t>
            </w:r>
          </w:p>
        </w:tc>
      </w:tr>
    </w:tbl>
    <w:p>
      <w:pPr>
        <w:pStyle w:val="Heading1"/>
        <w:spacing w:after="160" w:before="320"/>
      </w:pPr>
      <w:r>
        <w:rPr>
          <w:color w:val="1F4E79"/>
        </w:rPr>
        <w:t xml:space="preserve">5. The selection screen</w:t>
      </w:r>
    </w:p>
    <w:p>
      <w:pPr>
        <w:spacing w:after="120"/>
      </w:pPr>
      <w:r>
        <w:t xml:space="preserve">The screen keeps the familiar layout of the BW program, with three additions highlighted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D9E2F3" w:val="clear"/>
            <w:tcMar>
              <w:top w:type="dxa" w:w="60"/>
              <w:left w:type="dxa" w:w="100"/>
              <w:bottom w:type="dxa" w:w="60"/>
              <w:right w:type="dxa" w:w="100"/>
            </w:tcMar>
          </w:tcPr>
          <w:p>
            <w:r>
              <w:rPr>
                <w:b/>
                <w:bCs/>
                <w:sz w:val="19"/>
                <w:szCs w:val="19"/>
              </w:rPr>
              <w:t xml:space="preserve">Field</w:t>
            </w:r>
          </w:p>
        </w:tc>
        <w:tc>
          <w:tcPr>
            <w:tcW w:type="dxa" w:w="4200"/>
            <w:shd w:fill="D9E2F3" w:val="clear"/>
            <w:tcMar>
              <w:top w:type="dxa" w:w="60"/>
              <w:left w:type="dxa" w:w="100"/>
              <w:bottom w:type="dxa" w:w="60"/>
              <w:right w:type="dxa" w:w="100"/>
            </w:tcMar>
          </w:tcPr>
          <w:p>
            <w:r>
              <w:rPr>
                <w:b/>
                <w:bCs/>
                <w:sz w:val="19"/>
                <w:szCs w:val="19"/>
              </w:rPr>
              <w:t xml:space="preserve">Description</w:t>
            </w:r>
          </w:p>
        </w:tc>
        <w:tc>
          <w:tcPr>
            <w:tcW w:type="dxa" w:w="2126"/>
            <w:shd w:fill="D9E2F3" w:val="clear"/>
            <w:tcMar>
              <w:top w:type="dxa" w:w="60"/>
              <w:left w:type="dxa" w:w="100"/>
              <w:bottom w:type="dxa" w:w="60"/>
              <w:right w:type="dxa" w:w="100"/>
            </w:tcMar>
          </w:tcPr>
          <w:p>
            <w:r>
              <w:rPr>
                <w:b/>
                <w:bCs/>
                <w:sz w:val="19"/>
                <w:szCs w:val="19"/>
              </w:rPr>
              <w:t xml:space="preserve">New?</w:t>
            </w:r>
          </w:p>
        </w:tc>
      </w:tr>
      <w:tr>
        <w:trPr>
          <w:tblHeader w:val="false"/>
        </w:trPr>
        <w:tc>
          <w:tcPr>
            <w:tcW w:type="dxa" w:w="2700"/>
            <w:tcMar>
              <w:top w:type="dxa" w:w="60"/>
              <w:left w:type="dxa" w:w="100"/>
              <w:bottom w:type="dxa" w:w="60"/>
              <w:right w:type="dxa" w:w="100"/>
            </w:tcMar>
          </w:tcPr>
          <w:p>
            <w:r>
              <w:rPr>
                <w:b w:val="false"/>
                <w:bCs w:val="false"/>
                <w:sz w:val="19"/>
                <w:szCs w:val="19"/>
              </w:rPr>
              <w:t xml:space="preserve">Fiscal Year / Period / Company Code</w:t>
            </w:r>
          </w:p>
        </w:tc>
        <w:tc>
          <w:tcPr>
            <w:tcW w:type="dxa" w:w="4200"/>
            <w:tcMar>
              <w:top w:type="dxa" w:w="60"/>
              <w:left w:type="dxa" w:w="100"/>
              <w:bottom w:type="dxa" w:w="60"/>
              <w:right w:type="dxa" w:w="100"/>
            </w:tcMar>
          </w:tcPr>
          <w:p>
            <w:r>
              <w:rPr>
                <w:b w:val="false"/>
                <w:bCs w:val="false"/>
                <w:sz w:val="19"/>
                <w:szCs w:val="19"/>
              </w:rPr>
              <w:t xml:space="preserve">The month to process (defaults to current month)</w:t>
            </w:r>
          </w:p>
        </w:tc>
        <w:tc>
          <w:tcPr>
            <w:tcW w:type="dxa" w:w="2126"/>
            <w:tcMar>
              <w:top w:type="dxa" w:w="60"/>
              <w:left w:type="dxa" w:w="100"/>
              <w:bottom w:type="dxa" w:w="60"/>
              <w:right w:type="dxa" w:w="100"/>
            </w:tcMar>
          </w:tcPr>
          <w:p>
            <w:r>
              <w:rPr>
                <w:b w:val="false"/>
                <w:bCs w:val="false"/>
                <w:sz w:val="19"/>
                <w:szCs w:val="19"/>
              </w:rPr>
              <w:t xml:space="preserve">as before</w:t>
            </w:r>
          </w:p>
        </w:tc>
      </w:tr>
      <w:tr>
        <w:trPr>
          <w:tblHeader w:val="false"/>
        </w:trPr>
        <w:tc>
          <w:tcPr>
            <w:tcW w:type="dxa" w:w="2700"/>
            <w:tcMar>
              <w:top w:type="dxa" w:w="60"/>
              <w:left w:type="dxa" w:w="100"/>
              <w:bottom w:type="dxa" w:w="60"/>
              <w:right w:type="dxa" w:w="100"/>
            </w:tcMar>
          </w:tcPr>
          <w:p>
            <w:r>
              <w:rPr>
                <w:b w:val="false"/>
                <w:bCs w:val="false"/>
                <w:sz w:val="19"/>
                <w:szCs w:val="19"/>
              </w:rPr>
              <w:t xml:space="preserve">Document Type</w:t>
            </w:r>
          </w:p>
        </w:tc>
        <w:tc>
          <w:tcPr>
            <w:tcW w:type="dxa" w:w="4200"/>
            <w:tcMar>
              <w:top w:type="dxa" w:w="60"/>
              <w:left w:type="dxa" w:w="100"/>
              <w:bottom w:type="dxa" w:w="60"/>
              <w:right w:type="dxa" w:w="100"/>
            </w:tcMar>
          </w:tcPr>
          <w:p>
            <w:r>
              <w:rPr>
                <w:b w:val="false"/>
                <w:bCs w:val="false"/>
                <w:sz w:val="19"/>
                <w:szCs w:val="19"/>
              </w:rPr>
              <w:t xml:space="preserve">Optional filter, with search help</w:t>
            </w:r>
          </w:p>
        </w:tc>
        <w:tc>
          <w:tcPr>
            <w:tcW w:type="dxa" w:w="2126"/>
            <w:tcMar>
              <w:top w:type="dxa" w:w="60"/>
              <w:left w:type="dxa" w:w="100"/>
              <w:bottom w:type="dxa" w:w="60"/>
              <w:right w:type="dxa" w:w="100"/>
            </w:tcMar>
          </w:tcPr>
          <w:p>
            <w:r>
              <w:rPr>
                <w:b w:val="false"/>
                <w:bCs w:val="false"/>
                <w:sz w:val="19"/>
                <w:szCs w:val="19"/>
              </w:rPr>
              <w:t xml:space="preserve">as before</w:t>
            </w:r>
          </w:p>
        </w:tc>
      </w:tr>
      <w:tr>
        <w:trPr>
          <w:tblHeader w:val="false"/>
        </w:trPr>
        <w:tc>
          <w:tcPr>
            <w:tcW w:type="dxa" w:w="2700"/>
            <w:tcMar>
              <w:top w:type="dxa" w:w="60"/>
              <w:left w:type="dxa" w:w="100"/>
              <w:bottom w:type="dxa" w:w="60"/>
              <w:right w:type="dxa" w:w="100"/>
            </w:tcMar>
          </w:tcPr>
          <w:p>
            <w:r>
              <w:rPr>
                <w:b w:val="false"/>
                <w:bCs w:val="false"/>
                <w:sz w:val="19"/>
                <w:szCs w:val="19"/>
              </w:rPr>
              <w:t xml:space="preserve">G/L Account</w:t>
            </w:r>
          </w:p>
        </w:tc>
        <w:tc>
          <w:tcPr>
            <w:tcW w:type="dxa" w:w="4200"/>
            <w:tcMar>
              <w:top w:type="dxa" w:w="60"/>
              <w:left w:type="dxa" w:w="100"/>
              <w:bottom w:type="dxa" w:w="60"/>
              <w:right w:type="dxa" w:w="100"/>
            </w:tcMar>
          </w:tcPr>
          <w:p>
            <w:r>
              <w:rPr>
                <w:b w:val="false"/>
                <w:bCs w:val="false"/>
                <w:sz w:val="19"/>
                <w:szCs w:val="19"/>
              </w:rPr>
              <w:t xml:space="preserve">Optional filter on expense accounts</w:t>
            </w:r>
          </w:p>
        </w:tc>
        <w:tc>
          <w:tcPr>
            <w:tcW w:type="dxa" w:w="2126"/>
            <w:tcMar>
              <w:top w:type="dxa" w:w="60"/>
              <w:left w:type="dxa" w:w="100"/>
              <w:bottom w:type="dxa" w:w="60"/>
              <w:right w:type="dxa" w:w="100"/>
            </w:tcMar>
          </w:tcPr>
          <w:p>
            <w:r>
              <w:rPr>
                <w:b w:val="false"/>
                <w:bCs w:val="false"/>
                <w:sz w:val="19"/>
                <w:szCs w:val="19"/>
              </w:rPr>
              <w:t xml:space="preserve">as before</w:t>
            </w:r>
          </w:p>
        </w:tc>
      </w:tr>
      <w:tr>
        <w:trPr>
          <w:tblHeader w:val="false"/>
        </w:trPr>
        <w:tc>
          <w:tcPr>
            <w:tcW w:type="dxa" w:w="2700"/>
            <w:tcMar>
              <w:top w:type="dxa" w:w="60"/>
              <w:left w:type="dxa" w:w="100"/>
              <w:bottom w:type="dxa" w:w="60"/>
              <w:right w:type="dxa" w:w="100"/>
            </w:tcMar>
          </w:tcPr>
          <w:p>
            <w:r>
              <w:rPr>
                <w:b w:val="false"/>
                <w:bCs w:val="false"/>
                <w:sz w:val="19"/>
                <w:szCs w:val="19"/>
              </w:rPr>
              <w:t xml:space="preserve">RPP Channel / RPP Category / Bottler Account</w:t>
            </w:r>
          </w:p>
        </w:tc>
        <w:tc>
          <w:tcPr>
            <w:tcW w:type="dxa" w:w="4200"/>
            <w:tcMar>
              <w:top w:type="dxa" w:w="60"/>
              <w:left w:type="dxa" w:w="100"/>
              <w:bottom w:type="dxa" w:w="60"/>
              <w:right w:type="dxa" w:w="100"/>
            </w:tcMar>
          </w:tcPr>
          <w:p>
            <w:r>
              <w:rPr>
                <w:b w:val="false"/>
                <w:bCs w:val="false"/>
                <w:sz w:val="19"/>
                <w:szCs w:val="19"/>
              </w:rPr>
              <w:t xml:space="preserve">Optional filters</w:t>
            </w:r>
          </w:p>
        </w:tc>
        <w:tc>
          <w:tcPr>
            <w:tcW w:type="dxa" w:w="2126"/>
            <w:tcMar>
              <w:top w:type="dxa" w:w="60"/>
              <w:left w:type="dxa" w:w="100"/>
              <w:bottom w:type="dxa" w:w="60"/>
              <w:right w:type="dxa" w:w="100"/>
            </w:tcMar>
          </w:tcPr>
          <w:p>
            <w:r>
              <w:rPr>
                <w:b w:val="false"/>
                <w:bCs w:val="false"/>
                <w:sz w:val="19"/>
                <w:szCs w:val="19"/>
              </w:rPr>
              <w:t xml:space="preserve">as before</w:t>
            </w:r>
          </w:p>
        </w:tc>
      </w:tr>
      <w:tr>
        <w:trPr>
          <w:tblHeader w:val="false"/>
        </w:trPr>
        <w:tc>
          <w:tcPr>
            <w:tcW w:type="dxa" w:w="2700"/>
            <w:tcMar>
              <w:top w:type="dxa" w:w="60"/>
              <w:left w:type="dxa" w:w="100"/>
              <w:bottom w:type="dxa" w:w="60"/>
              <w:right w:type="dxa" w:w="100"/>
            </w:tcMar>
          </w:tcPr>
          <w:p>
            <w:r>
              <w:rPr>
                <w:b w:val="false"/>
                <w:bCs w:val="false"/>
                <w:sz w:val="19"/>
                <w:szCs w:val="19"/>
              </w:rPr>
              <w:t xml:space="preserve">Cost Center</w:t>
            </w:r>
          </w:p>
        </w:tc>
        <w:tc>
          <w:tcPr>
            <w:tcW w:type="dxa" w:w="4200"/>
            <w:tcMar>
              <w:top w:type="dxa" w:w="60"/>
              <w:left w:type="dxa" w:w="100"/>
              <w:bottom w:type="dxa" w:w="60"/>
              <w:right w:type="dxa" w:w="100"/>
            </w:tcMar>
          </w:tcPr>
          <w:p>
            <w:r>
              <w:rPr>
                <w:b w:val="false"/>
                <w:bCs w:val="false"/>
                <w:sz w:val="19"/>
                <w:szCs w:val="19"/>
              </w:rPr>
              <w:t xml:space="preserve">Optional filter on cost-center-originated postings</w:t>
            </w:r>
          </w:p>
        </w:tc>
        <w:tc>
          <w:tcPr>
            <w:tcW w:type="dxa" w:w="2126"/>
            <w:tcMar>
              <w:top w:type="dxa" w:w="60"/>
              <w:left w:type="dxa" w:w="100"/>
              <w:bottom w:type="dxa" w:w="60"/>
              <w:right w:type="dxa" w:w="100"/>
            </w:tcMar>
          </w:tcPr>
          <w:p>
            <w:r>
              <w:rPr>
                <w:b w:val="false"/>
                <w:bCs w:val="false"/>
                <w:sz w:val="19"/>
                <w:szCs w:val="19"/>
              </w:rPr>
              <w:t xml:space="preserve">NEW</w:t>
            </w:r>
          </w:p>
        </w:tc>
      </w:tr>
      <w:tr>
        <w:trPr>
          <w:tblHeader w:val="false"/>
        </w:trPr>
        <w:tc>
          <w:tcPr>
            <w:tcW w:type="dxa" w:w="2700"/>
            <w:tcMar>
              <w:top w:type="dxa" w:w="60"/>
              <w:left w:type="dxa" w:w="100"/>
              <w:bottom w:type="dxa" w:w="60"/>
              <w:right w:type="dxa" w:w="100"/>
            </w:tcMar>
          </w:tcPr>
          <w:p>
            <w:r>
              <w:rPr>
                <w:b w:val="false"/>
                <w:bCs w:val="false"/>
                <w:sz w:val="19"/>
                <w:szCs w:val="19"/>
              </w:rPr>
              <w:t xml:space="preserve">Max. records for display</w:t>
            </w:r>
          </w:p>
        </w:tc>
        <w:tc>
          <w:tcPr>
            <w:tcW w:type="dxa" w:w="4200"/>
            <w:tcMar>
              <w:top w:type="dxa" w:w="60"/>
              <w:left w:type="dxa" w:w="100"/>
              <w:bottom w:type="dxa" w:w="60"/>
              <w:right w:type="dxa" w:w="100"/>
            </w:tcMar>
          </w:tcPr>
          <w:p>
            <w:r>
              <w:rPr>
                <w:b w:val="false"/>
                <w:bCs w:val="false"/>
                <w:sz w:val="19"/>
                <w:szCs w:val="19"/>
              </w:rPr>
              <w:t xml:space="preserve">Limits list size on screen (default 20,000) — never limits posting</w:t>
            </w:r>
          </w:p>
        </w:tc>
        <w:tc>
          <w:tcPr>
            <w:tcW w:type="dxa" w:w="2126"/>
            <w:tcMar>
              <w:top w:type="dxa" w:w="60"/>
              <w:left w:type="dxa" w:w="100"/>
              <w:bottom w:type="dxa" w:w="60"/>
              <w:right w:type="dxa" w:w="100"/>
            </w:tcMar>
          </w:tcPr>
          <w:p>
            <w:r>
              <w:rPr>
                <w:b w:val="false"/>
                <w:bCs w:val="false"/>
                <w:sz w:val="19"/>
                <w:szCs w:val="19"/>
              </w:rPr>
              <w:t xml:space="preserve">as before</w:t>
            </w:r>
          </w:p>
        </w:tc>
      </w:tr>
      <w:tr>
        <w:trPr>
          <w:tblHeader w:val="false"/>
        </w:trPr>
        <w:tc>
          <w:tcPr>
            <w:tcW w:type="dxa" w:w="2700"/>
            <w:tcMar>
              <w:top w:type="dxa" w:w="60"/>
              <w:left w:type="dxa" w:w="100"/>
              <w:bottom w:type="dxa" w:w="60"/>
              <w:right w:type="dxa" w:w="100"/>
            </w:tcMar>
          </w:tcPr>
          <w:p>
            <w:r>
              <w:rPr>
                <w:b w:val="false"/>
                <w:bCs w:val="false"/>
                <w:sz w:val="19"/>
                <w:szCs w:val="19"/>
              </w:rPr>
              <w:t xml:space="preserve">Parallel sessions</w:t>
            </w:r>
          </w:p>
        </w:tc>
        <w:tc>
          <w:tcPr>
            <w:tcW w:type="dxa" w:w="4200"/>
            <w:tcMar>
              <w:top w:type="dxa" w:w="60"/>
              <w:left w:type="dxa" w:w="100"/>
              <w:bottom w:type="dxa" w:w="60"/>
              <w:right w:type="dxa" w:w="100"/>
            </w:tcMar>
          </w:tcPr>
          <w:p>
            <w:r>
              <w:rPr>
                <w:b w:val="false"/>
                <w:bCs w:val="false"/>
                <w:sz w:val="19"/>
                <w:szCs w:val="19"/>
              </w:rPr>
              <w:t xml:space="preserve">How many parallel work processes the run may use (default 4)</w:t>
            </w:r>
          </w:p>
        </w:tc>
        <w:tc>
          <w:tcPr>
            <w:tcW w:type="dxa" w:w="2126"/>
            <w:tcMar>
              <w:top w:type="dxa" w:w="60"/>
              <w:left w:type="dxa" w:w="100"/>
              <w:bottom w:type="dxa" w:w="60"/>
              <w:right w:type="dxa" w:w="100"/>
            </w:tcMar>
          </w:tcPr>
          <w:p>
            <w:r>
              <w:rPr>
                <w:b w:val="false"/>
                <w:bCs w:val="false"/>
                <w:sz w:val="19"/>
                <w:szCs w:val="19"/>
              </w:rPr>
              <w:t xml:space="preserve">NEW</w:t>
            </w:r>
          </w:p>
        </w:tc>
      </w:tr>
    </w:tbl>
    <w:p>
      <w:pPr>
        <w:pStyle w:val="Heading2"/>
        <w:spacing w:after="120" w:before="240"/>
      </w:pPr>
      <w:r>
        <w:rPr>
          <w:color w:val="1F4E79"/>
        </w:rPr>
        <w:t xml:space="preserve">Execution modes (radio 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D9E2F3" w:val="clear"/>
            <w:tcMar>
              <w:top w:type="dxa" w:w="60"/>
              <w:left w:type="dxa" w:w="100"/>
              <w:bottom w:type="dxa" w:w="60"/>
              <w:right w:type="dxa" w:w="100"/>
            </w:tcMar>
          </w:tcPr>
          <w:p>
            <w:r>
              <w:rPr>
                <w:b/>
                <w:bCs/>
                <w:sz w:val="19"/>
                <w:szCs w:val="19"/>
              </w:rPr>
              <w:t xml:space="preserve">Mode</w:t>
            </w:r>
          </w:p>
        </w:tc>
        <w:tc>
          <w:tcPr>
            <w:tcW w:type="dxa" w:w="6326"/>
            <w:shd w:fill="D9E2F3" w:val="clear"/>
            <w:tcMar>
              <w:top w:type="dxa" w:w="60"/>
              <w:left w:type="dxa" w:w="100"/>
              <w:bottom w:type="dxa" w:w="60"/>
              <w:right w:type="dxa" w:w="100"/>
            </w:tcMar>
          </w:tcPr>
          <w:p>
            <w:r>
              <w:rPr>
                <w:b/>
                <w:bCs/>
                <w:sz w:val="19"/>
                <w:szCs w:val="19"/>
              </w:rPr>
              <w:t xml:space="preserve">What it does</w:t>
            </w:r>
          </w:p>
        </w:tc>
      </w:tr>
      <w:tr>
        <w:trPr>
          <w:tblHeader w:val="false"/>
        </w:trPr>
        <w:tc>
          <w:tcPr>
            <w:tcW w:type="dxa" w:w="2700"/>
            <w:tcMar>
              <w:top w:type="dxa" w:w="60"/>
              <w:left w:type="dxa" w:w="100"/>
              <w:bottom w:type="dxa" w:w="60"/>
              <w:right w:type="dxa" w:w="100"/>
            </w:tcMar>
          </w:tcPr>
          <w:p>
            <w:r>
              <w:rPr>
                <w:b w:val="false"/>
                <w:bCs w:val="false"/>
                <w:sz w:val="19"/>
                <w:szCs w:val="19"/>
              </w:rPr>
              <w:t xml:space="preserve">Summary Report (default)</w:t>
            </w:r>
          </w:p>
        </w:tc>
        <w:tc>
          <w:tcPr>
            <w:tcW w:type="dxa" w:w="6326"/>
            <w:tcMar>
              <w:top w:type="dxa" w:w="60"/>
              <w:left w:type="dxa" w:w="100"/>
              <w:bottom w:type="dxa" w:w="60"/>
              <w:right w:type="dxa" w:w="100"/>
            </w:tcMar>
          </w:tcPr>
          <w:p>
            <w:r>
              <w:rPr>
                <w:b w:val="false"/>
                <w:bCs w:val="false"/>
                <w:sz w:val="19"/>
                <w:szCs w:val="19"/>
              </w:rPr>
              <w:t xml:space="preserve">Aggregated view of calculated fees</w:t>
            </w:r>
          </w:p>
        </w:tc>
      </w:tr>
      <w:tr>
        <w:trPr>
          <w:tblHeader w:val="false"/>
        </w:trPr>
        <w:tc>
          <w:tcPr>
            <w:tcW w:type="dxa" w:w="2700"/>
            <w:tcMar>
              <w:top w:type="dxa" w:w="60"/>
              <w:left w:type="dxa" w:w="100"/>
              <w:bottom w:type="dxa" w:w="60"/>
              <w:right w:type="dxa" w:w="100"/>
            </w:tcMar>
          </w:tcPr>
          <w:p>
            <w:r>
              <w:rPr>
                <w:b w:val="false"/>
                <w:bCs w:val="false"/>
                <w:sz w:val="19"/>
                <w:szCs w:val="19"/>
              </w:rPr>
              <w:t xml:space="preserve">Detail Report</w:t>
            </w:r>
          </w:p>
        </w:tc>
        <w:tc>
          <w:tcPr>
            <w:tcW w:type="dxa" w:w="6326"/>
            <w:tcMar>
              <w:top w:type="dxa" w:w="60"/>
              <w:left w:type="dxa" w:w="100"/>
              <w:bottom w:type="dxa" w:w="60"/>
              <w:right w:type="dxa" w:w="100"/>
            </w:tcMar>
          </w:tcPr>
          <w:p>
            <w:r>
              <w:rPr>
                <w:b w:val="false"/>
                <w:bCs w:val="false"/>
                <w:sz w:val="19"/>
                <w:szCs w:val="19"/>
              </w:rPr>
              <w:t xml:space="preserve">Line-level view with all derivation fields</w:t>
            </w:r>
          </w:p>
        </w:tc>
      </w:tr>
      <w:tr>
        <w:trPr>
          <w:tblHeader w:val="false"/>
        </w:trPr>
        <w:tc>
          <w:tcPr>
            <w:tcW w:type="dxa" w:w="2700"/>
            <w:tcMar>
              <w:top w:type="dxa" w:w="60"/>
              <w:left w:type="dxa" w:w="100"/>
              <w:bottom w:type="dxa" w:w="60"/>
              <w:right w:type="dxa" w:w="100"/>
            </w:tcMar>
          </w:tcPr>
          <w:p>
            <w:r>
              <w:rPr>
                <w:b w:val="false"/>
                <w:bCs w:val="false"/>
                <w:sz w:val="19"/>
                <w:szCs w:val="19"/>
              </w:rPr>
              <w:t xml:space="preserve">Monthly Report</w:t>
            </w:r>
          </w:p>
        </w:tc>
        <w:tc>
          <w:tcPr>
            <w:tcW w:type="dxa" w:w="6326"/>
            <w:tcMar>
              <w:top w:type="dxa" w:w="60"/>
              <w:left w:type="dxa" w:w="100"/>
              <w:bottom w:type="dxa" w:w="60"/>
              <w:right w:type="dxa" w:w="100"/>
            </w:tcMar>
          </w:tcPr>
          <w:p>
            <w:r>
              <w:rPr>
                <w:b w:val="false"/>
                <w:bCs w:val="false"/>
                <w:sz w:val="19"/>
                <w:szCs w:val="19"/>
              </w:rPr>
              <w:t xml:space="preserve">Month layout as in BW today</w:t>
            </w:r>
          </w:p>
        </w:tc>
      </w:tr>
      <w:tr>
        <w:trPr>
          <w:tblHeader w:val="false"/>
        </w:trPr>
        <w:tc>
          <w:tcPr>
            <w:tcW w:type="dxa" w:w="2700"/>
            <w:tcMar>
              <w:top w:type="dxa" w:w="60"/>
              <w:left w:type="dxa" w:w="100"/>
              <w:bottom w:type="dxa" w:w="60"/>
              <w:right w:type="dxa" w:w="100"/>
            </w:tcMar>
          </w:tcPr>
          <w:p>
            <w:r>
              <w:rPr>
                <w:b w:val="false"/>
                <w:bCs w:val="false"/>
                <w:sz w:val="19"/>
                <w:szCs w:val="19"/>
              </w:rPr>
              <w:t xml:space="preserve">JC Audit Report</w:t>
            </w:r>
          </w:p>
        </w:tc>
        <w:tc>
          <w:tcPr>
            <w:tcW w:type="dxa" w:w="6326"/>
            <w:tcMar>
              <w:top w:type="dxa" w:w="60"/>
              <w:left w:type="dxa" w:w="100"/>
              <w:bottom w:type="dxa" w:w="60"/>
              <w:right w:type="dxa" w:w="100"/>
            </w:tcMar>
          </w:tcPr>
          <w:p>
            <w:r>
              <w:rPr>
                <w:b w:val="false"/>
                <w:bCs w:val="false"/>
                <w:sz w:val="19"/>
                <w:szCs w:val="19"/>
              </w:rPr>
              <w:t xml:space="preserve">Audit layout as in BW today</w:t>
            </w:r>
          </w:p>
        </w:tc>
      </w:tr>
      <w:tr>
        <w:trPr>
          <w:tblHeader w:val="false"/>
        </w:trPr>
        <w:tc>
          <w:tcPr>
            <w:tcW w:type="dxa" w:w="2700"/>
            <w:tcMar>
              <w:top w:type="dxa" w:w="60"/>
              <w:left w:type="dxa" w:w="100"/>
              <w:bottom w:type="dxa" w:w="60"/>
              <w:right w:type="dxa" w:w="100"/>
            </w:tcMar>
          </w:tcPr>
          <w:p>
            <w:r>
              <w:rPr>
                <w:b w:val="false"/>
                <w:bCs w:val="false"/>
                <w:sz w:val="19"/>
                <w:szCs w:val="19"/>
              </w:rPr>
              <w:t xml:space="preserve">Simulation  (NEW)</w:t>
            </w:r>
          </w:p>
        </w:tc>
        <w:tc>
          <w:tcPr>
            <w:tcW w:type="dxa" w:w="6326"/>
            <w:tcMar>
              <w:top w:type="dxa" w:w="60"/>
              <w:left w:type="dxa" w:w="100"/>
              <w:bottom w:type="dxa" w:w="60"/>
              <w:right w:type="dxa" w:w="100"/>
            </w:tcMar>
          </w:tcPr>
          <w:p>
            <w:r>
              <w:rPr>
                <w:b w:val="false"/>
                <w:bCs w:val="false"/>
                <w:sz w:val="19"/>
                <w:szCs w:val="19"/>
              </w:rPr>
              <w:t xml:space="preserve">Full dry run — shows the documents that would be posted, posts nothing</w:t>
            </w:r>
          </w:p>
        </w:tc>
      </w:tr>
      <w:tr>
        <w:trPr>
          <w:tblHeader w:val="false"/>
        </w:trPr>
        <w:tc>
          <w:tcPr>
            <w:tcW w:type="dxa" w:w="2700"/>
            <w:tcMar>
              <w:top w:type="dxa" w:w="60"/>
              <w:left w:type="dxa" w:w="100"/>
              <w:bottom w:type="dxa" w:w="60"/>
              <w:right w:type="dxa" w:w="100"/>
            </w:tcMar>
          </w:tcPr>
          <w:p>
            <w:r>
              <w:rPr>
                <w:b w:val="false"/>
                <w:bCs w:val="false"/>
                <w:sz w:val="19"/>
                <w:szCs w:val="19"/>
              </w:rPr>
              <w:t xml:space="preserve">Posting</w:t>
            </w:r>
          </w:p>
        </w:tc>
        <w:tc>
          <w:tcPr>
            <w:tcW w:type="dxa" w:w="6326"/>
            <w:tcMar>
              <w:top w:type="dxa" w:w="60"/>
              <w:left w:type="dxa" w:w="100"/>
              <w:bottom w:type="dxa" w:w="60"/>
              <w:right w:type="dxa" w:w="100"/>
            </w:tcMar>
          </w:tcPr>
          <w:p>
            <w:r>
              <w:rPr>
                <w:b w:val="false"/>
                <w:bCs w:val="false"/>
                <w:sz w:val="19"/>
                <w:szCs w:val="19"/>
              </w:rPr>
              <w:t xml:space="preserve">Creates the FI documents and COPA information, with result log</w:t>
            </w:r>
          </w:p>
        </w:tc>
      </w:tr>
    </w:tbl>
    <w:p>
      <w:pPr>
        <w:pStyle w:val="Heading1"/>
        <w:spacing w:after="160" w:before="320"/>
      </w:pPr>
      <w:r>
        <w:rPr>
          <w:color w:val="1F4E79"/>
        </w:rPr>
        <w:t xml:space="preserve">6. How the program works inside</w:t>
      </w:r>
    </w:p>
    <w:p>
      <w:pPr>
        <w:pStyle w:val="ListParagraph"/>
        <w:numPr>
          <w:ilvl w:val="0"/>
          <w:numId w:val="2"/>
        </w:numPr>
        <w:spacing w:after="80"/>
      </w:pPr>
      <w:r>
        <w:t xml:space="preserve">Read settings and masters — all configuration and master tables are read once, up front.</w:t>
      </w:r>
    </w:p>
    <w:p>
      <w:pPr>
        <w:pStyle w:val="ListParagraph"/>
        <w:numPr>
          <w:ilvl w:val="0"/>
          <w:numId w:val="2"/>
        </w:numPr>
        <w:spacing w:after="80"/>
      </w:pPr>
      <w:r>
        <w:t xml:space="preserve">Select from ACDOCA — the program asks the database for already-summarised totals (by document, account, cost center, profitability fields). The database returns compact results instead of millions of raw lines.</w:t>
      </w:r>
    </w:p>
    <w:p>
      <w:pPr>
        <w:pStyle w:val="ListParagraph"/>
        <w:numPr>
          <w:ilvl w:val="0"/>
          <w:numId w:val="2"/>
        </w:numPr>
        <w:spacing w:after="80"/>
      </w:pPr>
      <w:r>
        <w:t xml:space="preserve">Classify — each result line is tagged: FI-source or COPA-source, and its G/L type (50% / CokeON / Other).</w:t>
      </w:r>
    </w:p>
    <w:p>
      <w:pPr>
        <w:pStyle w:val="ListParagraph"/>
        <w:numPr>
          <w:ilvl w:val="0"/>
          <w:numId w:val="2"/>
        </w:numPr>
        <w:spacing w:after="80"/>
      </w:pPr>
      <w:r>
        <w:t xml:space="preserve">Derive — profit center (KAM Level-4 mapping, sender-cost-center rule, or the line’s own profit center), brand, packaging, plant and channel are determined.</w:t>
      </w:r>
    </w:p>
    <w:p>
      <w:pPr>
        <w:pStyle w:val="ListParagraph"/>
        <w:numPr>
          <w:ilvl w:val="0"/>
          <w:numId w:val="2"/>
        </w:numPr>
        <w:spacing w:after="80"/>
      </w:pPr>
      <w:r>
        <w:t xml:space="preserve">Calculate — the incidence % is found using the rule ladder (fixed rates first, then category, cost-center, bottler+channel, channel, account level). Fee = cost × % ÷ 100, rounded to whole Yen.</w:t>
      </w:r>
    </w:p>
    <w:p>
      <w:pPr>
        <w:pStyle w:val="ListParagraph"/>
        <w:numPr>
          <w:ilvl w:val="0"/>
          <w:numId w:val="2"/>
        </w:numPr>
        <w:spacing w:after="80"/>
      </w:pPr>
      <w:r>
        <w:t xml:space="preserve">Show or post — reports show the result; Posting mode builds the documents: one document per credit-account group, maximum 400 lines each, with debit line, credit lines and tax lines, and posts them one by one with a full log.</w:t>
      </w:r>
    </w:p>
    <w:p>
      <w:pPr>
        <w:pStyle w:val="Heading1"/>
        <w:spacing w:after="160" w:before="320"/>
      </w:pPr>
      <w:r>
        <w:rPr>
          <w:color w:val="1F4E79"/>
        </w:rPr>
        <w:t xml:space="preserve">7. How performance is handled</w:t>
      </w:r>
    </w:p>
    <w:p>
      <w:pPr>
        <w:spacing w:after="120"/>
      </w:pPr>
      <w:r>
        <w:t xml:space="preserve">The data volume is large — a single period can hold over 100 million journal lines. The design deals with this in three ways:</w:t>
      </w:r>
    </w:p>
    <w:p>
      <w:pPr>
        <w:pStyle w:val="ListParagraph"/>
        <w:numPr>
          <w:ilvl w:val="0"/>
          <w:numId w:val="3"/>
        </w:numPr>
        <w:spacing w:after="60"/>
      </w:pPr>
      <w:r>
        <w:t xml:space="preserve">The database does the heavy lifting. The program never downloads raw lines; it lets the HANA database aggregate first and only receives summarised results. This is the single biggest difference from the old program, which repeatedly ran into memory dumps.</w:t>
      </w:r>
    </w:p>
    <w:p>
      <w:pPr>
        <w:pStyle w:val="ListParagraph"/>
        <w:numPr>
          <w:ilvl w:val="0"/>
          <w:numId w:val="3"/>
        </w:numPr>
        <w:spacing w:after="60"/>
      </w:pPr>
      <w:r>
        <w:t xml:space="preserve">Parallel processing. The workload is split into packages (by document type and account group) and processed in several parallel sessions. The user chooses how many on the selection screen (default 4), so a quick daytime check can run small while the month-end run uses full power.</w:t>
      </w:r>
    </w:p>
    <w:p>
      <w:pPr>
        <w:pStyle w:val="ListParagraph"/>
        <w:numPr>
          <w:ilvl w:val="0"/>
          <w:numId w:val="3"/>
        </w:numPr>
        <w:spacing w:after="60"/>
      </w:pPr>
      <w:r>
        <w:t xml:space="preserve">Lean memory usage. Master data is read once into indexed internal tables; lookups use fast binary searches; the display limit protects the screen list without ever cutting posting totals.</w:t>
      </w:r>
    </w:p>
    <w:p>
      <w:pPr>
        <w:pStyle w:val="Heading1"/>
        <w:spacing w:after="160" w:before="320"/>
      </w:pPr>
      <w:r>
        <w:rPr>
          <w:color w:val="1F4E79"/>
        </w:rPr>
        <w:t xml:space="preserve">8. Safety features</w:t>
      </w:r>
    </w:p>
    <w:p>
      <w:pPr>
        <w:pStyle w:val="ListParagraph"/>
        <w:numPr>
          <w:ilvl w:val="0"/>
          <w:numId w:val="3"/>
        </w:numPr>
        <w:spacing w:after="60"/>
      </w:pPr>
      <w:r>
        <w:t xml:space="preserve">Simulation first — month-end can be fully rehearsed with zero risk; the old file-based process had no preview at all.</w:t>
      </w:r>
    </w:p>
    <w:p>
      <w:pPr>
        <w:pStyle w:val="ListParagraph"/>
        <w:numPr>
          <w:ilvl w:val="0"/>
          <w:numId w:val="3"/>
        </w:numPr>
        <w:spacing w:after="60"/>
      </w:pPr>
      <w:r>
        <w:t xml:space="preserve">Double-posting protection — the program checks whether support-fee documents already exist for the month and stops with a warning (override possible deliberately).</w:t>
      </w:r>
    </w:p>
    <w:p>
      <w:pPr>
        <w:pStyle w:val="ListParagraph"/>
        <w:numPr>
          <w:ilvl w:val="0"/>
          <w:numId w:val="3"/>
        </w:numPr>
        <w:spacing w:after="60"/>
      </w:pPr>
      <w:r>
        <w:t xml:space="preserve">Document-by-document posting — one faulty document does not block the others; the log shows exactly what was posted and what failed and why.</w:t>
      </w:r>
    </w:p>
    <w:p>
      <w:pPr>
        <w:pStyle w:val="ListParagraph"/>
        <w:numPr>
          <w:ilvl w:val="0"/>
          <w:numId w:val="3"/>
        </w:numPr>
        <w:spacing w:after="60"/>
      </w:pPr>
      <w:r>
        <w:t xml:space="preserve">All rates and accounts in configuration — the 50% rate, vending rate, debit account and profit center are settings, not program code. Changes need no development.</w:t>
      </w:r>
    </w:p>
    <w:p>
      <w:pPr>
        <w:pStyle w:val="Heading1"/>
        <w:spacing w:after="160" w:before="320"/>
      </w:pPr>
      <w:r>
        <w:rPr>
          <w:color w:val="1F4E79"/>
        </w:rPr>
        <w:t xml:space="preserve">9. What we still need from the business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626"/>
      </w:tblGrid>
      <w:tr>
        <w:trPr>
          <w:tblHeader/>
        </w:trPr>
        <w:tc>
          <w:tcPr>
            <w:tcW w:type="dxa" w:w="600"/>
            <w:shd w:fill="D9E2F3" w:val="clear"/>
            <w:tcMar>
              <w:top w:type="dxa" w:w="60"/>
              <w:left w:type="dxa" w:w="100"/>
              <w:bottom w:type="dxa" w:w="60"/>
              <w:right w:type="dxa" w:w="100"/>
            </w:tcMar>
          </w:tcPr>
          <w:p>
            <w:r>
              <w:rPr>
                <w:b/>
                <w:bCs/>
                <w:sz w:val="19"/>
                <w:szCs w:val="19"/>
              </w:rPr>
              <w:t xml:space="preserve">#</w:t>
            </w:r>
          </w:p>
        </w:tc>
        <w:tc>
          <w:tcPr>
            <w:tcW w:type="dxa" w:w="5800"/>
            <w:shd w:fill="D9E2F3" w:val="clear"/>
            <w:tcMar>
              <w:top w:type="dxa" w:w="60"/>
              <w:left w:type="dxa" w:w="100"/>
              <w:bottom w:type="dxa" w:w="60"/>
              <w:right w:type="dxa" w:w="100"/>
            </w:tcMar>
          </w:tcPr>
          <w:p>
            <w:r>
              <w:rPr>
                <w:b/>
                <w:bCs/>
                <w:sz w:val="19"/>
                <w:szCs w:val="19"/>
              </w:rPr>
              <w:t xml:space="preserve">Item</w:t>
            </w:r>
          </w:p>
        </w:tc>
        <w:tc>
          <w:tcPr>
            <w:tcW w:type="dxa" w:w="2626"/>
            <w:shd w:fill="D9E2F3" w:val="clear"/>
            <w:tcMar>
              <w:top w:type="dxa" w:w="60"/>
              <w:left w:type="dxa" w:w="100"/>
              <w:bottom w:type="dxa" w:w="60"/>
              <w:right w:type="dxa" w:w="100"/>
            </w:tcMar>
          </w:tcPr>
          <w:p>
            <w:r>
              <w:rPr>
                <w:b/>
                <w:bCs/>
                <w:sz w:val="19"/>
                <w:szCs w:val="19"/>
              </w:rPr>
              <w:t xml:space="preserve">Needed for</w:t>
            </w:r>
          </w:p>
        </w:tc>
      </w:tr>
      <w:tr>
        <w:trPr>
          <w:tblHeader w:val="false"/>
        </w:trPr>
        <w:tc>
          <w:tcPr>
            <w:tcW w:type="dxa" w:w="600"/>
            <w:tcMar>
              <w:top w:type="dxa" w:w="60"/>
              <w:left w:type="dxa" w:w="100"/>
              <w:bottom w:type="dxa" w:w="60"/>
              <w:right w:type="dxa" w:w="100"/>
            </w:tcMar>
          </w:tcPr>
          <w:p>
            <w:r>
              <w:rPr>
                <w:b w:val="false"/>
                <w:bCs w:val="false"/>
                <w:sz w:val="19"/>
                <w:szCs w:val="19"/>
              </w:rPr>
              <w:t xml:space="preserve">1</w:t>
            </w:r>
          </w:p>
        </w:tc>
        <w:tc>
          <w:tcPr>
            <w:tcW w:type="dxa" w:w="5800"/>
            <w:tcMar>
              <w:top w:type="dxa" w:w="60"/>
              <w:left w:type="dxa" w:w="100"/>
              <w:bottom w:type="dxa" w:w="60"/>
              <w:right w:type="dxa" w:w="100"/>
            </w:tcMar>
          </w:tcPr>
          <w:p>
            <w:r>
              <w:rPr>
                <w:b w:val="false"/>
                <w:bCs w:val="false"/>
                <w:sz w:val="19"/>
                <w:szCs w:val="19"/>
              </w:rPr>
              <w:t xml:space="preserve">List of "50% Support" G/L accounts and "CokeON cost" G/L accounts (for the new classification table)</w:t>
            </w:r>
          </w:p>
        </w:tc>
        <w:tc>
          <w:tcPr>
            <w:tcW w:type="dxa" w:w="2626"/>
            <w:tcMar>
              <w:top w:type="dxa" w:w="60"/>
              <w:left w:type="dxa" w:w="100"/>
              <w:bottom w:type="dxa" w:w="60"/>
              <w:right w:type="dxa" w:w="100"/>
            </w:tcMar>
          </w:tcPr>
          <w:p>
            <w:r>
              <w:rPr>
                <w:b w:val="false"/>
                <w:bCs w:val="false"/>
                <w:sz w:val="19"/>
                <w:szCs w:val="19"/>
              </w:rPr>
              <w:t xml:space="preserve">New fixed-rate rules</w:t>
            </w:r>
          </w:p>
        </w:tc>
      </w:tr>
      <w:tr>
        <w:trPr>
          <w:tblHeader w:val="false"/>
        </w:trPr>
        <w:tc>
          <w:tcPr>
            <w:tcW w:type="dxa" w:w="600"/>
            <w:tcMar>
              <w:top w:type="dxa" w:w="60"/>
              <w:left w:type="dxa" w:w="100"/>
              <w:bottom w:type="dxa" w:w="60"/>
              <w:right w:type="dxa" w:w="100"/>
            </w:tcMar>
          </w:tcPr>
          <w:p>
            <w:r>
              <w:rPr>
                <w:b w:val="false"/>
                <w:bCs w:val="false"/>
                <w:sz w:val="19"/>
                <w:szCs w:val="19"/>
              </w:rPr>
              <w:t xml:space="preserve">2</w:t>
            </w:r>
          </w:p>
        </w:tc>
        <w:tc>
          <w:tcPr>
            <w:tcW w:type="dxa" w:w="5800"/>
            <w:tcMar>
              <w:top w:type="dxa" w:w="60"/>
              <w:left w:type="dxa" w:w="100"/>
              <w:bottom w:type="dxa" w:w="60"/>
              <w:right w:type="dxa" w:w="100"/>
            </w:tcMar>
          </w:tcPr>
          <w:p>
            <w:r>
              <w:rPr>
                <w:b w:val="false"/>
                <w:bCs w:val="false"/>
                <w:sz w:val="19"/>
                <w:szCs w:val="19"/>
              </w:rPr>
              <w:t xml:space="preserve">The vending-channel % for CokeON accounts</w:t>
            </w:r>
          </w:p>
        </w:tc>
        <w:tc>
          <w:tcPr>
            <w:tcW w:type="dxa" w:w="2626"/>
            <w:tcMar>
              <w:top w:type="dxa" w:w="60"/>
              <w:left w:type="dxa" w:w="100"/>
              <w:bottom w:type="dxa" w:w="60"/>
              <w:right w:type="dxa" w:w="100"/>
            </w:tcMar>
          </w:tcPr>
          <w:p>
            <w:r>
              <w:rPr>
                <w:b w:val="false"/>
                <w:bCs w:val="false"/>
                <w:sz w:val="19"/>
                <w:szCs w:val="19"/>
              </w:rPr>
              <w:t xml:space="preserve">New fixed-rate rules</w:t>
            </w:r>
          </w:p>
        </w:tc>
      </w:tr>
      <w:tr>
        <w:trPr>
          <w:tblHeader w:val="false"/>
        </w:trPr>
        <w:tc>
          <w:tcPr>
            <w:tcW w:type="dxa" w:w="600"/>
            <w:tcMar>
              <w:top w:type="dxa" w:w="60"/>
              <w:left w:type="dxa" w:w="100"/>
              <w:bottom w:type="dxa" w:w="60"/>
              <w:right w:type="dxa" w:w="100"/>
            </w:tcMar>
          </w:tcPr>
          <w:p>
            <w:r>
              <w:rPr>
                <w:b w:val="false"/>
                <w:bCs w:val="false"/>
                <w:sz w:val="19"/>
                <w:szCs w:val="19"/>
              </w:rPr>
              <w:t xml:space="preserve">3</w:t>
            </w:r>
          </w:p>
        </w:tc>
        <w:tc>
          <w:tcPr>
            <w:tcW w:type="dxa" w:w="5800"/>
            <w:tcMar>
              <w:top w:type="dxa" w:w="60"/>
              <w:left w:type="dxa" w:w="100"/>
              <w:bottom w:type="dxa" w:w="60"/>
              <w:right w:type="dxa" w:w="100"/>
            </w:tcMar>
          </w:tcPr>
          <w:p>
            <w:r>
              <w:rPr>
                <w:b w:val="false"/>
                <w:bCs w:val="false"/>
                <w:sz w:val="19"/>
                <w:szCs w:val="19"/>
              </w:rPr>
              <w:t xml:space="preserve">Classification of RPP categories (Other / Adjacent / Specific)</w:t>
            </w:r>
          </w:p>
        </w:tc>
        <w:tc>
          <w:tcPr>
            <w:tcW w:type="dxa" w:w="2626"/>
            <w:tcMar>
              <w:top w:type="dxa" w:w="60"/>
              <w:left w:type="dxa" w:w="100"/>
              <w:bottom w:type="dxa" w:w="60"/>
              <w:right w:type="dxa" w:w="100"/>
            </w:tcMar>
          </w:tcPr>
          <w:p>
            <w:r>
              <w:rPr>
                <w:b w:val="false"/>
                <w:bCs w:val="false"/>
                <w:sz w:val="19"/>
                <w:szCs w:val="19"/>
              </w:rPr>
              <w:t xml:space="preserve">New category rules</w:t>
            </w:r>
          </w:p>
        </w:tc>
      </w:tr>
      <w:tr>
        <w:trPr>
          <w:tblHeader w:val="false"/>
        </w:trPr>
        <w:tc>
          <w:tcPr>
            <w:tcW w:type="dxa" w:w="600"/>
            <w:tcMar>
              <w:top w:type="dxa" w:w="60"/>
              <w:left w:type="dxa" w:w="100"/>
              <w:bottom w:type="dxa" w:w="60"/>
              <w:right w:type="dxa" w:w="100"/>
            </w:tcMar>
          </w:tcPr>
          <w:p>
            <w:r>
              <w:rPr>
                <w:b w:val="false"/>
                <w:bCs w:val="false"/>
                <w:sz w:val="19"/>
                <w:szCs w:val="19"/>
              </w:rPr>
              <w:t xml:space="preserve">4</w:t>
            </w:r>
          </w:p>
        </w:tc>
        <w:tc>
          <w:tcPr>
            <w:tcW w:type="dxa" w:w="5800"/>
            <w:tcMar>
              <w:top w:type="dxa" w:w="60"/>
              <w:left w:type="dxa" w:w="100"/>
              <w:bottom w:type="dxa" w:w="60"/>
              <w:right w:type="dxa" w:w="100"/>
            </w:tcMar>
          </w:tcPr>
          <w:p>
            <w:r>
              <w:rPr>
                <w:b w:val="false"/>
                <w:bCs w:val="false"/>
                <w:sz w:val="19"/>
                <w:szCs w:val="19"/>
              </w:rPr>
              <w:t xml:space="preserve">Confirmation of one past month’s figures for reconciliation testing</w:t>
            </w:r>
          </w:p>
        </w:tc>
        <w:tc>
          <w:tcPr>
            <w:tcW w:type="dxa" w:w="2626"/>
            <w:tcMar>
              <w:top w:type="dxa" w:w="60"/>
              <w:left w:type="dxa" w:w="100"/>
              <w:bottom w:type="dxa" w:w="60"/>
              <w:right w:type="dxa" w:w="100"/>
            </w:tcMar>
          </w:tcPr>
          <w:p>
            <w:r>
              <w:rPr>
                <w:b w:val="false"/>
                <w:bCs w:val="false"/>
                <w:sz w:val="19"/>
                <w:szCs w:val="19"/>
              </w:rPr>
              <w:t xml:space="preserve">Go-live sign-off</w:t>
            </w:r>
          </w:p>
        </w:tc>
      </w:tr>
    </w:tbl>
    <w:p>
      <w:pPr>
        <w:spacing w:after="120"/>
      </w:pPr>
      <w:r>
        <w:t xml:space="preserve"/>
      </w:r>
    </w:p>
    <w:p>
      <w:pPr>
        <w:spacing w:after="120"/>
      </w:pPr>
      <w:r>
        <w:rPr>
          <w:i/>
          <w:iCs/>
        </w:rPr>
        <w:t xml:space="preserve">Until items 1–3 are provided, the program simply applies the same rules as the current BW process — the new rules switch on automatically once the tables are filled.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30"/>
      <w:szCs w:val="30"/>
    </w:rPr>
  </w:style>
  <w:style w:type="paragraph" w:styleId="Heading2">
    <w:name w:val="Heading 2"/>
    <w:basedOn w:val="Normal"/>
    <w:next w:val="Normal"/>
    <w:qFormat/>
    <w:rPr>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2026-07-28T10:51:55.470Z</dcterms:created>
  <dcterms:modified xsi:type="dcterms:W3CDTF">2026-07-28T10:51:55.470Z</dcterms:modified>
</cp:coreProperties>
</file>

<file path=docProps/custom.xml><?xml version="1.0" encoding="utf-8"?>
<Properties xmlns="http://schemas.openxmlformats.org/officeDocument/2006/custom-properties" xmlns:vt="http://schemas.openxmlformats.org/officeDocument/2006/docPropsVTypes"/>
</file>