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4"/>
        </w:rPr>
        <w:t>CIS 2026-27 — Configuration Table Maintenance</w:t>
      </w:r>
    </w:p>
    <w:p>
      <w:pPr>
        <w:jc w:val="center"/>
      </w:pPr>
      <w:r>
        <w:rPr>
          <w:color w:val="555555"/>
          <w:sz w:val="22"/>
        </w:rPr>
        <w:t>Why business maintenance is required and how it is performed (SM30)</w:t>
      </w:r>
    </w:p>
    <w:p/>
    <w:tbl>
      <w:tblPr>
        <w:tblStyle w:val="TableGrid"/>
        <w:tblW w:type="auto" w:w="0"/>
        <w:jc w:val="center"/>
        <w:tblLook w:firstColumn="1" w:firstRow="1" w:lastColumn="0" w:lastRow="0" w:noHBand="0" w:noVBand="1" w:val="04A0"/>
      </w:tblPr>
      <w:tblGrid>
        <w:gridCol w:w="4320"/>
        <w:gridCol w:w="4320"/>
      </w:tblGrid>
      <w:tr>
        <w:tc>
          <w:tcPr>
            <w:tcW w:type="dxa" w:w="2736"/>
            <w:shd w:val="clear" w:fill="1F3864"/>
          </w:tcPr>
          <w:p>
            <w:r/>
            <w:r>
              <w:rPr>
                <w:b/>
                <w:color w:val="FFFFFF"/>
                <w:sz w:val="19"/>
              </w:rPr>
              <w:t>Field</w:t>
            </w:r>
          </w:p>
        </w:tc>
        <w:tc>
          <w:tcPr>
            <w:tcW w:type="dxa" w:w="6624"/>
            <w:shd w:val="clear" w:fill="1F3864"/>
          </w:tcPr>
          <w:p>
            <w:r/>
            <w:r>
              <w:rPr>
                <w:b/>
                <w:color w:val="FFFFFF"/>
                <w:sz w:val="19"/>
              </w:rPr>
              <w:t>Detail</w:t>
            </w:r>
          </w:p>
        </w:tc>
      </w:tr>
      <w:tr>
        <w:tc>
          <w:tcPr>
            <w:tcW w:type="dxa" w:w="2736"/>
          </w:tcPr>
          <w:p>
            <w:r/>
            <w:r>
              <w:rPr>
                <w:b w:val="0"/>
                <w:sz w:val="19"/>
              </w:rPr>
              <w:t>Document Purpose</w:t>
            </w:r>
          </w:p>
        </w:tc>
        <w:tc>
          <w:tcPr>
            <w:tcW w:type="dxa" w:w="6624"/>
          </w:tcPr>
          <w:p>
            <w:r/>
            <w:r>
              <w:rPr>
                <w:b w:val="0"/>
                <w:sz w:val="19"/>
              </w:rPr>
              <w:t>Explain the purpose of the new CIS configuration tables and how the business maintains them</w:t>
            </w:r>
          </w:p>
        </w:tc>
      </w:tr>
      <w:tr>
        <w:tc>
          <w:tcPr>
            <w:tcW w:type="dxa" w:w="2736"/>
            <w:shd w:val="clear" w:fill="F2F5FA"/>
          </w:tcPr>
          <w:p>
            <w:r/>
            <w:r>
              <w:rPr>
                <w:b w:val="0"/>
                <w:sz w:val="19"/>
              </w:rPr>
              <w:t>Scheme</w:t>
            </w:r>
          </w:p>
        </w:tc>
        <w:tc>
          <w:tcPr>
            <w:tcW w:type="dxa" w:w="6624"/>
            <w:shd w:val="clear" w:fill="F2F5FA"/>
          </w:tcPr>
          <w:p>
            <w:r/>
            <w:r>
              <w:rPr>
                <w:b w:val="0"/>
                <w:sz w:val="19"/>
              </w:rPr>
              <w:t>Commitment Incentive Scheme (CIS) 2026-27</w:t>
            </w:r>
          </w:p>
        </w:tc>
      </w:tr>
      <w:tr>
        <w:tc>
          <w:tcPr>
            <w:tcW w:type="dxa" w:w="2736"/>
          </w:tcPr>
          <w:p>
            <w:r/>
            <w:r>
              <w:rPr>
                <w:b w:val="0"/>
                <w:sz w:val="19"/>
              </w:rPr>
              <w:t>Reference Program</w:t>
            </w:r>
          </w:p>
        </w:tc>
        <w:tc>
          <w:tcPr>
            <w:tcW w:type="dxa" w:w="6624"/>
          </w:tcPr>
          <w:p>
            <w:r/>
            <w:r>
              <w:rPr>
                <w:b w:val="0"/>
                <w:sz w:val="19"/>
              </w:rPr>
              <w:t>YRVG004_QAIS_EXECUTE (CIS / QAIS execution)</w:t>
            </w:r>
          </w:p>
        </w:tc>
      </w:tr>
      <w:tr>
        <w:tc>
          <w:tcPr>
            <w:tcW w:type="dxa" w:w="2736"/>
            <w:shd w:val="clear" w:fill="F2F5FA"/>
          </w:tcPr>
          <w:p>
            <w:r/>
            <w:r>
              <w:rPr>
                <w:b w:val="0"/>
                <w:sz w:val="19"/>
              </w:rPr>
              <w:t>Prepared By</w:t>
            </w:r>
          </w:p>
        </w:tc>
        <w:tc>
          <w:tcPr>
            <w:tcW w:type="dxa" w:w="6624"/>
            <w:shd w:val="clear" w:fill="F2F5FA"/>
          </w:tcPr>
          <w:p>
            <w:r/>
            <w:r>
              <w:rPr>
                <w:b w:val="0"/>
                <w:sz w:val="19"/>
              </w:rPr>
              <w:t>Diligent Consulting – SAP Development Team</w:t>
            </w:r>
          </w:p>
        </w:tc>
      </w:tr>
      <w:tr>
        <w:tc>
          <w:tcPr>
            <w:tcW w:type="dxa" w:w="2736"/>
          </w:tcPr>
          <w:p>
            <w:r/>
            <w:r>
              <w:rPr>
                <w:b w:val="0"/>
                <w:sz w:val="19"/>
              </w:rPr>
              <w:t>Audience</w:t>
            </w:r>
          </w:p>
        </w:tc>
        <w:tc>
          <w:tcPr>
            <w:tcW w:type="dxa" w:w="6624"/>
          </w:tcPr>
          <w:p>
            <w:r/>
            <w:r>
              <w:rPr>
                <w:b w:val="0"/>
                <w:sz w:val="19"/>
              </w:rPr>
              <w:t>Business / process owners maintaining CIS configuration</w:t>
            </w:r>
          </w:p>
        </w:tc>
      </w:tr>
    </w:tbl>
    <w:p>
      <w:r>
        <w:rPr>
          <w:b/>
          <w:color w:val="1F3864"/>
          <w:sz w:val="26"/>
        </w:rPr>
        <w:t>1. Background — Why these tables need business maintenance</w:t>
      </w:r>
    </w:p>
    <w:p>
      <w:r>
        <w:rPr>
          <w:i w:val="0"/>
          <w:sz w:val="21"/>
        </w:rPr>
        <w:t>The CIS 2026-27 scheme rules (waiver eligibility, customer categories, non-discount grades, shortfall declarations and scheme limits) are values that change from time to time based on business and circular decisions — not fixed program logic.</w:t>
      </w:r>
    </w:p>
    <w:p>
      <w:r>
        <w:rPr>
          <w:i w:val="0"/>
          <w:sz w:val="21"/>
        </w:rPr>
        <w:t>Rather than hard-coding these values inside the ABAP program (which would need a development change, testing and transport every time a rule changes), they are held in a small set of configuration tables. This gives the business three benefits:</w:t>
      </w:r>
    </w:p>
    <w:p>
      <w:pPr>
        <w:pStyle w:val="ListBullet"/>
      </w:pPr>
      <w:r>
        <w:rPr>
          <w:i w:val="0"/>
          <w:sz w:val="21"/>
        </w:rPr>
        <w:t>Control — authorised business users update the rules directly, without a code change.</w:t>
      </w:r>
    </w:p>
    <w:p>
      <w:pPr>
        <w:pStyle w:val="ListBullet"/>
      </w:pPr>
      <w:r>
        <w:rPr>
          <w:i w:val="0"/>
          <w:sz w:val="21"/>
        </w:rPr>
        <w:t>Speed — a scheme change (e.g. a new shortfall grade for a month) is a data entry, live the same day.</w:t>
      </w:r>
    </w:p>
    <w:p>
      <w:pPr>
        <w:pStyle w:val="ListBullet"/>
      </w:pPr>
      <w:r>
        <w:rPr>
          <w:i w:val="0"/>
          <w:sz w:val="21"/>
        </w:rPr>
        <w:t>Auditability — every table records who created/changed an entry, and changes move through the landscape on a transport request.</w:t>
      </w:r>
    </w:p>
    <w:p>
      <w:r>
        <w:rPr>
          <w:i w:val="0"/>
          <w:sz w:val="21"/>
        </w:rPr>
        <w:t>These tables are maintained through the standard SAP table-maintenance transaction (SM30) or a simple dedicated transaction, described in Section 4.</w:t>
      </w:r>
    </w:p>
    <w:p>
      <w:r>
        <w:rPr>
          <w:b/>
          <w:color w:val="1F3864"/>
          <w:sz w:val="26"/>
        </w:rPr>
        <w:t>2. Tables requiring maintenance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32"/>
            <w:shd w:val="clear" w:fill="1F3864"/>
          </w:tcPr>
          <w:p>
            <w:r/>
            <w:r>
              <w:rPr>
                <w:b/>
                <w:color w:val="FFFFFF"/>
                <w:sz w:val="19"/>
              </w:rPr>
              <w:t>#</w:t>
            </w:r>
          </w:p>
        </w:tc>
        <w:tc>
          <w:tcPr>
            <w:tcW w:type="dxa" w:w="2232"/>
            <w:shd w:val="clear" w:fill="1F3864"/>
          </w:tcPr>
          <w:p>
            <w:r/>
            <w:r>
              <w:rPr>
                <w:b/>
                <w:color w:val="FFFFFF"/>
                <w:sz w:val="19"/>
              </w:rPr>
              <w:t>Table</w:t>
            </w:r>
          </w:p>
        </w:tc>
        <w:tc>
          <w:tcPr>
            <w:tcW w:type="dxa" w:w="3600"/>
            <w:shd w:val="clear" w:fill="1F3864"/>
          </w:tcPr>
          <w:p>
            <w:r/>
            <w:r>
              <w:rPr>
                <w:b/>
                <w:color w:val="FFFFFF"/>
                <w:sz w:val="19"/>
              </w:rPr>
              <w:t>What it holds</w:t>
            </w:r>
          </w:p>
        </w:tc>
        <w:tc>
          <w:tcPr>
            <w:tcW w:type="dxa" w:w="1656"/>
            <w:shd w:val="clear" w:fill="1F3864"/>
          </w:tcPr>
          <w:p>
            <w:r/>
            <w:r>
              <w:rPr>
                <w:b/>
                <w:color w:val="FFFFFF"/>
                <w:sz w:val="19"/>
              </w:rPr>
              <w:t>Who maintains</w:t>
            </w:r>
          </w:p>
        </w:tc>
        <w:tc>
          <w:tcPr>
            <w:tcW w:type="dxa" w:w="2160"/>
            <w:shd w:val="clear" w:fill="1F3864"/>
          </w:tcPr>
          <w:p>
            <w:r/>
            <w:r>
              <w:rPr>
                <w:b/>
                <w:color w:val="FFFFFF"/>
                <w:sz w:val="19"/>
              </w:rPr>
              <w:t>Typical frequency</w:t>
            </w:r>
          </w:p>
        </w:tc>
      </w:tr>
      <w:tr>
        <w:tc>
          <w:tcPr>
            <w:tcW w:type="dxa" w:w="432"/>
          </w:tcPr>
          <w:p>
            <w:r/>
            <w:r>
              <w:rPr>
                <w:b w:val="0"/>
                <w:sz w:val="19"/>
              </w:rPr>
              <w:t>1</w:t>
            </w:r>
          </w:p>
        </w:tc>
        <w:tc>
          <w:tcPr>
            <w:tcW w:type="dxa" w:w="2232"/>
          </w:tcPr>
          <w:p>
            <w:r/>
            <w:r>
              <w:rPr>
                <w:b w:val="0"/>
                <w:sz w:val="19"/>
              </w:rPr>
              <w:t>YCIS_CUST_TYPE</w:t>
            </w:r>
          </w:p>
        </w:tc>
        <w:tc>
          <w:tcPr>
            <w:tcW w:type="dxa" w:w="3600"/>
          </w:tcPr>
          <w:p>
            <w:r/>
            <w:r>
              <w:rPr>
                <w:b w:val="0"/>
                <w:sz w:val="19"/>
              </w:rPr>
              <w:t>Maps each customer attribute (KNA1-KATR2) to Actual User (A) or Trader/AUT (T)</w:t>
            </w:r>
          </w:p>
        </w:tc>
        <w:tc>
          <w:tcPr>
            <w:tcW w:type="dxa" w:w="1656"/>
          </w:tcPr>
          <w:p>
            <w:r/>
            <w:r>
              <w:rPr>
                <w:b w:val="0"/>
                <w:sz w:val="19"/>
              </w:rPr>
              <w:t>Master-data / CIS team</w:t>
            </w:r>
          </w:p>
        </w:tc>
        <w:tc>
          <w:tcPr>
            <w:tcW w:type="dxa" w:w="2160"/>
          </w:tcPr>
          <w:p>
            <w:r/>
            <w:r>
              <w:rPr>
                <w:b w:val="0"/>
                <w:sz w:val="19"/>
              </w:rPr>
              <w:t>Rarely — when a new attribute value is introduced</w:t>
            </w:r>
          </w:p>
        </w:tc>
      </w:tr>
      <w:tr>
        <w:tc>
          <w:tcPr>
            <w:tcW w:type="dxa" w:w="432"/>
            <w:shd w:val="clear" w:fill="F2F5FA"/>
          </w:tcPr>
          <w:p>
            <w:r/>
            <w:r>
              <w:rPr>
                <w:b w:val="0"/>
                <w:sz w:val="19"/>
              </w:rPr>
              <w:t>2</w:t>
            </w:r>
          </w:p>
        </w:tc>
        <w:tc>
          <w:tcPr>
            <w:tcW w:type="dxa" w:w="2232"/>
            <w:shd w:val="clear" w:fill="F2F5FA"/>
          </w:tcPr>
          <w:p>
            <w:r/>
            <w:r>
              <w:rPr>
                <w:b w:val="0"/>
                <w:sz w:val="19"/>
              </w:rPr>
              <w:t>YCIS_WAIVER_RULE</w:t>
            </w:r>
          </w:p>
        </w:tc>
        <w:tc>
          <w:tcPr>
            <w:tcW w:type="dxa" w:w="3600"/>
            <w:shd w:val="clear" w:fill="F2F5FA"/>
          </w:tcPr>
          <w:p>
            <w:r/>
            <w:r>
              <w:rPr>
                <w:b w:val="0"/>
                <w:sz w:val="19"/>
              </w:rPr>
              <w:t>Waiver rules: min-lifting %, no. of waivers, max per quarter, by customer type &amp; signing month</w:t>
            </w:r>
          </w:p>
        </w:tc>
        <w:tc>
          <w:tcPr>
            <w:tcW w:type="dxa" w:w="1656"/>
            <w:shd w:val="clear" w:fill="F2F5FA"/>
          </w:tcPr>
          <w:p>
            <w:r/>
            <w:r>
              <w:rPr>
                <w:b w:val="0"/>
                <w:sz w:val="19"/>
              </w:rPr>
              <w:t>CIS process owner</w:t>
            </w:r>
          </w:p>
        </w:tc>
        <w:tc>
          <w:tcPr>
            <w:tcW w:type="dxa" w:w="2160"/>
            <w:shd w:val="clear" w:fill="F2F5FA"/>
          </w:tcPr>
          <w:p>
            <w:r/>
            <w:r>
              <w:rPr>
                <w:b w:val="0"/>
                <w:sz w:val="19"/>
              </w:rPr>
              <w:t>Once per scheme year (or on rule change)</w:t>
            </w:r>
          </w:p>
        </w:tc>
      </w:tr>
      <w:tr>
        <w:tc>
          <w:tcPr>
            <w:tcW w:type="dxa" w:w="432"/>
          </w:tcPr>
          <w:p>
            <w:r/>
            <w:r>
              <w:rPr>
                <w:b w:val="0"/>
                <w:sz w:val="19"/>
              </w:rPr>
              <w:t>3</w:t>
            </w:r>
          </w:p>
        </w:tc>
        <w:tc>
          <w:tcPr>
            <w:tcW w:type="dxa" w:w="2232"/>
          </w:tcPr>
          <w:p>
            <w:r/>
            <w:r>
              <w:rPr>
                <w:b w:val="0"/>
                <w:sz w:val="19"/>
              </w:rPr>
              <w:t>YCIS_SHORTFALL</w:t>
            </w:r>
          </w:p>
        </w:tc>
        <w:tc>
          <w:tcPr>
            <w:tcW w:type="dxa" w:w="3600"/>
          </w:tcPr>
          <w:p>
            <w:r/>
            <w:r>
              <w:rPr>
                <w:b w:val="0"/>
                <w:sz w:val="19"/>
              </w:rPr>
              <w:t>Materials declared shortfall for a given period (drives automatic monthly waiver)</w:t>
            </w:r>
          </w:p>
        </w:tc>
        <w:tc>
          <w:tcPr>
            <w:tcW w:type="dxa" w:w="1656"/>
          </w:tcPr>
          <w:p>
            <w:r/>
            <w:r>
              <w:rPr>
                <w:b w:val="0"/>
                <w:sz w:val="19"/>
              </w:rPr>
              <w:t>CIS process owner (PMG)</w:t>
            </w:r>
          </w:p>
        </w:tc>
        <w:tc>
          <w:tcPr>
            <w:tcW w:type="dxa" w:w="2160"/>
          </w:tcPr>
          <w:p>
            <w:r/>
            <w:r>
              <w:rPr>
                <w:b w:val="0"/>
                <w:sz w:val="19"/>
              </w:rPr>
              <w:t>Monthly / as declared</w:t>
            </w:r>
          </w:p>
        </w:tc>
      </w:tr>
      <w:tr>
        <w:tc>
          <w:tcPr>
            <w:tcW w:type="dxa" w:w="432"/>
            <w:shd w:val="clear" w:fill="F2F5FA"/>
          </w:tcPr>
          <w:p>
            <w:r/>
            <w:r>
              <w:rPr>
                <w:b w:val="0"/>
                <w:sz w:val="19"/>
              </w:rPr>
              <w:t>4</w:t>
            </w:r>
          </w:p>
        </w:tc>
        <w:tc>
          <w:tcPr>
            <w:tcW w:type="dxa" w:w="2232"/>
            <w:shd w:val="clear" w:fill="F2F5FA"/>
          </w:tcPr>
          <w:p>
            <w:r/>
            <w:r>
              <w:rPr>
                <w:b w:val="0"/>
                <w:sz w:val="19"/>
              </w:rPr>
              <w:t>YCIS_NODISC_GRD</w:t>
            </w:r>
          </w:p>
        </w:tc>
        <w:tc>
          <w:tcPr>
            <w:tcW w:type="dxa" w:w="3600"/>
            <w:shd w:val="clear" w:fill="F2F5FA"/>
          </w:tcPr>
          <w:p>
            <w:r/>
            <w:r>
              <w:rPr>
                <w:b w:val="0"/>
                <w:sz w:val="19"/>
              </w:rPr>
              <w:t>Grades that count for eligibility but receive no discount (PS/GS/Powder/Polyfines)</w:t>
            </w:r>
          </w:p>
        </w:tc>
        <w:tc>
          <w:tcPr>
            <w:tcW w:type="dxa" w:w="1656"/>
            <w:shd w:val="clear" w:fill="F2F5FA"/>
          </w:tcPr>
          <w:p>
            <w:r/>
            <w:r>
              <w:rPr>
                <w:b w:val="0"/>
                <w:sz w:val="19"/>
              </w:rPr>
              <w:t>CIS process owner</w:t>
            </w:r>
          </w:p>
        </w:tc>
        <w:tc>
          <w:tcPr>
            <w:tcW w:type="dxa" w:w="2160"/>
            <w:shd w:val="clear" w:fill="F2F5FA"/>
          </w:tcPr>
          <w:p>
            <w:r/>
            <w:r>
              <w:rPr>
                <w:b w:val="0"/>
                <w:sz w:val="19"/>
              </w:rPr>
              <w:t>Rarely — on grade-list change</w:t>
            </w:r>
          </w:p>
        </w:tc>
      </w:tr>
      <w:tr>
        <w:tc>
          <w:tcPr>
            <w:tcW w:type="dxa" w:w="432"/>
          </w:tcPr>
          <w:p>
            <w:r/>
            <w:r>
              <w:rPr>
                <w:b w:val="0"/>
                <w:sz w:val="19"/>
              </w:rPr>
              <w:t>5</w:t>
            </w:r>
          </w:p>
        </w:tc>
        <w:tc>
          <w:tcPr>
            <w:tcW w:type="dxa" w:w="2232"/>
          </w:tcPr>
          <w:p>
            <w:r/>
            <w:r>
              <w:rPr>
                <w:b w:val="0"/>
                <w:sz w:val="19"/>
              </w:rPr>
              <w:t>YCIS_SCH_PARAM</w:t>
            </w:r>
          </w:p>
        </w:tc>
        <w:tc>
          <w:tcPr>
            <w:tcW w:type="dxa" w:w="3600"/>
          </w:tcPr>
          <w:p>
            <w:r/>
            <w:r>
              <w:rPr>
                <w:b w:val="0"/>
                <w:sz w:val="19"/>
              </w:rPr>
              <w:t>Numeric scheme parameters, e.g. Trader monthly cap = 200 MT</w:t>
            </w:r>
          </w:p>
        </w:tc>
        <w:tc>
          <w:tcPr>
            <w:tcW w:type="dxa" w:w="1656"/>
          </w:tcPr>
          <w:p>
            <w:r/>
            <w:r>
              <w:rPr>
                <w:b w:val="0"/>
                <w:sz w:val="19"/>
              </w:rPr>
              <w:t>CIS process owner</w:t>
            </w:r>
          </w:p>
        </w:tc>
        <w:tc>
          <w:tcPr>
            <w:tcW w:type="dxa" w:w="2160"/>
          </w:tcPr>
          <w:p>
            <w:r/>
            <w:r>
              <w:rPr>
                <w:b w:val="0"/>
                <w:sz w:val="19"/>
              </w:rPr>
              <w:t>Rarely — on scheme change</w:t>
            </w:r>
          </w:p>
        </w:tc>
      </w:tr>
    </w:tbl>
    <w:p>
      <w:r>
        <w:rPr>
          <w:b/>
          <w:color w:val="1F3864"/>
          <w:sz w:val="26"/>
        </w:rPr>
        <w:t>3. Purpose of each table (business view)</w:t>
      </w:r>
    </w:p>
    <w:p>
      <w:r>
        <w:rPr>
          <w:b/>
          <w:color w:val="1F3864"/>
          <w:sz w:val="22"/>
        </w:rPr>
        <w:t>3.1  YCIS_CUST_TYPE — Customer classification</w:t>
      </w:r>
    </w:p>
    <w:p>
      <w:r>
        <w:rPr>
          <w:i w:val="0"/>
          <w:sz w:val="21"/>
        </w:rPr>
        <w:t>Determines whether a customer is an Actual User (A) or a Trader / AUT (T). This drives the applicable waiver rule and the 200 MT monthly cap for traders. Maintained when a new customer-attribute value needs mapping.</w:t>
      </w:r>
    </w:p>
    <w:p>
      <w:r>
        <w:rPr>
          <w:b/>
          <w:color w:val="1F3864"/>
          <w:sz w:val="22"/>
        </w:rPr>
        <w:t>3.2  YCIS_WAIVER_RULE — Waiver eligibility rules</w:t>
      </w:r>
    </w:p>
    <w:p>
      <w:r>
        <w:rPr>
          <w:i w:val="0"/>
          <w:sz w:val="21"/>
        </w:rPr>
        <w:t>Holds, per customer type and CIS signing-month band, the minimum lifting percentage that still qualifies for a waiver, how many monthly waivers are allowed, and the maximum per quarter. Maintained once per scheme year (seed rows for 2026-27 are provided) or whenever the waiver policy changes.</w:t>
      </w:r>
    </w:p>
    <w:p>
      <w:r>
        <w:rPr>
          <w:b/>
          <w:color w:val="1F3864"/>
          <w:sz w:val="22"/>
        </w:rPr>
        <w:t>3.3  YCIS_SHORTFALL — Shortfall material declarations</w:t>
      </w:r>
    </w:p>
    <w:p>
      <w:r>
        <w:rPr>
          <w:i w:val="0"/>
          <w:sz w:val="21"/>
        </w:rPr>
        <w:t>The process owner records the materials declared as “shortfall” for a period. The program reads this to grant the monthly shortfall waiver automatically — replacing the earlier manual step. This is the most frequently maintained table (monthly / as declarations arise).</w:t>
      </w:r>
    </w:p>
    <w:p>
      <w:r>
        <w:rPr>
          <w:b/>
          <w:color w:val="1F3864"/>
          <w:sz w:val="22"/>
        </w:rPr>
        <w:t>3.4  YCIS_NODISC_GRD — Non-discount grades</w:t>
      </w:r>
    </w:p>
    <w:p>
      <w:r>
        <w:rPr>
          <w:i w:val="0"/>
          <w:sz w:val="21"/>
        </w:rPr>
        <w:t>Lists the grades (PS, GS, Powder, Polyfines) that count towards lifting eligibility but do not attract a discount. Maintained only when the non-discount grade list changes.</w:t>
      </w:r>
    </w:p>
    <w:p>
      <w:r>
        <w:rPr>
          <w:b/>
          <w:color w:val="1F3864"/>
          <w:sz w:val="22"/>
        </w:rPr>
        <w:t>3.5  YCIS_SCH_PARAM — Scheme parameters</w:t>
      </w:r>
    </w:p>
    <w:p>
      <w:r>
        <w:rPr>
          <w:i w:val="0"/>
          <w:sz w:val="21"/>
        </w:rPr>
        <w:t>Holds general numeric parameters so they are not hard-coded — for example the Trader/AUT monthly cap of 200 MT. Maintained only when a scheme limit changes.</w:t>
      </w:r>
    </w:p>
    <w:p>
      <w:r>
        <w:rPr>
          <w:b/>
          <w:color w:val="1F3864"/>
          <w:sz w:val="26"/>
        </w:rPr>
        <w:t>4. How the tables are maintained</w:t>
      </w:r>
    </w:p>
    <w:p>
      <w:r>
        <w:rPr>
          <w:i w:val="0"/>
          <w:sz w:val="21"/>
        </w:rPr>
        <w:t>Each table is enabled for maintenance using SAP’s standard Table Maintenance Generator, and is then updated by authorised users. Two access options are provided:</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fill="1F3864"/>
          </w:tcPr>
          <w:p>
            <w:r/>
            <w:r>
              <w:rPr>
                <w:b/>
                <w:color w:val="FFFFFF"/>
                <w:sz w:val="19"/>
              </w:rPr>
              <w:t>Option</w:t>
            </w:r>
          </w:p>
        </w:tc>
        <w:tc>
          <w:tcPr>
            <w:tcW w:type="dxa" w:w="5760"/>
            <w:shd w:val="clear" w:fill="1F3864"/>
          </w:tcPr>
          <w:p>
            <w:r/>
            <w:r>
              <w:rPr>
                <w:b/>
                <w:color w:val="FFFFFF"/>
                <w:sz w:val="19"/>
              </w:rPr>
              <w:t>How</w:t>
            </w:r>
          </w:p>
        </w:tc>
        <w:tc>
          <w:tcPr>
            <w:tcW w:type="dxa" w:w="2160"/>
            <w:shd w:val="clear" w:fill="1F3864"/>
          </w:tcPr>
          <w:p>
            <w:r/>
            <w:r>
              <w:rPr>
                <w:b/>
                <w:color w:val="FFFFFF"/>
                <w:sz w:val="19"/>
              </w:rPr>
              <w:t>Best for</w:t>
            </w:r>
          </w:p>
        </w:tc>
      </w:tr>
      <w:tr>
        <w:tc>
          <w:tcPr>
            <w:tcW w:type="dxa" w:w="2160"/>
          </w:tcPr>
          <w:p>
            <w:r/>
            <w:r>
              <w:rPr>
                <w:b w:val="0"/>
                <w:sz w:val="19"/>
              </w:rPr>
              <w:t>Standard SM30</w:t>
            </w:r>
          </w:p>
        </w:tc>
        <w:tc>
          <w:tcPr>
            <w:tcW w:type="dxa" w:w="5760"/>
          </w:tcPr>
          <w:p>
            <w:r/>
            <w:r>
              <w:rPr>
                <w:b w:val="0"/>
                <w:sz w:val="19"/>
              </w:rPr>
              <w:t>Transaction SM30 → enter the table name → Maintain → add/change/delete rows → Save</w:t>
            </w:r>
          </w:p>
        </w:tc>
        <w:tc>
          <w:tcPr>
            <w:tcW w:type="dxa" w:w="2160"/>
          </w:tcPr>
          <w:p>
            <w:r/>
            <w:r>
              <w:rPr>
                <w:b w:val="0"/>
                <w:sz w:val="19"/>
              </w:rPr>
              <w:t>IT / power users</w:t>
            </w:r>
          </w:p>
        </w:tc>
      </w:tr>
      <w:tr>
        <w:tc>
          <w:tcPr>
            <w:tcW w:type="dxa" w:w="2160"/>
            <w:shd w:val="clear" w:fill="F2F5FA"/>
          </w:tcPr>
          <w:p>
            <w:r/>
            <w:r>
              <w:rPr>
                <w:b w:val="0"/>
                <w:sz w:val="19"/>
              </w:rPr>
              <w:t>Dedicated transaction</w:t>
            </w:r>
          </w:p>
        </w:tc>
        <w:tc>
          <w:tcPr>
            <w:tcW w:type="dxa" w:w="5760"/>
            <w:shd w:val="clear" w:fill="F2F5FA"/>
          </w:tcPr>
          <w:p>
            <w:r/>
            <w:r>
              <w:rPr>
                <w:b w:val="0"/>
                <w:sz w:val="19"/>
              </w:rPr>
              <w:t>A simple transaction (e.g. for shortfall entry) opens the maintenance screen directly</w:t>
            </w:r>
          </w:p>
        </w:tc>
        <w:tc>
          <w:tcPr>
            <w:tcW w:type="dxa" w:w="2160"/>
            <w:shd w:val="clear" w:fill="F2F5FA"/>
          </w:tcPr>
          <w:p>
            <w:r/>
            <w:r>
              <w:rPr>
                <w:b w:val="0"/>
                <w:sz w:val="19"/>
              </w:rPr>
              <w:t>Business process owners</w:t>
            </w:r>
          </w:p>
        </w:tc>
      </w:tr>
    </w:tbl>
    <w:p>
      <w:r>
        <w:rPr>
          <w:i w:val="0"/>
          <w:sz w:val="20"/>
        </w:rPr>
        <w:t>Steps to add or change an entry (SM30):</w:t>
      </w:r>
    </w:p>
    <w:p>
      <w:pPr>
        <w:pStyle w:val="ListBullet"/>
      </w:pPr>
      <w:r>
        <w:rPr>
          <w:i w:val="0"/>
          <w:sz w:val="21"/>
        </w:rPr>
        <w:t>Run SM30, enter the table (e.g. YCIS_SHORTFALL), choose Maintain.</w:t>
      </w:r>
    </w:p>
    <w:p>
      <w:pPr>
        <w:pStyle w:val="ListBullet"/>
      </w:pPr>
      <w:r>
        <w:rPr>
          <w:i w:val="0"/>
          <w:sz w:val="21"/>
        </w:rPr>
        <w:t>Use New Entries to add rows, or edit existing rows; each entry records the created-by user and date where applicable.</w:t>
      </w:r>
    </w:p>
    <w:p>
      <w:pPr>
        <w:pStyle w:val="ListBullet"/>
      </w:pPr>
      <w:r>
        <w:rPr>
          <w:i w:val="0"/>
          <w:sz w:val="21"/>
        </w:rPr>
        <w:t>Save. Changes are collected on a transport request and moved from Development → Quality → Production, so all systems stay consistent.</w:t>
      </w:r>
    </w:p>
    <w:p>
      <w:r>
        <w:rPr>
          <w:b/>
          <w:color w:val="1F3864"/>
          <w:sz w:val="26"/>
        </w:rPr>
        <w:t>5. Access &amp; governance</w:t>
      </w:r>
    </w:p>
    <w:p>
      <w:pPr>
        <w:pStyle w:val="ListBullet"/>
      </w:pPr>
      <w:r>
        <w:rPr>
          <w:i w:val="0"/>
          <w:sz w:val="21"/>
        </w:rPr>
        <w:t>Maintenance is protected by an authorisation group, so only nominated users can change each table.</w:t>
      </w:r>
    </w:p>
    <w:p>
      <w:pPr>
        <w:pStyle w:val="ListBullet"/>
      </w:pPr>
      <w:r>
        <w:rPr>
          <w:i w:val="0"/>
          <w:sz w:val="21"/>
        </w:rPr>
        <w:t>Entries are transportable — maintained in the development/quality system and released to production through the standard change process (or maintained directly in production as current-setting tables, if your governance prefers).</w:t>
      </w:r>
    </w:p>
    <w:p>
      <w:pPr>
        <w:pStyle w:val="ListBullet"/>
      </w:pPr>
      <w:r>
        <w:rPr>
          <w:i w:val="0"/>
          <w:sz w:val="21"/>
        </w:rPr>
        <w:t>The CIS program always reads the current table values at run time, so an approved change takes effect on the next execution — no program change or downtime.</w:t>
      </w:r>
    </w:p>
    <w:p>
      <w:r>
        <w:rPr>
          <w:b/>
          <w:color w:val="1F3864"/>
          <w:sz w:val="26"/>
        </w:rPr>
        <w:t>6. Requested action</w:t>
      </w:r>
    </w:p>
    <w:p>
      <w:r>
        <w:rPr>
          <w:i w:val="0"/>
          <w:sz w:val="21"/>
        </w:rPr>
        <w:t>We request the business to nominate the process owner(s) responsible for maintaining each table (Section 2), and to confirm the authorisation group(s) to be used. The SAP team will generate the maintenance views and, where required, the dedicated transactions.</w:t>
      </w:r>
    </w:p>
    <w:p/>
    <w:p>
      <w:r>
        <w:rPr>
          <w:i/>
          <w:color w:val="555555"/>
          <w:sz w:val="18"/>
        </w:rPr>
        <w:t>Prepared by Diligent Consulting — SAP Development Team. For any clarification on this document, please contact the SAP development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