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C8102E"/>
          <w:sz w:val="44"/>
          <w:szCs w:val="44"/>
        </w:rPr>
        <w:t xml:space="preserve">Pricing Validation after ECC → S/4HANA Migration</w:t>
      </w:r>
    </w:p>
    <w:p>
      <w:pPr>
        <w:spacing w:after="120"/>
        <w:jc w:val="center"/>
      </w:pPr>
      <w:r>
        <w:rPr>
          <w:color w:val="333333"/>
          <w:sz w:val="28"/>
          <w:szCs w:val="28"/>
        </w:rPr>
        <w:t xml:space="preserve">User Guide — Program ZSD_PRICING_COMPARE</w:t>
      </w:r>
    </w:p>
    <w:p>
      <w:pPr>
        <w:spacing w:after="600"/>
        <w:jc w:val="center"/>
      </w:pPr>
      <w:r>
        <w:rPr>
          <w:color w:val="666666"/>
          <w:sz w:val="24"/>
          <w:szCs w:val="24"/>
        </w:rPr>
        <w:t xml:space="preserve">Coca-Cola Bottlers Japan Inc. (CCBJI)</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shd w:fill="F2F2F2" w:val="clear"/>
            <w:tcMar>
              <w:top w:type="dxa" w:w="60"/>
              <w:left w:type="dxa" w:w="100"/>
              <w:bottom w:type="dxa" w:w="60"/>
              <w:right w:type="dxa" w:w="100"/>
            </w:tcMar>
          </w:tcPr>
          <w:p>
            <w:pPr>
              <w:spacing w:after="0"/>
            </w:pPr>
            <w:r>
              <w:rPr>
                <w:b/>
                <w:bCs/>
                <w:sz w:val="20"/>
                <w:szCs w:val="20"/>
              </w:rPr>
              <w:t xml:space="preserve">Document</w:t>
            </w:r>
          </w:p>
        </w:tc>
        <w:tc>
          <w:tcPr>
            <w:tcW w:type="dxa" w:w="4800"/>
            <w:tcMar>
              <w:top w:type="dxa" w:w="60"/>
              <w:left w:type="dxa" w:w="100"/>
              <w:bottom w:type="dxa" w:w="60"/>
              <w:right w:type="dxa" w:w="100"/>
            </w:tcMar>
          </w:tcPr>
          <w:p>
            <w:pPr>
              <w:spacing w:after="0"/>
            </w:pPr>
            <w:r>
              <w:rPr>
                <w:sz w:val="20"/>
                <w:szCs w:val="20"/>
              </w:rPr>
              <w:t xml:space="preserve">User Guide (business / functional users)</w:t>
            </w:r>
          </w:p>
        </w:tc>
      </w:tr>
      <w:tr>
        <w:tc>
          <w:tcPr>
            <w:tcW w:type="dxa" w:w="2200"/>
            <w:shd w:fill="F2F2F2" w:val="clear"/>
            <w:tcMar>
              <w:top w:type="dxa" w:w="60"/>
              <w:left w:type="dxa" w:w="100"/>
              <w:bottom w:type="dxa" w:w="60"/>
              <w:right w:type="dxa" w:w="100"/>
            </w:tcMar>
          </w:tcPr>
          <w:p>
            <w:pPr>
              <w:spacing w:after="0"/>
            </w:pPr>
            <w:r>
              <w:rPr>
                <w:b/>
                <w:bCs/>
                <w:sz w:val="20"/>
                <w:szCs w:val="20"/>
              </w:rPr>
              <w:t xml:space="preserve">Program</w:t>
            </w:r>
          </w:p>
        </w:tc>
        <w:tc>
          <w:tcPr>
            <w:tcW w:type="dxa" w:w="4800"/>
            <w:tcMar>
              <w:top w:type="dxa" w:w="60"/>
              <w:left w:type="dxa" w:w="100"/>
              <w:bottom w:type="dxa" w:w="60"/>
              <w:right w:type="dxa" w:w="100"/>
            </w:tcMar>
          </w:tcPr>
          <w:p>
            <w:pPr>
              <w:spacing w:after="0"/>
            </w:pPr>
            <w:r>
              <w:rPr>
                <w:sz w:val="20"/>
                <w:szCs w:val="20"/>
              </w:rPr>
              <w:t xml:space="preserve">ZSD_PRICING_COMPARE (ABAP report, SE38)</w:t>
            </w:r>
          </w:p>
        </w:tc>
      </w:tr>
      <w:tr>
        <w:tc>
          <w:tcPr>
            <w:tcW w:type="dxa" w:w="2200"/>
            <w:shd w:fill="F2F2F2" w:val="clear"/>
            <w:tcMar>
              <w:top w:type="dxa" w:w="60"/>
              <w:left w:type="dxa" w:w="100"/>
              <w:bottom w:type="dxa" w:w="60"/>
              <w:right w:type="dxa" w:w="100"/>
            </w:tcMar>
          </w:tcPr>
          <w:p>
            <w:pPr>
              <w:spacing w:after="0"/>
            </w:pPr>
            <w:r>
              <w:rPr>
                <w:b/>
                <w:bCs/>
                <w:sz w:val="20"/>
                <w:szCs w:val="20"/>
              </w:rPr>
              <w:t xml:space="preserve">Module</w:t>
            </w:r>
          </w:p>
        </w:tc>
        <w:tc>
          <w:tcPr>
            <w:tcW w:type="dxa" w:w="4800"/>
            <w:tcMar>
              <w:top w:type="dxa" w:w="60"/>
              <w:left w:type="dxa" w:w="100"/>
              <w:bottom w:type="dxa" w:w="60"/>
              <w:right w:type="dxa" w:w="100"/>
            </w:tcMar>
          </w:tcPr>
          <w:p>
            <w:pPr>
              <w:spacing w:after="0"/>
            </w:pPr>
            <w:r>
              <w:rPr>
                <w:sz w:val="20"/>
                <w:szCs w:val="20"/>
              </w:rPr>
              <w:t xml:space="preserve">SD – Sales Order Pricing</w:t>
            </w:r>
          </w:p>
        </w:tc>
      </w:tr>
      <w:tr>
        <w:tc>
          <w:tcPr>
            <w:tcW w:type="dxa" w:w="2200"/>
            <w:shd w:fill="F2F2F2" w:val="clear"/>
            <w:tcMar>
              <w:top w:type="dxa" w:w="60"/>
              <w:left w:type="dxa" w:w="100"/>
              <w:bottom w:type="dxa" w:w="60"/>
              <w:right w:type="dxa" w:w="100"/>
            </w:tcMar>
          </w:tcPr>
          <w:p>
            <w:pPr>
              <w:spacing w:after="0"/>
            </w:pPr>
            <w:r>
              <w:rPr>
                <w:b/>
                <w:bCs/>
                <w:sz w:val="20"/>
                <w:szCs w:val="20"/>
              </w:rPr>
              <w:t xml:space="preserve">Prepared by</w:t>
            </w:r>
          </w:p>
        </w:tc>
        <w:tc>
          <w:tcPr>
            <w:tcW w:type="dxa" w:w="4800"/>
            <w:tcMar>
              <w:top w:type="dxa" w:w="60"/>
              <w:left w:type="dxa" w:w="100"/>
              <w:bottom w:type="dxa" w:w="60"/>
              <w:right w:type="dxa" w:w="100"/>
            </w:tcMar>
          </w:tcPr>
          <w:p>
            <w:pPr>
              <w:spacing w:after="0"/>
            </w:pPr>
            <w:r>
              <w:rPr>
                <w:sz w:val="20"/>
                <w:szCs w:val="20"/>
              </w:rPr>
              <w:t xml:space="preserve">Diligent Consulting</w:t>
            </w:r>
          </w:p>
        </w:tc>
      </w:tr>
      <w:tr>
        <w:tc>
          <w:tcPr>
            <w:tcW w:type="dxa" w:w="2200"/>
            <w:shd w:fill="F2F2F2" w:val="clear"/>
            <w:tcMar>
              <w:top w:type="dxa" w:w="60"/>
              <w:left w:type="dxa" w:w="100"/>
              <w:bottom w:type="dxa" w:w="60"/>
              <w:right w:type="dxa" w:w="100"/>
            </w:tcMar>
          </w:tcPr>
          <w:p>
            <w:pPr>
              <w:spacing w:after="0"/>
            </w:pPr>
            <w:r>
              <w:rPr>
                <w:b/>
                <w:bCs/>
                <w:sz w:val="20"/>
                <w:szCs w:val="20"/>
              </w:rPr>
              <w:t xml:space="preserve">Version</w:t>
            </w:r>
          </w:p>
        </w:tc>
        <w:tc>
          <w:tcPr>
            <w:tcW w:type="dxa" w:w="4800"/>
            <w:tcMar>
              <w:top w:type="dxa" w:w="60"/>
              <w:left w:type="dxa" w:w="100"/>
              <w:bottom w:type="dxa" w:w="60"/>
              <w:right w:type="dxa" w:w="100"/>
            </w:tcMar>
          </w:tcPr>
          <w:p>
            <w:pPr>
              <w:spacing w:after="0"/>
            </w:pPr>
            <w:r>
              <w:rPr>
                <w:sz w:val="20"/>
                <w:szCs w:val="20"/>
              </w:rPr>
              <w:t xml:space="preserve">1.0</w:t>
            </w:r>
          </w:p>
        </w:tc>
      </w:tr>
    </w:tbl>
    <w:p>
      <w:r>
        <w:br w:type="page"/>
      </w:r>
    </w:p>
    <w:p>
      <w:pPr>
        <w:pStyle w:val="Heading1"/>
        <w:spacing w:after="160" w:before="320"/>
      </w:pPr>
      <w:r>
        <w:rPr>
          <w:b/>
          <w:bCs/>
          <w:color w:val="C8102E"/>
          <w:sz w:val="30"/>
          <w:szCs w:val="30"/>
        </w:rPr>
        <w:t xml:space="preserve">1. Why this program exists</w:t>
      </w:r>
    </w:p>
    <w:p>
      <w:pPr>
        <w:spacing w:after="120"/>
      </w:pPr>
      <w:r>
        <w:rPr>
          <w:sz w:val="22"/>
          <w:szCs w:val="22"/>
        </w:rPr>
        <w:t xml:space="preserve">CCBJI has migrated from SAP ECC to SAP S/4HANA. The sales orders that were migrated still carry the prices that were calculated by the old ECC system. After such a migration there is one critical question for the business:</w:t>
      </w:r>
    </w:p>
    <w:p>
      <w:pPr>
        <w:shd w:fill="F2F2F2" w:val="clear"/>
        <w:spacing w:after="160"/>
        <w:ind w:left="504" w:right="504"/>
      </w:pPr>
      <w:r>
        <w:rPr>
          <w:i/>
          <w:iCs/>
          <w:sz w:val="22"/>
          <w:szCs w:val="22"/>
        </w:rPr>
        <w:t xml:space="preserve">“If we create the same order again today in S/4HANA, will the system calculate exactly the same prices, discounts and taxes as ECC did?”</w:t>
      </w:r>
    </w:p>
    <w:p>
      <w:pPr>
        <w:spacing w:after="120"/>
      </w:pPr>
      <w:r>
        <w:rPr>
          <w:sz w:val="22"/>
          <w:szCs w:val="22"/>
        </w:rPr>
        <w:t xml:space="preserve">If the answer is yes, the pricing configuration and all pricing condition records were migrated correctly. If the answer is no, there is a gap — for example a missing condition record, a wrong access sequence, or a currency/decimal issue — that must be corrected before it affects real business documents.</w:t>
      </w:r>
    </w:p>
    <w:p>
      <w:pPr>
        <w:spacing w:after="120"/>
      </w:pPr>
      <w:r>
        <w:rPr>
          <w:sz w:val="22"/>
          <w:szCs w:val="22"/>
        </w:rPr>
        <w:t xml:space="preserve">This program answers that question automatically, order by order and condition by condition, and shows the result in a simple traffic-light report.</w:t>
      </w:r>
    </w:p>
    <w:p>
      <w:pPr>
        <w:pStyle w:val="Heading1"/>
        <w:spacing w:after="160" w:before="320"/>
      </w:pPr>
      <w:r>
        <w:rPr>
          <w:b/>
          <w:bCs/>
          <w:color w:val="C8102E"/>
          <w:sz w:val="30"/>
          <w:szCs w:val="30"/>
        </w:rPr>
        <w:t xml:space="preserve">2. What the program does – in simple terms</w:t>
      </w:r>
    </w:p>
    <w:p>
      <w:pPr>
        <w:spacing w:after="120"/>
      </w:pPr>
      <w:r>
        <w:rPr>
          <w:sz w:val="22"/>
          <w:szCs w:val="22"/>
        </w:rPr>
        <w:t xml:space="preserve">The selection screen offers two modes. In the automatic mode (default) you enter a sales document type and a date range (mandatory), optionally a customer range and how many orders to check (default 1). In the second mode you simply enter specific sales order numbers yourself — each listed order is copied and compared. In automatic mode everything else is automatic:</w:t>
      </w:r>
    </w:p>
    <w:p>
      <w:pPr>
        <w:pStyle w:val="ListParagraph"/>
        <w:numPr>
          <w:ilvl w:val="0"/>
          <w:numId w:val="2"/>
        </w:numPr>
        <w:spacing w:after="80"/>
      </w:pPr>
      <w:r>
        <w:rPr>
          <w:sz w:val="22"/>
          <w:szCs w:val="22"/>
        </w:rPr>
        <w:t xml:space="preserve">The program searches all sales orders of that document type created in that period and picks the orders with the highest net value — as many as you asked for in “How many orders to check”. Each selected order is called an </w:t>
      </w:r>
      <w:r>
        <w:rPr>
          <w:b/>
          <w:bCs/>
          <w:sz w:val="22"/>
          <w:szCs w:val="22"/>
        </w:rPr>
        <w:t xml:space="preserve">old order (X)</w:t>
      </w:r>
      <w:r>
        <w:rPr>
          <w:sz w:val="22"/>
          <w:szCs w:val="22"/>
        </w:rPr>
        <w:t xml:space="preserve"> — it still carries the prices calculated by ECC. If you also enter customers, the highest-value orders are determined per customer: for example 5 customers and “check 5 orders” means 5 × 5 = 25 orders are checked in one run.</w:t>
      </w:r>
    </w:p>
    <w:p>
      <w:pPr>
        <w:pStyle w:val="ListParagraph"/>
        <w:numPr>
          <w:ilvl w:val="0"/>
          <w:numId w:val="2"/>
        </w:numPr>
        <w:spacing w:after="80"/>
      </w:pPr>
      <w:r>
        <w:rPr>
          <w:sz w:val="22"/>
          <w:szCs w:val="22"/>
        </w:rPr>
        <w:t xml:space="preserve">It reads every detail of the old order from the database: customer, materials, quantities, plant, and the original pricing date.</w:t>
      </w:r>
    </w:p>
    <w:p>
      <w:pPr>
        <w:pStyle w:val="ListParagraph"/>
        <w:numPr>
          <w:ilvl w:val="0"/>
          <w:numId w:val="2"/>
        </w:numPr>
        <w:spacing w:after="80"/>
      </w:pPr>
      <w:r>
        <w:rPr>
          <w:sz w:val="22"/>
          <w:szCs w:val="22"/>
        </w:rPr>
        <w:t xml:space="preserve">It then creates an exact copy of that order — the </w:t>
      </w:r>
      <w:r>
        <w:rPr>
          <w:b/>
          <w:bCs/>
          <w:sz w:val="22"/>
          <w:szCs w:val="22"/>
        </w:rPr>
        <w:t xml:space="preserve">new order (Y)</w:t>
      </w:r>
      <w:r>
        <w:rPr>
          <w:sz w:val="22"/>
          <w:szCs w:val="22"/>
        </w:rPr>
        <w:t xml:space="preserve"> — using the standard SAP interface (BAPI). While creating the copy, S/4HANA is forced to calculate all prices completely fresh, using the same pricing date as the original order. This guarantees the same condition records apply — the comparison is system vs. system, not date vs. date.</w:t>
      </w:r>
    </w:p>
    <w:p>
      <w:pPr>
        <w:pStyle w:val="ListParagraph"/>
        <w:numPr>
          <w:ilvl w:val="0"/>
          <w:numId w:val="2"/>
        </w:numPr>
        <w:spacing w:after="80"/>
      </w:pPr>
      <w:r>
        <w:rPr>
          <w:sz w:val="22"/>
          <w:szCs w:val="22"/>
        </w:rPr>
        <w:t xml:space="preserve">The program compares the two orders line by line: every pricing condition (price, discount, surcharge, tax) of the old order against the same condition of the new order — rate, pricing unit, unit of measure, condition value, and the net value of every item.</w:t>
      </w:r>
    </w:p>
    <w:p>
      <w:pPr>
        <w:pStyle w:val="ListParagraph"/>
        <w:numPr>
          <w:ilvl w:val="0"/>
          <w:numId w:val="2"/>
        </w:numPr>
        <w:spacing w:after="80"/>
      </w:pPr>
      <w:r>
        <w:rPr>
          <w:sz w:val="22"/>
          <w:szCs w:val="22"/>
        </w:rPr>
        <w:t xml:space="preserve">The result is shown as a color-coded list. Green means identical, yellow means a harmless difference, red means the S/4HANA pricing does not reproduce the ECC result and must be investigated.</w:t>
      </w:r>
    </w:p>
    <w:p>
      <w:pPr>
        <w:spacing w:after="120"/>
      </w:pPr>
      <w:r>
        <w:rPr>
          <w:sz w:val="22"/>
          <w:szCs w:val="22"/>
        </w:rPr>
        <w:t xml:space="preserve">Japanese Yen is handled correctly: the program takes into account that JPY has no decimal places, so no false differences are reported due to decimal shifts. Percentage conditions are also normalised before comparison.</w:t>
      </w:r>
    </w:p>
    <w:p>
      <w:pPr>
        <w:pStyle w:val="Heading1"/>
        <w:spacing w:after="160" w:before="320"/>
      </w:pPr>
      <w:r>
        <w:rPr>
          <w:b/>
          <w:bCs/>
          <w:color w:val="C8102E"/>
          <w:sz w:val="30"/>
          <w:szCs w:val="30"/>
        </w:rPr>
        <w:t xml:space="preserve">3. How to run the program</w:t>
      </w:r>
    </w:p>
    <w:p>
      <w:pPr>
        <w:pStyle w:val="ListParagraph"/>
        <w:numPr>
          <w:ilvl w:val="0"/>
          <w:numId w:val="3"/>
        </w:numPr>
        <w:spacing w:after="80"/>
      </w:pPr>
      <w:r>
        <w:rPr>
          <w:sz w:val="22"/>
          <w:szCs w:val="22"/>
        </w:rPr>
        <w:t xml:space="preserve">Start transaction SE38 (or the assigned transaction code), enter program </w:t>
      </w:r>
      <w:r>
        <w:rPr>
          <w:b/>
          <w:bCs/>
          <w:sz w:val="22"/>
          <w:szCs w:val="22"/>
        </w:rPr>
        <w:t xml:space="preserve">ZSD_PRICING_COMPARE</w:t>
      </w:r>
      <w:r>
        <w:rPr>
          <w:sz w:val="22"/>
          <w:szCs w:val="22"/>
        </w:rPr>
        <w:t xml:space="preserve"> and press Execute.</w:t>
      </w:r>
    </w:p>
    <w:p>
      <w:pPr>
        <w:pStyle w:val="ListParagraph"/>
        <w:numPr>
          <w:ilvl w:val="0"/>
          <w:numId w:val="3"/>
        </w:numPr>
        <w:spacing w:after="80"/>
      </w:pPr>
      <w:r>
        <w:rPr>
          <w:sz w:val="22"/>
          <w:szCs w:val="22"/>
        </w:rPr>
        <w:t xml:space="preserve">Enter the Sales Document Type you want to check (e.g. standard order type).</w:t>
      </w:r>
    </w:p>
    <w:p>
      <w:pPr>
        <w:pStyle w:val="ListParagraph"/>
        <w:numPr>
          <w:ilvl w:val="0"/>
          <w:numId w:val="3"/>
        </w:numPr>
        <w:spacing w:after="80"/>
      </w:pPr>
      <w:r>
        <w:rPr>
          <w:sz w:val="22"/>
          <w:szCs w:val="22"/>
        </w:rPr>
        <w:t xml:space="preserve">Enter the Created-On date range (e.g. the month before the migration).</w:t>
      </w:r>
    </w:p>
    <w:p>
      <w:pPr>
        <w:pStyle w:val="ListParagraph"/>
        <w:numPr>
          <w:ilvl w:val="0"/>
          <w:numId w:val="3"/>
        </w:numPr>
        <w:spacing w:after="80"/>
      </w:pPr>
      <w:r>
        <w:rPr>
          <w:sz w:val="22"/>
          <w:szCs w:val="22"/>
        </w:rPr>
        <w:t xml:space="preserve">Optional: enter a Customer range to check specific customers, and set “How many orders to check” (default 1). With customers entered, that many top orders are checked per customer.</w:t>
      </w:r>
    </w:p>
    <w:p>
      <w:pPr>
        <w:pStyle w:val="ListParagraph"/>
        <w:numPr>
          <w:ilvl w:val="0"/>
          <w:numId w:val="3"/>
        </w:numPr>
        <w:spacing w:after="80"/>
      </w:pPr>
      <w:r>
        <w:rPr>
          <w:sz w:val="22"/>
          <w:szCs w:val="22"/>
        </w:rPr>
        <w:t xml:space="preserve">Alternative: choose the second radio button “Specific sales orders” and enter the order numbers you want to check yourself — then document type and date range are not needed.</w:t>
      </w:r>
    </w:p>
    <w:p>
      <w:pPr>
        <w:pStyle w:val="ListParagraph"/>
        <w:numPr>
          <w:ilvl w:val="0"/>
          <w:numId w:val="3"/>
        </w:numPr>
        <w:spacing w:after="80"/>
      </w:pPr>
      <w:r>
        <w:rPr>
          <w:sz w:val="22"/>
          <w:szCs w:val="22"/>
        </w:rPr>
        <w:t xml:space="preserve">Press Execute (F8). The program runs and shows the comparison report.</w:t>
      </w:r>
    </w:p>
    <w:p>
      <w:pPr>
        <w:spacing w:after="120"/>
      </w:pPr>
      <w:r>
        <w:rPr>
          <w:sz w:val="22"/>
          <w:szCs w:val="22"/>
        </w:rPr>
        <w:t xml:space="preserve">The header of the report tells you how many orders were selected, and summarises how many conditions were OK, different, or missing. A Customer column shows the sold-to party of every row.</w:t>
      </w:r>
    </w:p>
    <w:p>
      <w:pPr>
        <w:shd w:fill="FFEB9C" w:val="clear"/>
        <w:spacing w:after="160"/>
        <w:ind w:left="504" w:right="504"/>
      </w:pPr>
      <w:r>
        <w:rPr>
          <w:b/>
          <w:bCs/>
          <w:sz w:val="22"/>
          <w:szCs w:val="22"/>
        </w:rPr>
        <w:t xml:space="preserve">Important: the program really creates a test copy of the order (see section 6). It must therefore be executed in the quality/test system that contains the migrated data — not in production.</w:t>
      </w:r>
    </w:p>
    <w:p>
      <w:pPr>
        <w:pStyle w:val="Heading1"/>
        <w:spacing w:after="160" w:before="320"/>
      </w:pPr>
      <w:r>
        <w:rPr>
          <w:b/>
          <w:bCs/>
          <w:color w:val="C8102E"/>
          <w:sz w:val="30"/>
          <w:szCs w:val="30"/>
        </w:rPr>
        <w:t xml:space="preserve">4. How to read the report</w:t>
      </w:r>
    </w:p>
    <w:p>
      <w:pPr>
        <w:pStyle w:val="Heading2"/>
        <w:spacing w:after="120" w:before="240"/>
      </w:pPr>
      <w:r>
        <w:rPr>
          <w:b/>
          <w:bCs/>
          <w:color w:val="333333"/>
          <w:sz w:val="24"/>
          <w:szCs w:val="24"/>
        </w:rPr>
        <w:t xml:space="preserve">4.1 Columns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shd w:fill="F2F2F2" w:val="clear"/>
            <w:tcMar>
              <w:top w:type="dxa" w:w="60"/>
              <w:left w:type="dxa" w:w="100"/>
              <w:bottom w:type="dxa" w:w="60"/>
              <w:right w:type="dxa" w:w="100"/>
            </w:tcMar>
          </w:tcPr>
          <w:p>
            <w:pPr>
              <w:spacing w:after="0"/>
            </w:pPr>
            <w:r>
              <w:rPr>
                <w:b/>
                <w:bCs/>
                <w:sz w:val="20"/>
                <w:szCs w:val="20"/>
              </w:rPr>
              <w:t xml:space="preserve">Column</w:t>
            </w:r>
          </w:p>
        </w:tc>
        <w:tc>
          <w:tcPr>
            <w:tcW w:type="dxa" w:w="4600"/>
            <w:shd w:fill="F2F2F2" w:val="clear"/>
            <w:tcMar>
              <w:top w:type="dxa" w:w="60"/>
              <w:left w:type="dxa" w:w="100"/>
              <w:bottom w:type="dxa" w:w="60"/>
              <w:right w:type="dxa" w:w="100"/>
            </w:tcMar>
          </w:tcPr>
          <w:p>
            <w:pPr>
              <w:spacing w:after="0"/>
            </w:pPr>
            <w:r>
              <w:rPr>
                <w:b/>
                <w:bCs/>
                <w:sz w:val="20"/>
                <w:szCs w:val="20"/>
              </w:rPr>
              <w:t xml:space="preserve">Meaning</w:t>
            </w:r>
          </w:p>
        </w:tc>
      </w:tr>
      <w:tr>
        <w:tc>
          <w:tcPr>
            <w:tcW w:type="dxa" w:w="2400"/>
            <w:tcMar>
              <w:top w:type="dxa" w:w="60"/>
              <w:left w:type="dxa" w:w="100"/>
              <w:bottom w:type="dxa" w:w="60"/>
              <w:right w:type="dxa" w:w="100"/>
            </w:tcMar>
          </w:tcPr>
          <w:p>
            <w:pPr>
              <w:spacing w:after="0"/>
            </w:pPr>
            <w:r>
              <w:rPr>
                <w:sz w:val="20"/>
                <w:szCs w:val="20"/>
              </w:rPr>
              <w:t xml:space="preserve">Sales Order Old</w:t>
            </w:r>
          </w:p>
        </w:tc>
        <w:tc>
          <w:tcPr>
            <w:tcW w:type="dxa" w:w="4600"/>
            <w:tcMar>
              <w:top w:type="dxa" w:w="60"/>
              <w:left w:type="dxa" w:w="100"/>
              <w:bottom w:type="dxa" w:w="60"/>
              <w:right w:type="dxa" w:w="100"/>
            </w:tcMar>
          </w:tcPr>
          <w:p>
            <w:pPr>
              <w:spacing w:after="0"/>
            </w:pPr>
            <w:r>
              <w:rPr>
                <w:sz w:val="20"/>
                <w:szCs w:val="20"/>
              </w:rPr>
              <w:t xml:space="preserve">The migrated order (X) with the original ECC prices</w:t>
            </w:r>
          </w:p>
        </w:tc>
      </w:tr>
      <w:tr>
        <w:tc>
          <w:tcPr>
            <w:tcW w:type="dxa" w:w="2400"/>
            <w:tcMar>
              <w:top w:type="dxa" w:w="60"/>
              <w:left w:type="dxa" w:w="100"/>
              <w:bottom w:type="dxa" w:w="60"/>
              <w:right w:type="dxa" w:w="100"/>
            </w:tcMar>
          </w:tcPr>
          <w:p>
            <w:pPr>
              <w:spacing w:after="0"/>
            </w:pPr>
            <w:r>
              <w:rPr>
                <w:sz w:val="20"/>
                <w:szCs w:val="20"/>
              </w:rPr>
              <w:t xml:space="preserve">Sales Order New</w:t>
            </w:r>
          </w:p>
        </w:tc>
        <w:tc>
          <w:tcPr>
            <w:tcW w:type="dxa" w:w="4600"/>
            <w:tcMar>
              <w:top w:type="dxa" w:w="60"/>
              <w:left w:type="dxa" w:w="100"/>
              <w:bottom w:type="dxa" w:w="60"/>
              <w:right w:type="dxa" w:w="100"/>
            </w:tcMar>
          </w:tcPr>
          <w:p>
            <w:pPr>
              <w:spacing w:after="0"/>
            </w:pPr>
            <w:r>
              <w:rPr>
                <w:sz w:val="20"/>
                <w:szCs w:val="20"/>
              </w:rPr>
              <w:t xml:space="preserve">The test copy (Y) freshly priced by S/4HANA</w:t>
            </w:r>
          </w:p>
        </w:tc>
      </w:tr>
      <w:tr>
        <w:tc>
          <w:tcPr>
            <w:tcW w:type="dxa" w:w="2400"/>
            <w:tcMar>
              <w:top w:type="dxa" w:w="60"/>
              <w:left w:type="dxa" w:w="100"/>
              <w:bottom w:type="dxa" w:w="60"/>
              <w:right w:type="dxa" w:w="100"/>
            </w:tcMar>
          </w:tcPr>
          <w:p>
            <w:pPr>
              <w:spacing w:after="0"/>
            </w:pPr>
            <w:r>
              <w:rPr>
                <w:sz w:val="20"/>
                <w:szCs w:val="20"/>
              </w:rPr>
              <w:t xml:space="preserve">SD Item / Material</w:t>
            </w:r>
          </w:p>
        </w:tc>
        <w:tc>
          <w:tcPr>
            <w:tcW w:type="dxa" w:w="4600"/>
            <w:tcMar>
              <w:top w:type="dxa" w:w="60"/>
              <w:left w:type="dxa" w:w="100"/>
              <w:bottom w:type="dxa" w:w="60"/>
              <w:right w:type="dxa" w:w="100"/>
            </w:tcMar>
          </w:tcPr>
          <w:p>
            <w:pPr>
              <w:spacing w:after="0"/>
            </w:pPr>
            <w:r>
              <w:rPr>
                <w:sz w:val="20"/>
                <w:szCs w:val="20"/>
              </w:rPr>
              <w:t xml:space="preserve">Order item and material being compared</w:t>
            </w:r>
          </w:p>
        </w:tc>
      </w:tr>
      <w:tr>
        <w:tc>
          <w:tcPr>
            <w:tcW w:type="dxa" w:w="2400"/>
            <w:tcMar>
              <w:top w:type="dxa" w:w="60"/>
              <w:left w:type="dxa" w:w="100"/>
              <w:bottom w:type="dxa" w:w="60"/>
              <w:right w:type="dxa" w:w="100"/>
            </w:tcMar>
          </w:tcPr>
          <w:p>
            <w:pPr>
              <w:spacing w:after="0"/>
            </w:pPr>
            <w:r>
              <w:rPr>
                <w:sz w:val="20"/>
                <w:szCs w:val="20"/>
              </w:rPr>
              <w:t xml:space="preserve">Cond. Type</w:t>
            </w:r>
          </w:p>
        </w:tc>
        <w:tc>
          <w:tcPr>
            <w:tcW w:type="dxa" w:w="4600"/>
            <w:tcMar>
              <w:top w:type="dxa" w:w="60"/>
              <w:left w:type="dxa" w:w="100"/>
              <w:bottom w:type="dxa" w:w="60"/>
              <w:right w:type="dxa" w:w="100"/>
            </w:tcMar>
          </w:tcPr>
          <w:p>
            <w:pPr>
              <w:spacing w:after="0"/>
            </w:pPr>
            <w:r>
              <w:rPr>
                <w:sz w:val="20"/>
                <w:szCs w:val="20"/>
              </w:rPr>
              <w:t xml:space="preserve">Pricing condition type (price, discount, tax…). The row *NET compares the item net value.</w:t>
            </w:r>
          </w:p>
        </w:tc>
      </w:tr>
      <w:tr>
        <w:tc>
          <w:tcPr>
            <w:tcW w:type="dxa" w:w="2400"/>
            <w:tcMar>
              <w:top w:type="dxa" w:w="60"/>
              <w:left w:type="dxa" w:w="100"/>
              <w:bottom w:type="dxa" w:w="60"/>
              <w:right w:type="dxa" w:w="100"/>
            </w:tcMar>
          </w:tcPr>
          <w:p>
            <w:pPr>
              <w:spacing w:after="0"/>
            </w:pPr>
            <w:r>
              <w:rPr>
                <w:sz w:val="20"/>
                <w:szCs w:val="20"/>
              </w:rPr>
              <w:t xml:space="preserve">Rate X / Rate Y / Rate delta</w:t>
            </w:r>
          </w:p>
        </w:tc>
        <w:tc>
          <w:tcPr>
            <w:tcW w:type="dxa" w:w="4600"/>
            <w:tcMar>
              <w:top w:type="dxa" w:w="60"/>
              <w:left w:type="dxa" w:w="100"/>
              <w:bottom w:type="dxa" w:w="60"/>
              <w:right w:type="dxa" w:w="100"/>
            </w:tcMar>
          </w:tcPr>
          <w:p>
            <w:pPr>
              <w:spacing w:after="0"/>
            </w:pPr>
            <w:r>
              <w:rPr>
                <w:sz w:val="20"/>
                <w:szCs w:val="20"/>
              </w:rPr>
              <w:t xml:space="preserve">Condition rate in the old vs. new order, and the difference</w:t>
            </w:r>
          </w:p>
        </w:tc>
      </w:tr>
      <w:tr>
        <w:tc>
          <w:tcPr>
            <w:tcW w:type="dxa" w:w="2400"/>
            <w:tcMar>
              <w:top w:type="dxa" w:w="60"/>
              <w:left w:type="dxa" w:w="100"/>
              <w:bottom w:type="dxa" w:w="60"/>
              <w:right w:type="dxa" w:w="100"/>
            </w:tcMar>
          </w:tcPr>
          <w:p>
            <w:pPr>
              <w:spacing w:after="0"/>
            </w:pPr>
            <w:r>
              <w:rPr>
                <w:sz w:val="20"/>
                <w:szCs w:val="20"/>
              </w:rPr>
              <w:t xml:space="preserve">Value X / Value Y / Value delta</w:t>
            </w:r>
          </w:p>
        </w:tc>
        <w:tc>
          <w:tcPr>
            <w:tcW w:type="dxa" w:w="4600"/>
            <w:tcMar>
              <w:top w:type="dxa" w:w="60"/>
              <w:left w:type="dxa" w:w="100"/>
              <w:bottom w:type="dxa" w:w="60"/>
              <w:right w:type="dxa" w:w="100"/>
            </w:tcMar>
          </w:tcPr>
          <w:p>
            <w:pPr>
              <w:spacing w:after="0"/>
            </w:pPr>
            <w:r>
              <w:rPr>
                <w:sz w:val="20"/>
                <w:szCs w:val="20"/>
              </w:rPr>
              <w:t xml:space="preserve">Condition value in the old vs. new order, and the difference</w:t>
            </w:r>
          </w:p>
        </w:tc>
      </w:tr>
      <w:tr>
        <w:tc>
          <w:tcPr>
            <w:tcW w:type="dxa" w:w="2400"/>
            <w:tcMar>
              <w:top w:type="dxa" w:w="60"/>
              <w:left w:type="dxa" w:w="100"/>
              <w:bottom w:type="dxa" w:w="60"/>
              <w:right w:type="dxa" w:w="100"/>
            </w:tcMar>
          </w:tcPr>
          <w:p>
            <w:pPr>
              <w:spacing w:after="0"/>
            </w:pPr>
            <w:r>
              <w:rPr>
                <w:sz w:val="20"/>
                <w:szCs w:val="20"/>
              </w:rPr>
              <w:t xml:space="preserve">Remark</w:t>
            </w:r>
          </w:p>
        </w:tc>
        <w:tc>
          <w:tcPr>
            <w:tcW w:type="dxa" w:w="4600"/>
            <w:tcMar>
              <w:top w:type="dxa" w:w="60"/>
              <w:left w:type="dxa" w:w="100"/>
              <w:bottom w:type="dxa" w:w="60"/>
              <w:right w:type="dxa" w:w="100"/>
            </w:tcMar>
          </w:tcPr>
          <w:p>
            <w:pPr>
              <w:spacing w:after="0"/>
            </w:pPr>
            <w:r>
              <w:rPr>
                <w:sz w:val="20"/>
                <w:szCs w:val="20"/>
              </w:rPr>
              <w:t xml:space="preserve">Explanation of the status, including any SAP error messages</w:t>
            </w:r>
          </w:p>
        </w:tc>
      </w:tr>
    </w:tbl>
    <w:p>
      <w:pPr>
        <w:pStyle w:val="Heading2"/>
        <w:spacing w:after="120" w:before="240"/>
      </w:pPr>
      <w:r>
        <w:rPr>
          <w:b/>
          <w:bCs/>
          <w:color w:val="333333"/>
          <w:sz w:val="24"/>
          <w:szCs w:val="24"/>
        </w:rPr>
        <w:t xml:space="preserve">4.2 Status and colors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4200"/>
      </w:tblGrid>
      <w:tr>
        <w:tc>
          <w:tcPr>
            <w:tcW w:type="dxa" w:w="1900"/>
            <w:shd w:fill="F2F2F2" w:val="clear"/>
            <w:tcMar>
              <w:top w:type="dxa" w:w="60"/>
              <w:left w:type="dxa" w:w="100"/>
              <w:bottom w:type="dxa" w:w="60"/>
              <w:right w:type="dxa" w:w="100"/>
            </w:tcMar>
          </w:tcPr>
          <w:p>
            <w:pPr>
              <w:spacing w:after="0"/>
            </w:pPr>
            <w:r>
              <w:rPr>
                <w:b/>
                <w:bCs/>
                <w:sz w:val="20"/>
                <w:szCs w:val="20"/>
              </w:rPr>
              <w:t xml:space="preserve">Status</w:t>
            </w:r>
          </w:p>
        </w:tc>
        <w:tc>
          <w:tcPr>
            <w:tcW w:type="dxa" w:w="900"/>
            <w:shd w:fill="F2F2F2" w:val="clear"/>
            <w:tcMar>
              <w:top w:type="dxa" w:w="60"/>
              <w:left w:type="dxa" w:w="100"/>
              <w:bottom w:type="dxa" w:w="60"/>
              <w:right w:type="dxa" w:w="100"/>
            </w:tcMar>
          </w:tcPr>
          <w:p>
            <w:pPr>
              <w:spacing w:after="0"/>
            </w:pPr>
            <w:r>
              <w:rPr>
                <w:b/>
                <w:bCs/>
                <w:sz w:val="20"/>
                <w:szCs w:val="20"/>
              </w:rPr>
              <w:t xml:space="preserve">Color</w:t>
            </w:r>
          </w:p>
        </w:tc>
        <w:tc>
          <w:tcPr>
            <w:tcW w:type="dxa" w:w="4200"/>
            <w:shd w:fill="F2F2F2" w:val="clear"/>
            <w:tcMar>
              <w:top w:type="dxa" w:w="60"/>
              <w:left w:type="dxa" w:w="100"/>
              <w:bottom w:type="dxa" w:w="60"/>
              <w:right w:type="dxa" w:w="100"/>
            </w:tcMar>
          </w:tcPr>
          <w:p>
            <w:pPr>
              <w:spacing w:after="0"/>
            </w:pPr>
            <w:r>
              <w:rPr>
                <w:b/>
                <w:bCs/>
                <w:sz w:val="20"/>
                <w:szCs w:val="20"/>
              </w:rPr>
              <w:t xml:space="preserve">What it means / what to do</w:t>
            </w:r>
          </w:p>
        </w:tc>
      </w:tr>
      <w:tr>
        <w:tc>
          <w:tcPr>
            <w:tcW w:type="dxa" w:w="1900"/>
            <w:tcMar>
              <w:top w:type="dxa" w:w="60"/>
              <w:left w:type="dxa" w:w="100"/>
              <w:bottom w:type="dxa" w:w="60"/>
              <w:right w:type="dxa" w:w="100"/>
            </w:tcMar>
          </w:tcPr>
          <w:p>
            <w:pPr>
              <w:spacing w:after="0"/>
            </w:pPr>
            <w:r>
              <w:rPr>
                <w:sz w:val="20"/>
                <w:szCs w:val="20"/>
              </w:rPr>
              <w:t xml:space="preserve">OK</w:t>
            </w:r>
          </w:p>
        </w:tc>
        <w:tc>
          <w:tcPr>
            <w:tcW w:type="dxa" w:w="900"/>
            <w:shd w:fill="C6EFCE" w:val="clear"/>
            <w:tcMar>
              <w:top w:type="dxa" w:w="60"/>
              <w:left w:type="dxa" w:w="100"/>
              <w:bottom w:type="dxa" w:w="60"/>
              <w:right w:type="dxa" w:w="100"/>
            </w:tcMar>
          </w:tcPr>
          <w:p>
            <w:pPr>
              <w:spacing w:after="0"/>
            </w:pPr>
            <w:r>
              <w:rPr>
                <w:sz w:val="20"/>
                <w:szCs w:val="20"/>
              </w:rPr>
              <w:t xml:space="preserve">Green</w:t>
            </w:r>
          </w:p>
        </w:tc>
        <w:tc>
          <w:tcPr>
            <w:tcW w:type="dxa" w:w="4200"/>
            <w:tcMar>
              <w:top w:type="dxa" w:w="60"/>
              <w:left w:type="dxa" w:w="100"/>
              <w:bottom w:type="dxa" w:w="60"/>
              <w:right w:type="dxa" w:w="100"/>
            </w:tcMar>
          </w:tcPr>
          <w:p>
            <w:pPr>
              <w:spacing w:after="0"/>
            </w:pPr>
            <w:r>
              <w:rPr>
                <w:sz w:val="20"/>
                <w:szCs w:val="20"/>
              </w:rPr>
              <w:t xml:space="preserve">S/4HANA calculated exactly the same result as ECC. No action needed.</w:t>
            </w:r>
          </w:p>
        </w:tc>
      </w:tr>
      <w:tr>
        <w:tc>
          <w:tcPr>
            <w:tcW w:type="dxa" w:w="1900"/>
            <w:tcMar>
              <w:top w:type="dxa" w:w="60"/>
              <w:left w:type="dxa" w:w="100"/>
              <w:bottom w:type="dxa" w:w="60"/>
              <w:right w:type="dxa" w:w="100"/>
            </w:tcMar>
          </w:tcPr>
          <w:p>
            <w:pPr>
              <w:spacing w:after="0"/>
            </w:pPr>
            <w:r>
              <w:rPr>
                <w:sz w:val="20"/>
                <w:szCs w:val="20"/>
              </w:rPr>
              <w:t xml:space="preserve">MISMATCH</w:t>
            </w:r>
          </w:p>
        </w:tc>
        <w:tc>
          <w:tcPr>
            <w:tcW w:type="dxa" w:w="900"/>
            <w:shd w:fill="FFC7CE" w:val="clear"/>
            <w:tcMar>
              <w:top w:type="dxa" w:w="60"/>
              <w:left w:type="dxa" w:w="100"/>
              <w:bottom w:type="dxa" w:w="60"/>
              <w:right w:type="dxa" w:w="100"/>
            </w:tcMar>
          </w:tcPr>
          <w:p>
            <w:pPr>
              <w:spacing w:after="0"/>
            </w:pPr>
            <w:r>
              <w:rPr>
                <w:sz w:val="20"/>
                <w:szCs w:val="20"/>
              </w:rPr>
              <w:t xml:space="preserve">Red</w:t>
            </w:r>
          </w:p>
        </w:tc>
        <w:tc>
          <w:tcPr>
            <w:tcW w:type="dxa" w:w="4200"/>
            <w:tcMar>
              <w:top w:type="dxa" w:w="60"/>
              <w:left w:type="dxa" w:w="100"/>
              <w:bottom w:type="dxa" w:w="60"/>
              <w:right w:type="dxa" w:w="100"/>
            </w:tcMar>
          </w:tcPr>
          <w:p>
            <w:pPr>
              <w:spacing w:after="0"/>
            </w:pPr>
            <w:r>
              <w:rPr>
                <w:sz w:val="20"/>
                <w:szCs w:val="20"/>
              </w:rPr>
              <w:t xml:space="preserve">The condition exists in both orders but with a different value. The pricing configuration or the migrated condition record must be checked.</w:t>
            </w:r>
          </w:p>
        </w:tc>
      </w:tr>
      <w:tr>
        <w:tc>
          <w:tcPr>
            <w:tcW w:type="dxa" w:w="1900"/>
            <w:tcMar>
              <w:top w:type="dxa" w:w="60"/>
              <w:left w:type="dxa" w:w="100"/>
              <w:bottom w:type="dxa" w:w="60"/>
              <w:right w:type="dxa" w:w="100"/>
            </w:tcMar>
          </w:tcPr>
          <w:p>
            <w:pPr>
              <w:spacing w:after="0"/>
            </w:pPr>
            <w:r>
              <w:rPr>
                <w:sz w:val="20"/>
                <w:szCs w:val="20"/>
              </w:rPr>
              <w:t xml:space="preserve">MISSING_S4 (with value)</w:t>
            </w:r>
          </w:p>
        </w:tc>
        <w:tc>
          <w:tcPr>
            <w:tcW w:type="dxa" w:w="900"/>
            <w:shd w:fill="FFC7CE" w:val="clear"/>
            <w:tcMar>
              <w:top w:type="dxa" w:w="60"/>
              <w:left w:type="dxa" w:w="100"/>
              <w:bottom w:type="dxa" w:w="60"/>
              <w:right w:type="dxa" w:w="100"/>
            </w:tcMar>
          </w:tcPr>
          <w:p>
            <w:pPr>
              <w:spacing w:after="0"/>
            </w:pPr>
            <w:r>
              <w:rPr>
                <w:sz w:val="20"/>
                <w:szCs w:val="20"/>
              </w:rPr>
              <w:t xml:space="preserve">Red</w:t>
            </w:r>
          </w:p>
        </w:tc>
        <w:tc>
          <w:tcPr>
            <w:tcW w:type="dxa" w:w="4200"/>
            <w:tcMar>
              <w:top w:type="dxa" w:w="60"/>
              <w:left w:type="dxa" w:w="100"/>
              <w:bottom w:type="dxa" w:w="60"/>
              <w:right w:type="dxa" w:w="100"/>
            </w:tcMar>
          </w:tcPr>
          <w:p>
            <w:pPr>
              <w:spacing w:after="0"/>
            </w:pPr>
            <w:r>
              <w:rPr>
                <w:sz w:val="20"/>
                <w:szCs w:val="20"/>
              </w:rPr>
              <w:t xml:space="preserve">A condition that had a real value in the old order was NOT found by S/4HANA. Usually a missing or wrongly migrated condition record or access sequence.</w:t>
            </w:r>
          </w:p>
        </w:tc>
      </w:tr>
      <w:tr>
        <w:tc>
          <w:tcPr>
            <w:tcW w:type="dxa" w:w="1900"/>
            <w:tcMar>
              <w:top w:type="dxa" w:w="60"/>
              <w:left w:type="dxa" w:w="100"/>
              <w:bottom w:type="dxa" w:w="60"/>
              <w:right w:type="dxa" w:w="100"/>
            </w:tcMar>
          </w:tcPr>
          <w:p>
            <w:pPr>
              <w:spacing w:after="0"/>
            </w:pPr>
            <w:r>
              <w:rPr>
                <w:sz w:val="20"/>
                <w:szCs w:val="20"/>
              </w:rPr>
              <w:t xml:space="preserve">MISSING_S4 (zero value)</w:t>
            </w:r>
          </w:p>
        </w:tc>
        <w:tc>
          <w:tcPr>
            <w:tcW w:type="dxa" w:w="900"/>
            <w:shd w:fill="FFEB9C" w:val="clear"/>
            <w:tcMar>
              <w:top w:type="dxa" w:w="60"/>
              <w:left w:type="dxa" w:w="100"/>
              <w:bottom w:type="dxa" w:w="60"/>
              <w:right w:type="dxa" w:w="100"/>
            </w:tcMar>
          </w:tcPr>
          <w:p>
            <w:pPr>
              <w:spacing w:after="0"/>
            </w:pPr>
            <w:r>
              <w:rPr>
                <w:sz w:val="20"/>
                <w:szCs w:val="20"/>
              </w:rPr>
              <w:t xml:space="preserve">Yellow</w:t>
            </w:r>
          </w:p>
        </w:tc>
        <w:tc>
          <w:tcPr>
            <w:tcW w:type="dxa" w:w="4200"/>
            <w:tcMar>
              <w:top w:type="dxa" w:w="60"/>
              <w:left w:type="dxa" w:w="100"/>
              <w:bottom w:type="dxa" w:w="60"/>
              <w:right w:type="dxa" w:w="100"/>
            </w:tcMar>
          </w:tcPr>
          <w:p>
            <w:pPr>
              <w:spacing w:after="0"/>
            </w:pPr>
            <w:r>
              <w:rPr>
                <w:sz w:val="20"/>
                <w:szCs w:val="20"/>
              </w:rPr>
              <w:t xml:space="preserve">A condition with zero value was not re-determined. It does not change the final price — informational only.</w:t>
            </w:r>
          </w:p>
        </w:tc>
      </w:tr>
      <w:tr>
        <w:tc>
          <w:tcPr>
            <w:tcW w:type="dxa" w:w="1900"/>
            <w:tcMar>
              <w:top w:type="dxa" w:w="60"/>
              <w:left w:type="dxa" w:w="100"/>
              <w:bottom w:type="dxa" w:w="60"/>
              <w:right w:type="dxa" w:w="100"/>
            </w:tcMar>
          </w:tcPr>
          <w:p>
            <w:pPr>
              <w:spacing w:after="0"/>
            </w:pPr>
            <w:r>
              <w:rPr>
                <w:sz w:val="20"/>
                <w:szCs w:val="20"/>
              </w:rPr>
              <w:t xml:space="preserve">NEW_IN_S4 (with value)</w:t>
            </w:r>
          </w:p>
        </w:tc>
        <w:tc>
          <w:tcPr>
            <w:tcW w:type="dxa" w:w="900"/>
            <w:shd w:fill="FFC7CE" w:val="clear"/>
            <w:tcMar>
              <w:top w:type="dxa" w:w="60"/>
              <w:left w:type="dxa" w:w="100"/>
              <w:bottom w:type="dxa" w:w="60"/>
              <w:right w:type="dxa" w:w="100"/>
            </w:tcMar>
          </w:tcPr>
          <w:p>
            <w:pPr>
              <w:spacing w:after="0"/>
            </w:pPr>
            <w:r>
              <w:rPr>
                <w:sz w:val="20"/>
                <w:szCs w:val="20"/>
              </w:rPr>
              <w:t xml:space="preserve">Red</w:t>
            </w:r>
          </w:p>
        </w:tc>
        <w:tc>
          <w:tcPr>
            <w:tcW w:type="dxa" w:w="4200"/>
            <w:tcMar>
              <w:top w:type="dxa" w:w="60"/>
              <w:left w:type="dxa" w:w="100"/>
              <w:bottom w:type="dxa" w:w="60"/>
              <w:right w:type="dxa" w:w="100"/>
            </w:tcMar>
          </w:tcPr>
          <w:p>
            <w:pPr>
              <w:spacing w:after="0"/>
            </w:pPr>
            <w:r>
              <w:rPr>
                <w:sz w:val="20"/>
                <w:szCs w:val="20"/>
              </w:rPr>
              <w:t xml:space="preserve">S/4HANA determined a condition with a real value that the old order did not have — the new price differs from ECC.</w:t>
            </w:r>
          </w:p>
        </w:tc>
      </w:tr>
      <w:tr>
        <w:tc>
          <w:tcPr>
            <w:tcW w:type="dxa" w:w="1900"/>
            <w:tcMar>
              <w:top w:type="dxa" w:w="60"/>
              <w:left w:type="dxa" w:w="100"/>
              <w:bottom w:type="dxa" w:w="60"/>
              <w:right w:type="dxa" w:w="100"/>
            </w:tcMar>
          </w:tcPr>
          <w:p>
            <w:pPr>
              <w:spacing w:after="0"/>
            </w:pPr>
            <w:r>
              <w:rPr>
                <w:sz w:val="20"/>
                <w:szCs w:val="20"/>
              </w:rPr>
              <w:t xml:space="preserve">NEW_IN_S4 (zero value)</w:t>
            </w:r>
          </w:p>
        </w:tc>
        <w:tc>
          <w:tcPr>
            <w:tcW w:type="dxa" w:w="900"/>
            <w:shd w:fill="FFEB9C" w:val="clear"/>
            <w:tcMar>
              <w:top w:type="dxa" w:w="60"/>
              <w:left w:type="dxa" w:w="100"/>
              <w:bottom w:type="dxa" w:w="60"/>
              <w:right w:type="dxa" w:w="100"/>
            </w:tcMar>
          </w:tcPr>
          <w:p>
            <w:pPr>
              <w:spacing w:after="0"/>
            </w:pPr>
            <w:r>
              <w:rPr>
                <w:sz w:val="20"/>
                <w:szCs w:val="20"/>
              </w:rPr>
              <w:t xml:space="preserve">Yellow</w:t>
            </w:r>
          </w:p>
        </w:tc>
        <w:tc>
          <w:tcPr>
            <w:tcW w:type="dxa" w:w="4200"/>
            <w:tcMar>
              <w:top w:type="dxa" w:w="60"/>
              <w:left w:type="dxa" w:w="100"/>
              <w:bottom w:type="dxa" w:w="60"/>
              <w:right w:type="dxa" w:w="100"/>
            </w:tcMar>
          </w:tcPr>
          <w:p>
            <w:pPr>
              <w:spacing w:after="0"/>
            </w:pPr>
            <w:r>
              <w:rPr>
                <w:sz w:val="20"/>
                <w:szCs w:val="20"/>
              </w:rPr>
              <w:t xml:space="preserve">A new condition with zero value — no impact on the final price.</w:t>
            </w:r>
          </w:p>
        </w:tc>
      </w:tr>
      <w:tr>
        <w:tc>
          <w:tcPr>
            <w:tcW w:type="dxa" w:w="1900"/>
            <w:tcMar>
              <w:top w:type="dxa" w:w="60"/>
              <w:left w:type="dxa" w:w="100"/>
              <w:bottom w:type="dxa" w:w="60"/>
              <w:right w:type="dxa" w:w="100"/>
            </w:tcMar>
          </w:tcPr>
          <w:p>
            <w:pPr>
              <w:spacing w:after="0"/>
            </w:pPr>
            <w:r>
              <w:rPr>
                <w:sz w:val="20"/>
                <w:szCs w:val="20"/>
              </w:rPr>
              <w:t xml:space="preserve">MANUAL</w:t>
            </w:r>
          </w:p>
        </w:tc>
        <w:tc>
          <w:tcPr>
            <w:tcW w:type="dxa" w:w="900"/>
            <w:shd w:fill="FFEB9C" w:val="clear"/>
            <w:tcMar>
              <w:top w:type="dxa" w:w="60"/>
              <w:left w:type="dxa" w:w="100"/>
              <w:bottom w:type="dxa" w:w="60"/>
              <w:right w:type="dxa" w:w="100"/>
            </w:tcMar>
          </w:tcPr>
          <w:p>
            <w:pPr>
              <w:spacing w:after="0"/>
            </w:pPr>
            <w:r>
              <w:rPr>
                <w:sz w:val="20"/>
                <w:szCs w:val="20"/>
              </w:rPr>
              <w:t xml:space="preserve">Yellow</w:t>
            </w:r>
          </w:p>
        </w:tc>
        <w:tc>
          <w:tcPr>
            <w:tcW w:type="dxa" w:w="4200"/>
            <w:tcMar>
              <w:top w:type="dxa" w:w="60"/>
              <w:left w:type="dxa" w:w="100"/>
              <w:bottom w:type="dxa" w:w="60"/>
              <w:right w:type="dxa" w:w="100"/>
            </w:tcMar>
          </w:tcPr>
          <w:p>
            <w:pPr>
              <w:spacing w:after="0"/>
            </w:pPr>
            <w:r>
              <w:rPr>
                <w:sz w:val="20"/>
                <w:szCs w:val="20"/>
              </w:rPr>
              <w:t xml:space="preserve">The condition was entered manually on the old order. A fresh pricing run can never reproduce manual entries — informational only.</w:t>
            </w:r>
          </w:p>
        </w:tc>
      </w:tr>
      <w:tr>
        <w:tc>
          <w:tcPr>
            <w:tcW w:type="dxa" w:w="1900"/>
            <w:tcMar>
              <w:top w:type="dxa" w:w="60"/>
              <w:left w:type="dxa" w:w="100"/>
              <w:bottom w:type="dxa" w:w="60"/>
              <w:right w:type="dxa" w:w="100"/>
            </w:tcMar>
          </w:tcPr>
          <w:p>
            <w:pPr>
              <w:spacing w:after="0"/>
            </w:pPr>
            <w:r>
              <w:rPr>
                <w:sz w:val="20"/>
                <w:szCs w:val="20"/>
              </w:rPr>
              <w:t xml:space="preserve">ERROR</w:t>
            </w:r>
          </w:p>
        </w:tc>
        <w:tc>
          <w:tcPr>
            <w:tcW w:type="dxa" w:w="900"/>
            <w:shd w:fill="FFC7CE" w:val="clear"/>
            <w:tcMar>
              <w:top w:type="dxa" w:w="60"/>
              <w:left w:type="dxa" w:w="100"/>
              <w:bottom w:type="dxa" w:w="60"/>
              <w:right w:type="dxa" w:w="100"/>
            </w:tcMar>
          </w:tcPr>
          <w:p>
            <w:pPr>
              <w:spacing w:after="0"/>
            </w:pPr>
            <w:r>
              <w:rPr>
                <w:sz w:val="20"/>
                <w:szCs w:val="20"/>
              </w:rPr>
              <w:t xml:space="preserve">Red</w:t>
            </w:r>
          </w:p>
        </w:tc>
        <w:tc>
          <w:tcPr>
            <w:tcW w:type="dxa" w:w="4200"/>
            <w:tcMar>
              <w:top w:type="dxa" w:w="60"/>
              <w:left w:type="dxa" w:w="100"/>
              <w:bottom w:type="dxa" w:w="60"/>
              <w:right w:type="dxa" w:w="100"/>
            </w:tcMar>
          </w:tcPr>
          <w:p>
            <w:pPr>
              <w:spacing w:after="0"/>
            </w:pPr>
            <w:r>
              <w:rPr>
                <w:sz w:val="20"/>
                <w:szCs w:val="20"/>
              </w:rPr>
              <w:t xml:space="preserve">The test copy could not be created. The SAP error message is shown in the Remark column (e.g. blocked customer, missing master data).</w:t>
            </w:r>
          </w:p>
        </w:tc>
      </w:tr>
    </w:tbl>
    <w:p>
      <w:pPr>
        <w:spacing w:after="120"/>
      </w:pPr>
      <w:r>
        <w:rPr>
          <w:sz w:val="22"/>
          <w:szCs w:val="22"/>
        </w:rPr>
        <w:t xml:space="preserve"/>
      </w:r>
    </w:p>
    <w:p>
      <w:pPr>
        <w:spacing w:after="120"/>
      </w:pPr>
      <w:r>
        <w:rPr>
          <w:b/>
          <w:bCs/>
          <w:sz w:val="22"/>
          <w:szCs w:val="22"/>
        </w:rPr>
        <w:t xml:space="preserve">Rule of thumb: if everything is green or yellow, the pricing of this order was migrated correctly. Only red rows need investigation.</w:t>
      </w:r>
    </w:p>
    <w:p>
      <w:pPr>
        <w:pStyle w:val="Heading1"/>
        <w:spacing w:after="160" w:before="320"/>
      </w:pPr>
      <w:r>
        <w:rPr>
          <w:b/>
          <w:bCs/>
          <w:color w:val="C8102E"/>
          <w:sz w:val="30"/>
          <w:szCs w:val="30"/>
        </w:rPr>
        <w:t xml:space="preserve">5. What to do when you see red rows</w:t>
      </w:r>
    </w:p>
    <w:p>
      <w:pPr>
        <w:pStyle w:val="ListParagraph"/>
        <w:numPr>
          <w:ilvl w:val="0"/>
          <w:numId w:val="4"/>
        </w:numPr>
        <w:spacing w:after="80"/>
      </w:pPr>
      <w:r>
        <w:rPr>
          <w:sz w:val="22"/>
          <w:szCs w:val="22"/>
        </w:rPr>
        <w:t xml:space="preserve">MISMATCH → </w:t>
      </w:r>
      <w:r>
        <w:rPr>
          <w:sz w:val="22"/>
          <w:szCs w:val="22"/>
        </w:rPr>
        <w:t xml:space="preserve">compare the condition record behind the condition type (transaction VK13) valid on the order’s pricing date with the value in the old order; check calculation type, scales and currency decimals.</w:t>
      </w:r>
    </w:p>
    <w:p>
      <w:pPr>
        <w:pStyle w:val="ListParagraph"/>
        <w:numPr>
          <w:ilvl w:val="0"/>
          <w:numId w:val="4"/>
        </w:numPr>
        <w:spacing w:after="80"/>
      </w:pPr>
      <w:r>
        <w:rPr>
          <w:sz w:val="22"/>
          <w:szCs w:val="22"/>
        </w:rPr>
        <w:t xml:space="preserve">MISSING_S4 with value → </w:t>
      </w:r>
      <w:r>
        <w:rPr>
          <w:sz w:val="22"/>
          <w:szCs w:val="22"/>
        </w:rPr>
        <w:t xml:space="preserve">check whether the condition record exists in S/4HANA for the order’s pricing date and key combination; if it exists, check the access sequence and requirements in the pricing procedure.</w:t>
      </w:r>
    </w:p>
    <w:p>
      <w:pPr>
        <w:pStyle w:val="ListParagraph"/>
        <w:numPr>
          <w:ilvl w:val="0"/>
          <w:numId w:val="4"/>
        </w:numPr>
        <w:spacing w:after="80"/>
      </w:pPr>
      <w:r>
        <w:rPr>
          <w:sz w:val="22"/>
          <w:szCs w:val="22"/>
        </w:rPr>
        <w:t xml:space="preserve">NEW_IN_S4 with value → </w:t>
      </w:r>
      <w:r>
        <w:rPr>
          <w:sz w:val="22"/>
          <w:szCs w:val="22"/>
        </w:rPr>
        <w:t xml:space="preserve">a condition record or automatic determination exists in S/4HANA that did not apply in ECC; verify whether this is intended.</w:t>
      </w:r>
    </w:p>
    <w:p>
      <w:pPr>
        <w:pStyle w:val="ListParagraph"/>
        <w:numPr>
          <w:ilvl w:val="0"/>
          <w:numId w:val="4"/>
        </w:numPr>
        <w:spacing w:after="80"/>
      </w:pPr>
      <w:r>
        <w:rPr>
          <w:sz w:val="22"/>
          <w:szCs w:val="22"/>
        </w:rPr>
        <w:t xml:space="preserve">ERROR → </w:t>
      </w:r>
      <w:r>
        <w:rPr>
          <w:sz w:val="22"/>
          <w:szCs w:val="22"/>
        </w:rPr>
        <w:t xml:space="preserve">read the message in the Remark column; typically master data (customer/material) is incomplete in the test system.</w:t>
      </w:r>
    </w:p>
    <w:p>
      <w:pPr>
        <w:spacing w:after="120"/>
      </w:pPr>
      <w:r>
        <w:rPr>
          <w:sz w:val="22"/>
          <w:szCs w:val="22"/>
        </w:rPr>
        <w:t xml:space="preserve">After the configuration or condition records are corrected, simply run the program again for the same document type and period — the report should turn green.</w:t>
      </w:r>
    </w:p>
    <w:p>
      <w:pPr>
        <w:pStyle w:val="Heading1"/>
        <w:spacing w:after="160" w:before="320"/>
      </w:pPr>
      <w:r>
        <w:rPr>
          <w:b/>
          <w:bCs/>
          <w:color w:val="C8102E"/>
          <w:sz w:val="30"/>
          <w:szCs w:val="30"/>
        </w:rPr>
        <w:t xml:space="preserve">6. Important notes</w:t>
      </w:r>
    </w:p>
    <w:p>
      <w:pPr>
        <w:pStyle w:val="ListParagraph"/>
        <w:numPr>
          <w:ilvl w:val="0"/>
          <w:numId w:val="4"/>
        </w:numPr>
        <w:spacing w:after="80"/>
      </w:pPr>
      <w:r>
        <w:rPr>
          <w:b/>
          <w:bCs/>
          <w:sz w:val="22"/>
          <w:szCs w:val="22"/>
        </w:rPr>
        <w:t xml:space="preserve">The program creates a real test order (Y). </w:t>
      </w:r>
      <w:r>
        <w:rPr>
          <w:sz w:val="22"/>
          <w:szCs w:val="22"/>
        </w:rPr>
        <w:t xml:space="preserve">It stays in the system and is not deleted automatically. Every test copy carries the text </w:t>
      </w:r>
      <w:r>
        <w:rPr>
          <w:b/>
          <w:bCs/>
          <w:sz w:val="22"/>
          <w:szCs w:val="22"/>
        </w:rPr>
        <w:t xml:space="preserve">PRCVAL-&lt;old order number&gt;</w:t>
      </w:r>
      <w:r>
        <w:rPr>
          <w:sz w:val="22"/>
          <w:szCs w:val="22"/>
        </w:rPr>
        <w:t xml:space="preserve"> in its Purchase Order Number field, so all test copies can be found at any time (e.g. transaction VA05) and rejected/cleaned up after the validation phase.</w:t>
      </w:r>
    </w:p>
    <w:p>
      <w:pPr>
        <w:pStyle w:val="ListParagraph"/>
        <w:numPr>
          <w:ilvl w:val="0"/>
          <w:numId w:val="4"/>
        </w:numPr>
        <w:spacing w:after="80"/>
      </w:pPr>
      <w:r>
        <w:rPr>
          <w:sz w:val="22"/>
          <w:szCs w:val="22"/>
        </w:rPr>
        <w:t xml:space="preserve">Run the program only in the quality/test system that holds the migrated data — never in production.</w:t>
      </w:r>
    </w:p>
    <w:p>
      <w:pPr>
        <w:pStyle w:val="ListParagraph"/>
        <w:numPr>
          <w:ilvl w:val="0"/>
          <w:numId w:val="4"/>
        </w:numPr>
        <w:spacing w:after="80"/>
      </w:pPr>
      <w:r>
        <w:rPr>
          <w:sz w:val="22"/>
          <w:szCs w:val="22"/>
        </w:rPr>
        <w:t xml:space="preserve">The new order is priced on the original pricing date of the old order. Differences shown by the report are therefore genuine migration findings — they cannot be caused by price changes that happened after the order date.</w:t>
      </w:r>
    </w:p>
    <w:p>
      <w:pPr>
        <w:pStyle w:val="ListParagraph"/>
        <w:numPr>
          <w:ilvl w:val="0"/>
          <w:numId w:val="4"/>
        </w:numPr>
        <w:spacing w:after="80"/>
      </w:pPr>
      <w:r>
        <w:rPr>
          <w:sz w:val="22"/>
          <w:szCs w:val="22"/>
        </w:rPr>
        <w:t xml:space="preserve">The number of orders checked per run is controlled by “How many orders to check” (default 1) — overall, or per customer when a customer range is entered. To validate broadly, vary document type, period and customers across runs.</w:t>
      </w:r>
    </w:p>
    <w:p>
      <w:pPr>
        <w:pStyle w:val="ListParagraph"/>
        <w:numPr>
          <w:ilvl w:val="0"/>
          <w:numId w:val="4"/>
        </w:numPr>
        <w:spacing w:after="80"/>
      </w:pPr>
      <w:r>
        <w:rPr>
          <w:sz w:val="22"/>
          <w:szCs w:val="22"/>
        </w:rPr>
        <w:t xml:space="preserve">Statistical condition lines and inactive condition lines are excluded automatically; fully rejected items of the old order are skipped.</w:t>
      </w:r>
    </w:p>
    <w:p>
      <w:pPr>
        <w:pStyle w:val="Heading1"/>
        <w:spacing w:after="160" w:before="320"/>
      </w:pPr>
      <w:r>
        <w:rPr>
          <w:b/>
          <w:bCs/>
          <w:color w:val="C8102E"/>
          <w:sz w:val="30"/>
          <w:szCs w:val="30"/>
        </w:rPr>
        <w:t xml:space="preserve">7. Frequently asked questions</w:t>
      </w:r>
    </w:p>
    <w:p>
      <w:pPr>
        <w:spacing w:after="60"/>
      </w:pPr>
      <w:r>
        <w:rPr>
          <w:b/>
          <w:bCs/>
          <w:sz w:val="22"/>
          <w:szCs w:val="22"/>
        </w:rPr>
        <w:t xml:space="preserve">Q: Why does the program pick the highest-value order?</w:t>
      </w:r>
    </w:p>
    <w:p>
      <w:pPr>
        <w:spacing w:after="120"/>
      </w:pPr>
      <w:r>
        <w:rPr>
          <w:sz w:val="22"/>
          <w:szCs w:val="22"/>
        </w:rPr>
        <w:t xml:space="preserve">A: The highest-value order of a period is normally the one with the most items and the richest pricing (discounts, surcharges, taxes), so it gives the broadest coverage in a single check.</w:t>
      </w:r>
    </w:p>
    <w:p>
      <w:pPr>
        <w:spacing w:after="60"/>
      </w:pPr>
      <w:r>
        <w:rPr>
          <w:b/>
          <w:bCs/>
          <w:sz w:val="22"/>
          <w:szCs w:val="22"/>
        </w:rPr>
        <w:t xml:space="preserve">Q: Does the program change the old order?</w:t>
      </w:r>
    </w:p>
    <w:p>
      <w:pPr>
        <w:spacing w:after="120"/>
      </w:pPr>
      <w:r>
        <w:rPr>
          <w:sz w:val="22"/>
          <w:szCs w:val="22"/>
        </w:rPr>
        <w:t xml:space="preserve">A: No. The old order is only read. Only a new test copy is created.</w:t>
      </w:r>
    </w:p>
    <w:p>
      <w:pPr>
        <w:spacing w:after="60"/>
      </w:pPr>
      <w:r>
        <w:rPr>
          <w:b/>
          <w:bCs/>
          <w:sz w:val="22"/>
          <w:szCs w:val="22"/>
        </w:rPr>
        <w:t xml:space="preserve">Q: The report shows yellow MANUAL rows – is that a problem?</w:t>
      </w:r>
    </w:p>
    <w:p>
      <w:pPr>
        <w:spacing w:after="120"/>
      </w:pPr>
      <w:r>
        <w:rPr>
          <w:sz w:val="22"/>
          <w:szCs w:val="22"/>
        </w:rPr>
        <w:t xml:space="preserve">A: No. Prices that a user typed in manually on the original order can never be reproduced by an automatic pricing run. These rows are shown for completeness only.</w:t>
      </w:r>
    </w:p>
    <w:p>
      <w:pPr>
        <w:spacing w:after="60"/>
      </w:pPr>
      <w:r>
        <w:rPr>
          <w:b/>
          <w:bCs/>
          <w:sz w:val="22"/>
          <w:szCs w:val="22"/>
        </w:rPr>
        <w:t xml:space="preserve">Q: Can the test copies be delivered or billed by accident?</w:t>
      </w:r>
    </w:p>
    <w:p>
      <w:pPr>
        <w:spacing w:after="120"/>
      </w:pPr>
      <w:r>
        <w:rPr>
          <w:sz w:val="22"/>
          <w:szCs w:val="22"/>
        </w:rPr>
        <w:t xml:space="preserve">A: They are normal orders in the test system, so they should be cleaned up after the validation phase. They are easy to find via the PRCVAL purchase order number. If desired, a rejection reason can be set on them so they drop out of all open-order lists.</w:t>
      </w:r>
    </w:p>
    <w:p>
      <w:pPr>
        <w:spacing w:after="60"/>
      </w:pPr>
      <w:r>
        <w:rPr>
          <w:b/>
          <w:bCs/>
          <w:sz w:val="22"/>
          <w:szCs w:val="22"/>
        </w:rPr>
        <w:t xml:space="preserve">Q: What about Japanese Yen amounts?</w:t>
      </w:r>
    </w:p>
    <w:p>
      <w:pPr>
        <w:spacing w:after="120"/>
      </w:pPr>
      <w:r>
        <w:rPr>
          <w:sz w:val="22"/>
          <w:szCs w:val="22"/>
        </w:rPr>
        <w:t xml:space="preserve">A: JPY has no decimal places. SAP stores such amounts internally with a shifted decimal point; the program corrects this automatically on both sides of the comparison, so JPY values are compared correctly and no false differences appear.</w:t>
      </w:r>
    </w:p>
    <w:sectPr>
      <w:pgSz w:w="11906" w:h="16838" w:orient="portrait"/>
      <w:pgMar w:top="1080" w:right="1250" w:bottom="108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76" w:hanging="288"/>
      </w:pPr>
    </w:lvl>
  </w:abstractNum>
  <w:abstractNum w:abstractNumId="3" w15:restartNumberingAfterBreak="0">
    <w:multiLevelType w:val="hybridMultilevel"/>
    <w:lvl w:ilvl="0" w15:tentative="1">
      <w:start w:val="1"/>
      <w:numFmt w:val="decimal"/>
      <w:lvlText w:val="%1."/>
      <w:lvlJc w:val="start"/>
      <w:pPr>
        <w:ind w:left="576" w:hanging="360"/>
      </w:pPr>
    </w:lvl>
  </w:abstractNum>
  <w:abstractNum w:abstractNumId="4"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2026-07-27T07:04:55.083Z</dcterms:created>
  <dcterms:modified xsi:type="dcterms:W3CDTF">2026-07-27T07:04:55.094Z</dcterms:modified>
</cp:coreProperties>
</file>

<file path=docProps/custom.xml><?xml version="1.0" encoding="utf-8"?>
<Properties xmlns="http://schemas.openxmlformats.org/officeDocument/2006/custom-properties" xmlns:vt="http://schemas.openxmlformats.org/officeDocument/2006/docPropsVTypes"/>
</file>