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44"/>
          <w:szCs w:val="44"/>
        </w:rPr>
        <w:t xml:space="preserve">ONGC Videsh — Production Dashboard</w:t>
      </w:r>
    </w:p>
    <w:p>
      <w:pPr>
        <w:spacing w:before="160"/>
        <w:jc w:val="center"/>
      </w:pPr>
      <w:r>
        <w:rPr>
          <w:b/>
          <w:bCs/>
          <w:color w:val="404040"/>
          <w:sz w:val="32"/>
          <w:szCs w:val="32"/>
        </w:rPr>
        <w:t xml:space="preserve">Moving the Excel dashboard to SAP BTP</w:t>
      </w:r>
    </w:p>
    <w:p>
      <w:pPr>
        <w:spacing w:before="160"/>
        <w:jc w:val="center"/>
      </w:pPr>
      <w:r>
        <w:rPr>
          <w:color w:val="404040"/>
          <w:sz w:val="24"/>
          <w:szCs w:val="24"/>
        </w:rPr>
        <w:t xml:space="preserve">Tab by tab: what SAP already has, what is missing, and how we propose to close each gap</w:t>
      </w:r>
    </w:p>
    <w:p>
      <w:pPr>
        <w:spacing w:before="500"/>
        <w:jc w:val="center"/>
      </w:pPr>
      <w:r>
        <w:rPr>
          <w:i/>
          <w:iCs/>
          <w:color w:val="606060"/>
          <w:sz w:val="22"/>
          <w:szCs w:val="22"/>
        </w:rPr>
        <w:t xml:space="preserve">Based on Production_Dashboard FY27 (31.08.2026).xlsm — written for the business user</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The short answer</w:t>
      </w:r>
    </w:p>
    <w:p>
      <w:pPr>
        <w:spacing w:after="120"/>
      </w:pPr>
      <w:r>
        <w:rPr>
          <w:b w:val="false"/>
          <w:bCs w:val="false"/>
          <w:i w:val="false"/>
          <w:iCs w:val="false"/>
          <w:sz w:val="22"/>
          <w:szCs w:val="22"/>
        </w:rPr>
        <w:t xml:space="preserve">Your Excel dashboard can be rebuilt as a web dashboard on SAP BTP. About nine out of ten numbers in the workbook already exist in SAP: the daily production you type every morning, the monthly reconciled production, the targets, and the ownership shares. What SAP does not have today is mostly text and a few hand-kept figures: the daily remarks, the partner data on wells and water, the rounded figures from Corporate Planning, the standardised rates, and some manual adjustments. Each of these can be given a small entry screen in SAP, or dropped, and the choice is yours.</w:t>
      </w:r>
    </w:p>
    <w:p>
      <w:pPr>
        <w:spacing w:after="120"/>
      </w:pPr>
      <w:r>
        <w:rPr>
          <w:b/>
          <w:bCs/>
          <w:i w:val="false"/>
          <w:iCs w:val="false"/>
          <w:sz w:val="22"/>
          <w:szCs w:val="22"/>
        </w:rPr>
        <w:t xml:space="preserve">The words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70"/>
              <w:left w:type="dxa" w:w="110"/>
              <w:bottom w:type="dxa" w:w="70"/>
              <w:right w:type="dxa" w:w="110"/>
            </w:tcMar>
          </w:tcPr>
          <w:p>
            <w:pPr>
              <w:spacing w:after="0"/>
            </w:pPr>
            <w:r>
              <w:rPr>
                <w:b/>
                <w:bCs/>
                <w:color w:val="FFFFFF"/>
                <w:sz w:val="19"/>
                <w:szCs w:val="19"/>
              </w:rPr>
              <w:t xml:space="preserve">Term</w:t>
            </w:r>
          </w:p>
        </w:tc>
        <w:tc>
          <w:tcPr>
            <w:tcW w:type="dxa" w:w="6760"/>
            <w:shd w:fill="1F4E79" w:val="clear"/>
            <w:tcMar>
              <w:top w:type="dxa" w:w="70"/>
              <w:left w:type="dxa" w:w="110"/>
              <w:bottom w:type="dxa" w:w="70"/>
              <w:right w:type="dxa" w:w="110"/>
            </w:tcMar>
          </w:tcPr>
          <w:p>
            <w:pPr>
              <w:spacing w:after="0"/>
            </w:pPr>
            <w:r>
              <w:rPr>
                <w:b/>
                <w:bCs/>
                <w:color w:val="FFFFFF"/>
                <w:sz w:val="19"/>
                <w:szCs w:val="19"/>
              </w:rPr>
              <w:t xml:space="preserve">Meaning</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SAP daily production</w:t>
            </w:r>
          </w:p>
        </w:tc>
        <w:tc>
          <w:tcPr>
            <w:tcW w:type="dxa" w:w="6760"/>
            <w:shd w:fill="FFFFFF" w:val="clear"/>
            <w:tcMar>
              <w:top w:type="dxa" w:w="70"/>
              <w:left w:type="dxa" w:w="110"/>
              <w:bottom w:type="dxa" w:w="70"/>
              <w:right w:type="dxa" w:w="110"/>
            </w:tcMar>
          </w:tcPr>
          <w:p>
            <w:pPr>
              <w:spacing w:after="0"/>
            </w:pPr>
            <w:r>
              <w:rPr>
                <w:b w:val="false"/>
                <w:bCs w:val="false"/>
                <w:sz w:val="19"/>
                <w:szCs w:val="19"/>
              </w:rPr>
              <w:t xml:space="preserve">The production figures per asset and day that are recorded in SAP (the same figures the DPR report prints).</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SAP monthly reconciled production</w:t>
            </w:r>
          </w:p>
        </w:tc>
        <w:tc>
          <w:tcPr>
            <w:tcW w:type="dxa" w:w="6760"/>
            <w:shd w:fill="F2F2F2" w:val="clear"/>
            <w:tcMar>
              <w:top w:type="dxa" w:w="70"/>
              <w:left w:type="dxa" w:w="110"/>
              <w:bottom w:type="dxa" w:w="70"/>
              <w:right w:type="dxa" w:w="110"/>
            </w:tcMar>
          </w:tcPr>
          <w:p>
            <w:pPr>
              <w:spacing w:after="0"/>
            </w:pPr>
            <w:r>
              <w:rPr>
                <w:b w:val="false"/>
                <w:bCs w:val="false"/>
                <w:sz w:val="19"/>
                <w:szCs w:val="19"/>
              </w:rPr>
              <w:t xml:space="preserve">The final monthly figures per asset after reconciliation with the partner.</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SAP targets</w:t>
            </w:r>
          </w:p>
        </w:tc>
        <w:tc>
          <w:tcPr>
            <w:tcW w:type="dxa" w:w="6760"/>
            <w:shd w:fill="FFFFFF" w:val="clear"/>
            <w:tcMar>
              <w:top w:type="dxa" w:w="70"/>
              <w:left w:type="dxa" w:w="110"/>
              <w:bottom w:type="dxa" w:w="70"/>
              <w:right w:type="dxa" w:w="110"/>
            </w:tcMar>
          </w:tcPr>
          <w:p>
            <w:pPr>
              <w:spacing w:after="0"/>
            </w:pPr>
            <w:r>
              <w:rPr>
                <w:b w:val="false"/>
                <w:bCs w:val="false"/>
                <w:sz w:val="19"/>
                <w:szCs w:val="19"/>
              </w:rPr>
              <w:t xml:space="preserve">Monthly targets per asset for the Budget Estimate, Revised Estimate and MoU versions.</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SAP ownership share (PI)</w:t>
            </w:r>
          </w:p>
        </w:tc>
        <w:tc>
          <w:tcPr>
            <w:tcW w:type="dxa" w:w="6760"/>
            <w:shd w:fill="F2F2F2" w:val="clear"/>
            <w:tcMar>
              <w:top w:type="dxa" w:w="70"/>
              <w:left w:type="dxa" w:w="110"/>
              <w:bottom w:type="dxa" w:w="70"/>
              <w:right w:type="dxa" w:w="110"/>
            </w:tcMar>
          </w:tcPr>
          <w:p>
            <w:pPr>
              <w:spacing w:after="0"/>
            </w:pPr>
            <w:r>
              <w:rPr>
                <w:b w:val="false"/>
                <w:bCs w:val="false"/>
                <w:sz w:val="19"/>
                <w:szCs w:val="19"/>
              </w:rPr>
              <w:t xml:space="preserve">ONGC Videsh's percentage in each asset, with the dates from which each percentage applies.</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Conversion factor</w:t>
            </w:r>
          </w:p>
        </w:tc>
        <w:tc>
          <w:tcPr>
            <w:tcW w:type="dxa" w:w="6760"/>
            <w:shd w:fill="FFFFFF" w:val="clear"/>
            <w:tcMar>
              <w:top w:type="dxa" w:w="70"/>
              <w:left w:type="dxa" w:w="110"/>
              <w:bottom w:type="dxa" w:w="70"/>
              <w:right w:type="dxa" w:w="110"/>
            </w:tcMar>
          </w:tcPr>
          <w:p>
            <w:pPr>
              <w:spacing w:after="0"/>
            </w:pPr>
            <w:r>
              <w:rPr>
                <w:b w:val="false"/>
                <w:bCs w:val="false"/>
                <w:sz w:val="19"/>
                <w:szCs w:val="19"/>
              </w:rPr>
              <w:t xml:space="preserve">Barrels per tonne of oil for each asset, used to convert barrels into tonnes.</w:t>
            </w:r>
          </w:p>
        </w:tc>
      </w:tr>
      <w:tr>
        <w:tc>
          <w:tcPr>
            <w:tcW w:type="dxa" w:w="2600"/>
            <w:shd w:fill="F2F2F2" w:val="clear"/>
            <w:tcMar>
              <w:top w:type="dxa" w:w="70"/>
              <w:left w:type="dxa" w:w="110"/>
              <w:bottom w:type="dxa" w:w="70"/>
              <w:right w:type="dxa" w:w="110"/>
            </w:tcMar>
          </w:tcPr>
          <w:p>
            <w:pPr>
              <w:spacing w:after="0"/>
            </w:pPr>
            <w:r>
              <w:rPr>
                <w:b w:val="false"/>
                <w:bCs w:val="false"/>
                <w:sz w:val="19"/>
                <w:szCs w:val="19"/>
              </w:rPr>
              <w:t xml:space="preserve">Rule</w:t>
            </w:r>
          </w:p>
        </w:tc>
        <w:tc>
          <w:tcPr>
            <w:tcW w:type="dxa" w:w="6760"/>
            <w:shd w:fill="F2F2F2" w:val="clear"/>
            <w:tcMar>
              <w:top w:type="dxa" w:w="70"/>
              <w:left w:type="dxa" w:w="110"/>
              <w:bottom w:type="dxa" w:w="70"/>
              <w:right w:type="dxa" w:w="110"/>
            </w:tcMar>
          </w:tcPr>
          <w:p>
            <w:pPr>
              <w:spacing w:after="0"/>
            </w:pPr>
            <w:r>
              <w:rPr>
                <w:b w:val="false"/>
                <w:bCs w:val="false"/>
                <w:sz w:val="19"/>
                <w:szCs w:val="19"/>
              </w:rPr>
              <w:t xml:space="preserve">A calculation that is not stored anywhere but is built into the dashboard, for example 'OVL share = JV production × ownership share'.</w:t>
            </w:r>
          </w:p>
        </w:tc>
      </w:tr>
      <w:tr>
        <w:tc>
          <w:tcPr>
            <w:tcW w:type="dxa" w:w="2600"/>
            <w:shd w:fill="FFFFFF" w:val="clear"/>
            <w:tcMar>
              <w:top w:type="dxa" w:w="70"/>
              <w:left w:type="dxa" w:w="110"/>
              <w:bottom w:type="dxa" w:w="70"/>
              <w:right w:type="dxa" w:w="110"/>
            </w:tcMar>
          </w:tcPr>
          <w:p>
            <w:pPr>
              <w:spacing w:after="0"/>
            </w:pPr>
            <w:r>
              <w:rPr>
                <w:b w:val="false"/>
                <w:bCs w:val="false"/>
                <w:sz w:val="19"/>
                <w:szCs w:val="19"/>
              </w:rPr>
              <w:t xml:space="preserve">Entry screen</w:t>
            </w:r>
          </w:p>
        </w:tc>
        <w:tc>
          <w:tcPr>
            <w:tcW w:type="dxa" w:w="6760"/>
            <w:shd w:fill="FFFFFF" w:val="clear"/>
            <w:tcMar>
              <w:top w:type="dxa" w:w="70"/>
              <w:left w:type="dxa" w:w="110"/>
              <w:bottom w:type="dxa" w:w="70"/>
              <w:right w:type="dxa" w:w="110"/>
            </w:tcMar>
          </w:tcPr>
          <w:p>
            <w:pPr>
              <w:spacing w:after="0"/>
            </w:pPr>
            <w:r>
              <w:rPr>
                <w:b w:val="false"/>
                <w:bCs w:val="false"/>
                <w:sz w:val="19"/>
                <w:szCs w:val="19"/>
              </w:rPr>
              <w:t xml:space="preserve">A simple web screen where an authorised user types or uploads data that SAP does not have (for example remarks).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70"/>
              <w:left w:type="dxa" w:w="110"/>
              <w:bottom w:type="dxa" w:w="70"/>
              <w:right w:type="dxa" w:w="110"/>
            </w:tcMar>
          </w:tcPr>
          <w:p>
            <w:pPr>
              <w:spacing w:after="0"/>
            </w:pPr>
            <w:r>
              <w:rPr>
                <w:b/>
                <w:bCs/>
                <w:color w:val="FFFFFF"/>
                <w:sz w:val="19"/>
                <w:szCs w:val="19"/>
              </w:rPr>
              <w:t xml:space="preserve">Colour code used below</w:t>
            </w:r>
          </w:p>
        </w:tc>
        <w:tc>
          <w:tcPr>
            <w:tcW w:type="dxa" w:w="6160"/>
            <w:shd w:fill="1F4E79" w:val="clear"/>
            <w:tcMar>
              <w:top w:type="dxa" w:w="70"/>
              <w:left w:type="dxa" w:w="110"/>
              <w:bottom w:type="dxa" w:w="70"/>
              <w:right w:type="dxa" w:w="110"/>
            </w:tcMar>
          </w:tcPr>
          <w:p>
            <w:pPr>
              <w:spacing w:after="0"/>
            </w:pPr>
            <w:r>
              <w:rPr>
                <w:b/>
                <w:bCs/>
                <w:color w:val="FFFFFF"/>
                <w:sz w:val="19"/>
                <w:szCs w:val="19"/>
              </w:rPr>
              <w:t xml:space="preserve">Meaning</w:t>
            </w:r>
          </w:p>
        </w:tc>
      </w:tr>
      <w:tr>
        <w:tc>
          <w:tcPr>
            <w:tcW w:type="dxa" w:w="3200"/>
            <w:shd w:fill="E2EFDA" w:val="clear"/>
            <w:tcMar>
              <w:top w:type="dxa" w:w="70"/>
              <w:left w:type="dxa" w:w="110"/>
              <w:bottom w:type="dxa" w:w="70"/>
              <w:right w:type="dxa" w:w="110"/>
            </w:tcMar>
          </w:tcPr>
          <w:p>
            <w:pPr>
              <w:spacing w:after="0"/>
            </w:pPr>
            <w:r>
              <w:rPr>
                <w:b w:val="false"/>
                <w:bCs w:val="false"/>
                <w:sz w:val="19"/>
                <w:szCs w:val="19"/>
              </w:rPr>
              <w:t xml:space="preserve">Yes — available from SAP</w:t>
            </w:r>
          </w:p>
        </w:tc>
        <w:tc>
          <w:tcPr>
            <w:tcW w:type="dxa" w:w="6160"/>
            <w:shd w:fill="FFFFFF" w:val="clear"/>
            <w:tcMar>
              <w:top w:type="dxa" w:w="70"/>
              <w:left w:type="dxa" w:w="110"/>
              <w:bottom w:type="dxa" w:w="70"/>
              <w:right w:type="dxa" w:w="110"/>
            </w:tcMar>
          </w:tcPr>
          <w:p>
            <w:pPr>
              <w:spacing w:after="0"/>
            </w:pPr>
            <w:r>
              <w:rPr>
                <w:b w:val="false"/>
                <w:bCs w:val="false"/>
                <w:sz w:val="19"/>
                <w:szCs w:val="19"/>
              </w:rPr>
              <w:t xml:space="preserve">The dashboard can show it straight away.</w:t>
            </w:r>
          </w:p>
        </w:tc>
      </w:tr>
      <w:tr>
        <w:tc>
          <w:tcPr>
            <w:tcW w:type="dxa" w:w="3200"/>
            <w:shd w:fill="FFF2CC" w:val="clear"/>
            <w:tcMar>
              <w:top w:type="dxa" w:w="70"/>
              <w:left w:type="dxa" w:w="110"/>
              <w:bottom w:type="dxa" w:w="70"/>
              <w:right w:type="dxa" w:w="110"/>
            </w:tcMar>
          </w:tcPr>
          <w:p>
            <w:pPr>
              <w:spacing w:after="0"/>
            </w:pPr>
            <w:r>
              <w:rPr>
                <w:b w:val="false"/>
                <w:bCs w:val="false"/>
                <w:sz w:val="19"/>
                <w:szCs w:val="19"/>
              </w:rPr>
              <w:t xml:space="preserve">Partly — needs a rule</w:t>
            </w:r>
          </w:p>
        </w:tc>
        <w:tc>
          <w:tcPr>
            <w:tcW w:type="dxa" w:w="6160"/>
            <w:shd w:fill="F2F2F2" w:val="clear"/>
            <w:tcMar>
              <w:top w:type="dxa" w:w="70"/>
              <w:left w:type="dxa" w:w="110"/>
              <w:bottom w:type="dxa" w:w="70"/>
              <w:right w:type="dxa" w:w="110"/>
            </w:tcMar>
          </w:tcPr>
          <w:p>
            <w:pPr>
              <w:spacing w:after="0"/>
            </w:pPr>
            <w:r>
              <w:rPr>
                <w:b w:val="false"/>
                <w:bCs w:val="false"/>
                <w:sz w:val="19"/>
                <w:szCs w:val="19"/>
              </w:rPr>
              <w:t xml:space="preserve">The figures are in SAP, but a calculation from the workbook has to be rebuilt in the dashboard.</w:t>
            </w:r>
          </w:p>
        </w:tc>
      </w:tr>
      <w:tr>
        <w:tc>
          <w:tcPr>
            <w:tcW w:type="dxa" w:w="3200"/>
            <w:shd w:fill="FCE4D6" w:val="clear"/>
            <w:tcMar>
              <w:top w:type="dxa" w:w="70"/>
              <w:left w:type="dxa" w:w="110"/>
              <w:bottom w:type="dxa" w:w="70"/>
              <w:right w:type="dxa" w:w="110"/>
            </w:tcMar>
          </w:tcPr>
          <w:p>
            <w:pPr>
              <w:spacing w:after="0"/>
            </w:pPr>
            <w:r>
              <w:rPr>
                <w:b w:val="false"/>
                <w:bCs w:val="false"/>
                <w:sz w:val="19"/>
                <w:szCs w:val="19"/>
              </w:rPr>
              <w:t xml:space="preserve">No — not maintained in SAP</w:t>
            </w:r>
          </w:p>
        </w:tc>
        <w:tc>
          <w:tcPr>
            <w:tcW w:type="dxa" w:w="6160"/>
            <w:shd w:fill="FFFFFF" w:val="clear"/>
            <w:tcMar>
              <w:top w:type="dxa" w:w="70"/>
              <w:left w:type="dxa" w:w="110"/>
              <w:bottom w:type="dxa" w:w="70"/>
              <w:right w:type="dxa" w:w="110"/>
            </w:tcMar>
          </w:tcPr>
          <w:p>
            <w:pPr>
              <w:spacing w:after="0"/>
            </w:pPr>
            <w:r>
              <w:rPr>
                <w:b w:val="false"/>
                <w:bCs w:val="false"/>
                <w:sz w:val="19"/>
                <w:szCs w:val="19"/>
              </w:rPr>
              <w:t xml:space="preserve">Needs an entry screen, an upload, or a decision to leave it out.</w:t>
            </w:r>
          </w:p>
        </w:tc>
      </w:tr>
    </w:tbl>
    <w:p>
      <w:r>
        <w:br w:type="page"/>
      </w:r>
    </w:p>
    <w:p>
      <w:pPr>
        <w:pStyle w:val="Heading1"/>
        <w:spacing w:after="160" w:before="320"/>
      </w:pPr>
      <w:r>
        <w:t xml:space="preserve">2. How the workbook is organised</w:t>
      </w:r>
    </w:p>
    <w:p>
      <w:pPr>
        <w:spacing w:after="120"/>
      </w:pPr>
      <w:r>
        <w:rPr>
          <w:b w:val="false"/>
          <w:bCs w:val="false"/>
          <w:i w:val="false"/>
          <w:iCs w:val="false"/>
          <w:sz w:val="22"/>
          <w:szCs w:val="22"/>
        </w:rPr>
        <w:t xml:space="preserve">The 64 tabs fall into three groups. Only the first group is what people look at; the other two are the workbook's engine and would disappear in a dashboard because SAP does that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shd w:fill="1F4E79" w:val="clear"/>
            <w:tcMar>
              <w:top w:type="dxa" w:w="70"/>
              <w:left w:type="dxa" w:w="110"/>
              <w:bottom w:type="dxa" w:w="70"/>
              <w:right w:type="dxa" w:w="110"/>
            </w:tcMar>
          </w:tcPr>
          <w:p>
            <w:pPr>
              <w:spacing w:after="0"/>
            </w:pPr>
            <w:r>
              <w:rPr>
                <w:b/>
                <w:bCs/>
                <w:color w:val="FFFFFF"/>
                <w:sz w:val="19"/>
                <w:szCs w:val="19"/>
              </w:rPr>
              <w:t xml:space="preserve">Group</w:t>
            </w:r>
          </w:p>
        </w:tc>
        <w:tc>
          <w:tcPr>
            <w:tcW w:type="dxa" w:w="4400"/>
            <w:shd w:fill="1F4E79" w:val="clear"/>
            <w:tcMar>
              <w:top w:type="dxa" w:w="70"/>
              <w:left w:type="dxa" w:w="110"/>
              <w:bottom w:type="dxa" w:w="70"/>
              <w:right w:type="dxa" w:w="110"/>
            </w:tcMar>
          </w:tcPr>
          <w:p>
            <w:pPr>
              <w:spacing w:after="0"/>
            </w:pPr>
            <w:r>
              <w:rPr>
                <w:b/>
                <w:bCs/>
                <w:color w:val="FFFFFF"/>
                <w:sz w:val="19"/>
                <w:szCs w:val="19"/>
              </w:rPr>
              <w:t xml:space="preserve">Tabs</w:t>
            </w:r>
          </w:p>
        </w:tc>
        <w:tc>
          <w:tcPr>
            <w:tcW w:type="dxa" w:w="2760"/>
            <w:shd w:fill="1F4E79" w:val="clear"/>
            <w:tcMar>
              <w:top w:type="dxa" w:w="70"/>
              <w:left w:type="dxa" w:w="110"/>
              <w:bottom w:type="dxa" w:w="70"/>
              <w:right w:type="dxa" w:w="110"/>
            </w:tcMar>
          </w:tcPr>
          <w:p>
            <w:pPr>
              <w:spacing w:after="0"/>
            </w:pPr>
            <w:r>
              <w:rPr>
                <w:b/>
                <w:bCs/>
                <w:color w:val="FFFFFF"/>
                <w:sz w:val="19"/>
                <w:szCs w:val="19"/>
              </w:rPr>
              <w:t xml:space="preserve">In the BTP dashboard</w:t>
            </w:r>
          </w:p>
        </w:tc>
      </w:tr>
      <w:tr>
        <w:tc>
          <w:tcPr>
            <w:tcW w:type="dxa" w:w="2200"/>
            <w:shd w:fill="FFFFFF" w:val="clear"/>
            <w:tcMar>
              <w:top w:type="dxa" w:w="70"/>
              <w:left w:type="dxa" w:w="110"/>
              <w:bottom w:type="dxa" w:w="70"/>
              <w:right w:type="dxa" w:w="110"/>
            </w:tcMar>
          </w:tcPr>
          <w:p>
            <w:pPr>
              <w:spacing w:after="0"/>
            </w:pPr>
            <w:r>
              <w:rPr>
                <w:b w:val="false"/>
                <w:bCs w:val="false"/>
                <w:sz w:val="19"/>
                <w:szCs w:val="19"/>
              </w:rPr>
              <w:t xml:space="preserve">Pages people read</w:t>
            </w:r>
          </w:p>
        </w:tc>
        <w:tc>
          <w:tcPr>
            <w:tcW w:type="dxa" w:w="4400"/>
            <w:shd w:fill="FFFFFF" w:val="clear"/>
            <w:tcMar>
              <w:top w:type="dxa" w:w="70"/>
              <w:left w:type="dxa" w:w="110"/>
              <w:bottom w:type="dxa" w:w="70"/>
              <w:right w:type="dxa" w:w="110"/>
            </w:tcMar>
          </w:tcPr>
          <w:p>
            <w:pPr>
              <w:spacing w:after="0"/>
            </w:pPr>
            <w:r>
              <w:rPr>
                <w:b w:val="false"/>
                <w:bCs w:val="false"/>
                <w:sz w:val="19"/>
                <w:szCs w:val="19"/>
              </w:rPr>
              <w:t xml:space="preserve">Dashboard, mtd&amp;ytd, YTD_ach, Asking Rate, Internal, Quarterly / Monthly / Yearly Analysis, YoY, Gap_analysis, Mat_Balance, Comparison_between_ref_points, Approval_format, report_prodcompiled, the five Charts tabs, Graphs_full, all_remarks</w:t>
            </w:r>
          </w:p>
        </w:tc>
        <w:tc>
          <w:tcPr>
            <w:tcW w:type="dxa" w:w="2760"/>
            <w:shd w:fill="FFFFFF" w:val="clear"/>
            <w:tcMar>
              <w:top w:type="dxa" w:w="70"/>
              <w:left w:type="dxa" w:w="110"/>
              <w:bottom w:type="dxa" w:w="70"/>
              <w:right w:type="dxa" w:w="110"/>
            </w:tcMar>
          </w:tcPr>
          <w:p>
            <w:pPr>
              <w:spacing w:after="0"/>
            </w:pPr>
            <w:r>
              <w:rPr>
                <w:b w:val="false"/>
                <w:bCs w:val="false"/>
                <w:sz w:val="19"/>
                <w:szCs w:val="19"/>
              </w:rPr>
              <w:t xml:space="preserve">Become dashboard pages and cards (section 3).</w:t>
            </w:r>
          </w:p>
        </w:tc>
      </w:tr>
      <w:tr>
        <w:tc>
          <w:tcPr>
            <w:tcW w:type="dxa" w:w="2200"/>
            <w:shd w:fill="F2F2F2" w:val="clear"/>
            <w:tcMar>
              <w:top w:type="dxa" w:w="70"/>
              <w:left w:type="dxa" w:w="110"/>
              <w:bottom w:type="dxa" w:w="70"/>
              <w:right w:type="dxa" w:w="110"/>
            </w:tcMar>
          </w:tcPr>
          <w:p>
            <w:pPr>
              <w:spacing w:after="0"/>
            </w:pPr>
            <w:r>
              <w:rPr>
                <w:b w:val="false"/>
                <w:bCs w:val="false"/>
                <w:sz w:val="19"/>
                <w:szCs w:val="19"/>
              </w:rPr>
              <w:t xml:space="preserve">Data that is typed or pasted in</w:t>
            </w:r>
          </w:p>
        </w:tc>
        <w:tc>
          <w:tcPr>
            <w:tcW w:type="dxa" w:w="4400"/>
            <w:shd w:fill="F2F2F2" w:val="clear"/>
            <w:tcMar>
              <w:top w:type="dxa" w:w="70"/>
              <w:left w:type="dxa" w:w="110"/>
              <w:bottom w:type="dxa" w:w="70"/>
              <w:right w:type="dxa" w:w="110"/>
            </w:tcMar>
          </w:tcPr>
          <w:p>
            <w:pPr>
              <w:spacing w:after="0"/>
            </w:pPr>
            <w:r>
              <w:rPr>
                <w:b w:val="false"/>
                <w:bCs w:val="false"/>
                <w:sz w:val="19"/>
                <w:szCs w:val="19"/>
              </w:rPr>
              <w:t xml:space="preserve">DPR (daily), the 14 asset CP sheets (monthly), Storage_Targets (targets), Storage_rounded_off_prod (Corporate Planning figures), Standardised rates, carryforward_cf, Prodn Data 24-25</w:t>
            </w:r>
          </w:p>
        </w:tc>
        <w:tc>
          <w:tcPr>
            <w:tcW w:type="dxa" w:w="2760"/>
            <w:shd w:fill="F2F2F2" w:val="clear"/>
            <w:tcMar>
              <w:top w:type="dxa" w:w="70"/>
              <w:left w:type="dxa" w:w="110"/>
              <w:bottom w:type="dxa" w:w="70"/>
              <w:right w:type="dxa" w:w="110"/>
            </w:tcMar>
          </w:tcPr>
          <w:p>
            <w:pPr>
              <w:spacing w:after="0"/>
            </w:pPr>
            <w:r>
              <w:rPr>
                <w:b w:val="false"/>
                <w:bCs w:val="false"/>
                <w:sz w:val="19"/>
                <w:szCs w:val="19"/>
              </w:rPr>
              <w:t xml:space="preserve">Replaced by SAP data where it exists; the rest gets an entry screen (section 4).</w:t>
            </w:r>
          </w:p>
        </w:tc>
      </w:tr>
      <w:tr>
        <w:tc>
          <w:tcPr>
            <w:tcW w:type="dxa" w:w="2200"/>
            <w:shd w:fill="FFFFFF" w:val="clear"/>
            <w:tcMar>
              <w:top w:type="dxa" w:w="70"/>
              <w:left w:type="dxa" w:w="110"/>
              <w:bottom w:type="dxa" w:w="70"/>
              <w:right w:type="dxa" w:w="110"/>
            </w:tcMar>
          </w:tcPr>
          <w:p>
            <w:pPr>
              <w:spacing w:after="0"/>
            </w:pPr>
            <w:r>
              <w:rPr>
                <w:b w:val="false"/>
                <w:bCs w:val="false"/>
                <w:sz w:val="19"/>
                <w:szCs w:val="19"/>
              </w:rPr>
              <w:t xml:space="preserve">Helper tabs (formulas and switches)</w:t>
            </w:r>
          </w:p>
        </w:tc>
        <w:tc>
          <w:tcPr>
            <w:tcW w:type="dxa" w:w="4400"/>
            <w:shd w:fill="FFFFFF" w:val="clear"/>
            <w:tcMar>
              <w:top w:type="dxa" w:w="70"/>
              <w:left w:type="dxa" w:w="110"/>
              <w:bottom w:type="dxa" w:w="70"/>
              <w:right w:type="dxa" w:w="110"/>
            </w:tcMar>
          </w:tcPr>
          <w:p>
            <w:pPr>
              <w:spacing w:after="0"/>
            </w:pPr>
            <w:r>
              <w:rPr>
                <w:b w:val="false"/>
                <w:bCs w:val="false"/>
                <w:sz w:val="19"/>
                <w:szCs w:val="19"/>
              </w:rPr>
              <w:t xml:space="preserve">DPRavg, non-reconprod, prod_compiled, Processed_Reconciled Prod, from CP sheet, CF_lat, YTD display, YTDtarget, BEREMOU, Targets-chosen, Target_monthwise, DTR, Tables, Storage_Reconciled_prod, Storage_Reconciled_prod_chosen, interFY_transition, Dropdowns, 2FY, LBL, OperProdn Loss, Previous year, Previous Comp, reference_points</w:t>
            </w:r>
          </w:p>
        </w:tc>
        <w:tc>
          <w:tcPr>
            <w:tcW w:type="dxa" w:w="2760"/>
            <w:shd w:fill="FFFFFF" w:val="clear"/>
            <w:tcMar>
              <w:top w:type="dxa" w:w="70"/>
              <w:left w:type="dxa" w:w="110"/>
              <w:bottom w:type="dxa" w:w="70"/>
              <w:right w:type="dxa" w:w="110"/>
            </w:tcMar>
          </w:tcPr>
          <w:p>
            <w:pPr>
              <w:spacing w:after="0"/>
            </w:pPr>
            <w:r>
              <w:rPr>
                <w:b w:val="false"/>
                <w:bCs w:val="false"/>
                <w:sz w:val="19"/>
                <w:szCs w:val="19"/>
              </w:rPr>
              <w:t xml:space="preserve">Not needed as tabs. Their calculations become rules inside the dashboard (section 5); their switches become filter fields at the top of the page.</w:t>
            </w:r>
          </w:p>
        </w:tc>
      </w:tr>
    </w:tbl>
    <w:p>
      <w:r>
        <w:br w:type="page"/>
      </w:r>
    </w:p>
    <w:p>
      <w:pPr>
        <w:pStyle w:val="Heading1"/>
        <w:spacing w:after="160" w:before="320"/>
      </w:pPr>
      <w:r>
        <w:t xml:space="preserve">3. The pages people read — tab by tab</w:t>
      </w:r>
    </w:p>
    <w:p>
      <w:pPr>
        <w:pStyle w:val="Heading2"/>
        <w:spacing w:after="120" w:before="260"/>
      </w:pPr>
      <w:r>
        <w:t xml:space="preserve">Dashboard</w:t>
      </w:r>
    </w:p>
    <w:p>
      <w:pPr>
        <w:spacing w:after="120"/>
      </w:pPr>
      <w:r>
        <w:rPr>
          <w:b w:val="false"/>
          <w:bCs w:val="false"/>
          <w:i w:val="false"/>
          <w:iCs w:val="false"/>
          <w:sz w:val="22"/>
          <w:szCs w:val="22"/>
        </w:rPr>
        <w:t xml:space="preserve">What this tab shows: For the chosen date, each asset's production rate (oil in BOPD, gas in MMSCMD) next to a comparison figure you pick from a dropdown (annual target, monthly target, MTD actual, previous month, same month last year, and so on). On the right the OVL-share totals, the remarks of the day and the asking-rate summary.</w:t>
      </w:r>
    </w:p>
    <w:p>
      <w:pPr>
        <w:spacing w:after="120"/>
      </w:pPr>
      <w:r>
        <w:rPr>
          <w:b w:val="false"/>
          <w:bCs w:val="false"/>
          <w:i w:val="false"/>
          <w:iCs w:val="false"/>
          <w:sz w:val="22"/>
          <w:szCs w:val="22"/>
        </w:rPr>
        <w:t xml:space="preserve">Where the numbers come from today: Today's rates are looked up from the DPR tab; comparisons from the helper tabs; two comparison figures (cells L7, L8) are typed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10"/>
              <w:left w:type="dxa" w:w="160"/>
              <w:bottom w:type="dxa" w:w="110"/>
              <w:right w:type="dxa" w:w="160"/>
            </w:tcMar>
          </w:tcPr>
          <w:p>
            <w:pPr>
              <w:spacing w:after="0"/>
            </w:pPr>
            <w:r>
              <w:rPr>
                <w:b/>
                <w:bCs/>
                <w:sz w:val="22"/>
                <w:szCs w:val="22"/>
              </w:rPr>
              <w:t xml:space="preserve">Available from SAP:  </w:t>
            </w:r>
            <w:r>
              <w:rPr>
                <w:sz w:val="22"/>
                <w:szCs w:val="22"/>
              </w:rPr>
              <w:t xml:space="preserve">Yes — the daily rates, the OVL-share totals and all comparison figures can be produced from SAP daily production, SAP targets and SAP ownership shares.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val="clear"/>
            <w:tcMar>
              <w:top w:type="dxa" w:w="110"/>
              <w:left w:type="dxa" w:w="160"/>
              <w:bottom w:type="dxa" w:w="110"/>
              <w:right w:type="dxa" w:w="160"/>
            </w:tcMar>
          </w:tcPr>
          <w:p>
            <w:pPr>
              <w:spacing w:after="0"/>
            </w:pPr>
            <w:r>
              <w:rPr>
                <w:b/>
                <w:bCs/>
                <w:sz w:val="22"/>
                <w:szCs w:val="22"/>
              </w:rPr>
              <w:t xml:space="preserve">Not in SAP today:  </w:t>
            </w:r>
            <w:r>
              <w:rPr>
                <w:sz w:val="22"/>
                <w:szCs w:val="22"/>
              </w:rPr>
              <w:t xml:space="preserve">The remark lines ('Prev. day data for …', asset remarks) are free text that exists only in the workbook.</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0"/>
            </w:pPr>
            <w:r>
              <w:rPr>
                <w:b/>
                <w:bCs/>
                <w:sz w:val="22"/>
                <w:szCs w:val="22"/>
              </w:rPr>
              <w:t xml:space="preserve">Proposal for the BTP dashboard:  </w:t>
            </w:r>
            <w:r>
              <w:rPr>
                <w:sz w:val="22"/>
                <w:szCs w:val="22"/>
              </w:rPr>
              <w:t xml:space="preserve">One dashboard page with the date and the comparison dropdown as filters. Remarks come from a new remarks entry screen (see section 4). The typed comparison cells disappear because the dashboard calculates them.</w:t>
            </w:r>
          </w:p>
        </w:tc>
      </w:tr>
    </w:tbl>
    <w:p>
      <w:pPr>
        <w:spacing w:after="140"/>
      </w:pPr>
    </w:p>
    <w:p>
      <w:pPr>
        <w:pStyle w:val="Heading2"/>
        <w:spacing w:after="120" w:before="260"/>
      </w:pPr>
      <w:r>
        <w:t xml:space="preserve">mtd&amp;ytd, YTD_ach, Quarterly / Monthly / Yearly Analysis</w:t>
      </w:r>
    </w:p>
    <w:p>
      <w:pPr>
        <w:spacing w:after="120"/>
      </w:pPr>
      <w:r>
        <w:rPr>
          <w:b w:val="false"/>
          <w:bCs w:val="false"/>
          <w:i w:val="false"/>
          <w:iCs w:val="false"/>
          <w:sz w:val="22"/>
          <w:szCs w:val="22"/>
        </w:rPr>
        <w:t xml:space="preserve">What this tab shows: Month-to-date, quarter-to-date and year-to-date production against target per asset in MMT (oil), BCM (gas) and MMTOE, with achievement percentages.</w:t>
      </w:r>
    </w:p>
    <w:p>
      <w:pPr>
        <w:spacing w:after="120"/>
      </w:pPr>
      <w:r>
        <w:rPr>
          <w:b w:val="false"/>
          <w:bCs w:val="false"/>
          <w:i w:val="false"/>
          <w:iCs w:val="false"/>
          <w:sz w:val="22"/>
          <w:szCs w:val="22"/>
        </w:rPr>
        <w:t xml:space="preserve">Where the numbers come from today: Formulas on the reconciled and daily figures and on the targets; nothing typed except the 'Remarks' and 'Major activities' columns, which are currently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10"/>
              <w:left w:type="dxa" w:w="160"/>
              <w:bottom w:type="dxa" w:w="110"/>
              <w:right w:type="dxa" w:w="160"/>
            </w:tcMar>
          </w:tcPr>
          <w:p>
            <w:pPr>
              <w:spacing w:after="0"/>
            </w:pPr>
            <w:r>
              <w:rPr>
                <w:b/>
                <w:bCs/>
                <w:sz w:val="22"/>
                <w:szCs w:val="22"/>
              </w:rPr>
              <w:t xml:space="preserve">Available from SAP:  </w:t>
            </w:r>
            <w:r>
              <w:rPr>
                <w:sz w:val="22"/>
                <w:szCs w:val="22"/>
              </w:rPr>
              <w:t xml:space="preserve">Yes — all figures. SAP has the daily and monthly production, the targets and the shares.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val="clear"/>
            <w:tcMar>
              <w:top w:type="dxa" w:w="110"/>
              <w:left w:type="dxa" w:w="160"/>
              <w:bottom w:type="dxa" w:w="110"/>
              <w:right w:type="dxa" w:w="160"/>
            </w:tcMar>
          </w:tcPr>
          <w:p>
            <w:pPr>
              <w:spacing w:after="0"/>
            </w:pPr>
            <w:r>
              <w:rPr>
                <w:b/>
                <w:bCs/>
                <w:sz w:val="22"/>
                <w:szCs w:val="22"/>
              </w:rPr>
              <w:t xml:space="preserve">Not in SAP today:  </w:t>
            </w:r>
            <w:r>
              <w:rPr>
                <w:sz w:val="22"/>
                <w:szCs w:val="22"/>
              </w:rPr>
              <w:t xml:space="preserve">The 'Remarks / Production upsides and declines' and 'Major activities during the period' text columns, and the 'Operators Target' column (empty in the workbook).</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0"/>
            </w:pPr>
            <w:r>
              <w:rPr>
                <w:b/>
                <w:bCs/>
                <w:sz w:val="22"/>
                <w:szCs w:val="22"/>
              </w:rPr>
              <w:t xml:space="preserve">Proposal for the BTP dashboard:  </w:t>
            </w:r>
            <w:r>
              <w:rPr>
                <w:sz w:val="22"/>
                <w:szCs w:val="22"/>
              </w:rPr>
              <w:t xml:space="preserve">One 'Performance' page with a period selector (month, quarter, year to date). Free-text columns come from the remarks entry screen. 'Operators Target' can become a fourth target version in SAP if you want it.</w:t>
            </w:r>
          </w:p>
        </w:tc>
      </w:tr>
    </w:tbl>
    <w:p>
      <w:pPr>
        <w:spacing w:after="140"/>
      </w:pPr>
    </w:p>
    <w:p>
      <w:pPr>
        <w:pStyle w:val="Heading2"/>
        <w:spacing w:after="120" w:before="260"/>
      </w:pPr>
      <w:r>
        <w:t xml:space="preserve">Asking Rate and Internal</w:t>
      </w:r>
    </w:p>
    <w:p>
      <w:pPr>
        <w:spacing w:after="120"/>
      </w:pPr>
      <w:r>
        <w:rPr>
          <w:b w:val="false"/>
          <w:bCs w:val="false"/>
          <w:i w:val="false"/>
          <w:iCs w:val="false"/>
          <w:sz w:val="22"/>
          <w:szCs w:val="22"/>
        </w:rPr>
        <w:t xml:space="preserve">What this tab shows: The daily rate needed for the rest of the year to reach the annual target, per asset and in total; and an internal comparison with extrapolation of the year-to-date to a full year.</w:t>
      </w:r>
    </w:p>
    <w:p>
      <w:pPr>
        <w:spacing w:after="120"/>
      </w:pPr>
      <w:r>
        <w:rPr>
          <w:b w:val="false"/>
          <w:bCs w:val="false"/>
          <w:i w:val="false"/>
          <w:iCs w:val="false"/>
          <w:sz w:val="22"/>
          <w:szCs w:val="22"/>
        </w:rPr>
        <w:t xml:space="preserve">Where the numbers come from today: Formulas, plus typed annual totals (7.252 MMT, 2.574 BCM), typed BE targets in the Internal tab, and manual 'arrears' additions (+0.068 MMT, +0.014 BCM).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10"/>
              <w:left w:type="dxa" w:w="160"/>
              <w:bottom w:type="dxa" w:w="110"/>
              <w:right w:type="dxa" w:w="160"/>
            </w:tcMar>
          </w:tcPr>
          <w:p>
            <w:pPr>
              <w:spacing w:after="0"/>
            </w:pPr>
            <w:r>
              <w:rPr>
                <w:b/>
                <w:bCs/>
                <w:sz w:val="22"/>
                <w:szCs w:val="22"/>
              </w:rPr>
              <w:t xml:space="preserve">Available from SAP:  </w:t>
            </w:r>
            <w:r>
              <w:rPr>
                <w:sz w:val="22"/>
                <w:szCs w:val="22"/>
              </w:rPr>
              <w:t xml:space="preserve">Partly — everything is calculable from SAP targets, production and shares; the asking-rate and extrapolation formulas are rebuilt as rules.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val="clear"/>
            <w:tcMar>
              <w:top w:type="dxa" w:w="110"/>
              <w:left w:type="dxa" w:w="160"/>
              <w:bottom w:type="dxa" w:w="110"/>
              <w:right w:type="dxa" w:w="160"/>
            </w:tcMar>
          </w:tcPr>
          <w:p>
            <w:pPr>
              <w:spacing w:after="0"/>
            </w:pPr>
            <w:r>
              <w:rPr>
                <w:b/>
                <w:bCs/>
                <w:sz w:val="22"/>
                <w:szCs w:val="22"/>
              </w:rPr>
              <w:t xml:space="preserve">Not in SAP today:  </w:t>
            </w:r>
            <w:r>
              <w:rPr>
                <w:sz w:val="22"/>
                <w:szCs w:val="22"/>
              </w:rPr>
              <w:t xml:space="preserve">The arrears additions and any other manual corrections.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0"/>
            </w:pPr>
            <w:r>
              <w:rPr>
                <w:b/>
                <w:bCs/>
                <w:sz w:val="22"/>
                <w:szCs w:val="22"/>
              </w:rPr>
              <w:t xml:space="preserve">Proposal for the BTP dashboard:  </w:t>
            </w:r>
            <w:r>
              <w:rPr>
                <w:sz w:val="22"/>
                <w:szCs w:val="22"/>
              </w:rPr>
              <w:t xml:space="preserve">An 'Asking rate' card on the Performance page. Manual corrections go into a small adjustments entry screen (period, asset, quantity, reason) so they are visible and traceable instead of hidden in a cell.</w:t>
            </w:r>
          </w:p>
        </w:tc>
      </w:tr>
    </w:tbl>
    <w:p>
      <w:pPr>
        <w:spacing w:after="140"/>
      </w:pPr>
    </w:p>
    <w:p>
      <w:pPr>
        <w:pStyle w:val="Heading2"/>
        <w:spacing w:after="120" w:before="260"/>
      </w:pPr>
      <w:r>
        <w:t xml:space="preserve">YoY, Previous Comp, Gap_analysis, Mat_Balance, Comparison_between_ref_points</w:t>
      </w:r>
    </w:p>
    <w:p>
      <w:pPr>
        <w:spacing w:after="120"/>
      </w:pPr>
      <w:r>
        <w:rPr>
          <w:b w:val="false"/>
          <w:bCs w:val="false"/>
          <w:i w:val="false"/>
          <w:iCs w:val="false"/>
          <w:sz w:val="22"/>
          <w:szCs w:val="22"/>
        </w:rPr>
        <w:t xml:space="preserve">What this tab shows: Comparisons: this year against last year, this month against last month, today's target against today's actual, the change in OVL-share rate between two dates, and any two chosen reference points.</w:t>
      </w:r>
    </w:p>
    <w:p>
      <w:pPr>
        <w:spacing w:after="120"/>
      </w:pPr>
      <w:r>
        <w:rPr>
          <w:b w:val="false"/>
          <w:bCs w:val="false"/>
          <w:i w:val="false"/>
          <w:iCs w:val="false"/>
          <w:sz w:val="22"/>
          <w:szCs w:val="22"/>
        </w:rPr>
        <w:t xml:space="preserve">Where the numbers come from today: Formulas on the daily and monthly figures; reference points can also be a typed 'standardised rate' per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10"/>
              <w:left w:type="dxa" w:w="160"/>
              <w:bottom w:type="dxa" w:w="110"/>
              <w:right w:type="dxa" w:w="160"/>
            </w:tcMar>
          </w:tcPr>
          <w:p>
            <w:pPr>
              <w:spacing w:after="0"/>
            </w:pPr>
            <w:r>
              <w:rPr>
                <w:b/>
                <w:bCs/>
                <w:sz w:val="22"/>
                <w:szCs w:val="22"/>
              </w:rPr>
              <w:t xml:space="preserve">Available from SAP:  </w:t>
            </w:r>
            <w:r>
              <w:rPr>
                <w:sz w:val="22"/>
                <w:szCs w:val="22"/>
              </w:rPr>
              <w:t xml:space="preserve">Yes for all comparisons that use production and targets. Last year's figures are available if SAP keeps the reconciled history (to be confirmed).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val="clear"/>
            <w:tcMar>
              <w:top w:type="dxa" w:w="110"/>
              <w:left w:type="dxa" w:w="160"/>
              <w:bottom w:type="dxa" w:w="110"/>
              <w:right w:type="dxa" w:w="160"/>
            </w:tcMar>
          </w:tcPr>
          <w:p>
            <w:pPr>
              <w:spacing w:after="0"/>
            </w:pPr>
            <w:r>
              <w:rPr>
                <w:b/>
                <w:bCs/>
                <w:sz w:val="22"/>
                <w:szCs w:val="22"/>
              </w:rPr>
              <w:t xml:space="preserve">Not in SAP today:  </w:t>
            </w:r>
            <w:r>
              <w:rPr>
                <w:sz w:val="22"/>
                <w:szCs w:val="22"/>
              </w:rPr>
              <w:t xml:space="preserve">The standardised rates (a nominal rate per asset typed by the user) and the loss reference rates.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0"/>
            </w:pPr>
            <w:r>
              <w:rPr>
                <w:b/>
                <w:bCs/>
                <w:sz w:val="22"/>
                <w:szCs w:val="22"/>
              </w:rPr>
              <w:t xml:space="preserve">Proposal for the BTP dashboard:  </w:t>
            </w:r>
            <w:r>
              <w:rPr>
                <w:sz w:val="22"/>
                <w:szCs w:val="22"/>
              </w:rPr>
              <w:t xml:space="preserve">One 'Comparisons' page with two date pickers and a reference dropdown. Standardised and reference rates get an entry screen (asset, rate type, valid from, value).</w:t>
            </w:r>
          </w:p>
        </w:tc>
      </w:tr>
    </w:tbl>
    <w:p>
      <w:pPr>
        <w:spacing w:after="140"/>
      </w:pPr>
    </w:p>
    <w:p>
      <w:pPr>
        <w:pStyle w:val="Heading2"/>
        <w:spacing w:after="120" w:before="260"/>
      </w:pPr>
      <w:r>
        <w:t xml:space="preserve">Approval_format and report_prodcompiled</w:t>
      </w:r>
    </w:p>
    <w:p>
      <w:pPr>
        <w:spacing w:after="120"/>
      </w:pPr>
      <w:r>
        <w:rPr>
          <w:b w:val="false"/>
          <w:bCs w:val="false"/>
          <w:i w:val="false"/>
          <w:iCs w:val="false"/>
          <w:sz w:val="22"/>
          <w:szCs w:val="22"/>
        </w:rPr>
        <w:t xml:space="preserve">What this tab shows: The quarterly, half-yearly and annual reconciled production in JV and OVL-share units, laid out for management approval; and the monthly production table with OVL averages.</w:t>
      </w:r>
    </w:p>
    <w:p>
      <w:pPr>
        <w:spacing w:after="120"/>
      </w:pPr>
      <w:r>
        <w:rPr>
          <w:b w:val="false"/>
          <w:bCs w:val="false"/>
          <w:i w:val="false"/>
          <w:iCs w:val="false"/>
          <w:sz w:val="22"/>
          <w:szCs w:val="22"/>
        </w:rPr>
        <w:t xml:space="preserve">Where the numbers come from today: Formulas on the partner CP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10"/>
              <w:left w:type="dxa" w:w="160"/>
              <w:bottom w:type="dxa" w:w="110"/>
              <w:right w:type="dxa" w:w="160"/>
            </w:tcMar>
          </w:tcPr>
          <w:p>
            <w:pPr>
              <w:spacing w:after="0"/>
            </w:pPr>
            <w:r>
              <w:rPr>
                <w:b/>
                <w:bCs/>
                <w:sz w:val="22"/>
                <w:szCs w:val="22"/>
              </w:rPr>
              <w:t xml:space="preserve">Available from SAP:  </w:t>
            </w:r>
            <w:r>
              <w:rPr>
                <w:sz w:val="22"/>
                <w:szCs w:val="22"/>
              </w:rPr>
              <w:t xml:space="preserve">Yes — from SAP monthly reconciled production and ownership shares, provided the reconciled figures in SAP are loaded from the same partner statements.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val="clear"/>
            <w:tcMar>
              <w:top w:type="dxa" w:w="110"/>
              <w:left w:type="dxa" w:w="160"/>
              <w:bottom w:type="dxa" w:w="110"/>
              <w:right w:type="dxa" w:w="160"/>
            </w:tcMar>
          </w:tcPr>
          <w:p>
            <w:pPr>
              <w:spacing w:after="0"/>
            </w:pPr>
            <w:r>
              <w:rPr>
                <w:b/>
                <w:bCs/>
                <w:sz w:val="22"/>
                <w:szCs w:val="22"/>
              </w:rPr>
              <w:t xml:space="preserve">Not in SAP today:  </w:t>
            </w:r>
            <w:r>
              <w:rPr>
                <w:sz w:val="22"/>
                <w:szCs w:val="22"/>
              </w:rPr>
              <w:t xml:space="preserve">The approval itself (who signed, when) is outside the dashboard.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0"/>
            </w:pPr>
            <w:r>
              <w:rPr>
                <w:b/>
                <w:bCs/>
                <w:sz w:val="22"/>
                <w:szCs w:val="22"/>
              </w:rPr>
              <w:t xml:space="preserve">Proposal for the BTP dashboard:  </w:t>
            </w:r>
            <w:r>
              <w:rPr>
                <w:sz w:val="22"/>
                <w:szCs w:val="22"/>
              </w:rPr>
              <w:t xml:space="preserve">A 'Reconciled production' page with the same quarter / half-year / annual layout and an Export to Excel button, so the approval sheet can still be printed.</w:t>
            </w:r>
          </w:p>
        </w:tc>
      </w:tr>
    </w:tbl>
    <w:p>
      <w:pPr>
        <w:spacing w:after="140"/>
      </w:pPr>
    </w:p>
    <w:p>
      <w:pPr>
        <w:pStyle w:val="Heading2"/>
        <w:spacing w:after="120" w:before="260"/>
      </w:pPr>
      <w:r>
        <w:t xml:space="preserve">Charts-OVL, Charts-Russia, Charts-LAC, Charts-AP, Charts-MENA CIS, Graphs_full</w:t>
      </w:r>
    </w:p>
    <w:p>
      <w:pPr>
        <w:spacing w:after="120"/>
      </w:pPr>
      <w:r>
        <w:rPr>
          <w:b w:val="false"/>
          <w:bCs w:val="false"/>
          <w:i w:val="false"/>
          <w:iCs w:val="false"/>
          <w:sz w:val="22"/>
          <w:szCs w:val="22"/>
        </w:rPr>
        <w:t xml:space="preserve">What this tab shows: Monthly OVL-share production against target per business unit, and the full-period trend graphs.</w:t>
      </w:r>
    </w:p>
    <w:p>
      <w:pPr>
        <w:spacing w:after="120"/>
      </w:pPr>
      <w:r>
        <w:rPr>
          <w:b w:val="false"/>
          <w:bCs w:val="false"/>
          <w:i w:val="false"/>
          <w:iCs w:val="false"/>
          <w:sz w:val="22"/>
          <w:szCs w:val="22"/>
        </w:rPr>
        <w:t xml:space="preserve">Where the numbers come from today: Chart series on the helper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10"/>
              <w:left w:type="dxa" w:w="160"/>
              <w:bottom w:type="dxa" w:w="110"/>
              <w:right w:type="dxa" w:w="160"/>
            </w:tcMar>
          </w:tcPr>
          <w:p>
            <w:pPr>
              <w:spacing w:after="0"/>
            </w:pPr>
            <w:r>
              <w:rPr>
                <w:b/>
                <w:bCs/>
                <w:sz w:val="22"/>
                <w:szCs w:val="22"/>
              </w:rPr>
              <w:t xml:space="preserve">Available from SAP:  </w:t>
            </w:r>
            <w:r>
              <w:rPr>
                <w:sz w:val="22"/>
                <w:szCs w:val="22"/>
              </w:rPr>
              <w:t xml:space="preserve">Yes — production and targets. The grouping of assets into business units is a rule (Russia: Sakhalin-1, Vankor, Imperial; LAC: BC-10, MECL, CPO-5, Carabobo, Sancristobal; Asia Pacific: A1/A3, B-06.1; MENA CIS: ACG, LZC, GPOC, SPOC).</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0"/>
            </w:pPr>
            <w:r>
              <w:rPr>
                <w:b/>
                <w:bCs/>
                <w:sz w:val="22"/>
                <w:szCs w:val="22"/>
              </w:rPr>
              <w:t xml:space="preserve">Proposal for the BTP dashboard:  </w:t>
            </w:r>
            <w:r>
              <w:rPr>
                <w:sz w:val="22"/>
                <w:szCs w:val="22"/>
              </w:rPr>
              <w:t xml:space="preserve">Chart cards on the dashboard with a business-unit filter. Note that web charts use the standard SAP colours and are smaller than the Excel charts; a full-screen chart page is one click away.</w:t>
            </w:r>
          </w:p>
        </w:tc>
      </w:tr>
    </w:tbl>
    <w:p>
      <w:pPr>
        <w:spacing w:after="140"/>
      </w:pPr>
    </w:p>
    <w:p>
      <w:pPr>
        <w:pStyle w:val="Heading2"/>
        <w:spacing w:after="120" w:before="260"/>
      </w:pPr>
      <w:r>
        <w:t xml:space="preserve">all_remarks and LBL</w:t>
      </w:r>
    </w:p>
    <w:p>
      <w:pPr>
        <w:spacing w:after="120"/>
      </w:pPr>
      <w:r>
        <w:rPr>
          <w:b w:val="false"/>
          <w:bCs w:val="false"/>
          <w:i w:val="false"/>
          <w:iCs w:val="false"/>
          <w:sz w:val="22"/>
          <w:szCs w:val="22"/>
        </w:rPr>
        <w:t xml:space="preserve">What this tab shows: The list of all daily remarks (why production was deferred, shutdowns, 'reason awaited from operator'), and short event labels used on charts.</w:t>
      </w:r>
    </w:p>
    <w:p>
      <w:pPr>
        <w:spacing w:after="120"/>
      </w:pPr>
      <w:r>
        <w:rPr>
          <w:b w:val="false"/>
          <w:bCs w:val="false"/>
          <w:i w:val="false"/>
          <w:iCs w:val="false"/>
          <w:sz w:val="22"/>
          <w:szCs w:val="22"/>
        </w:rPr>
        <w:t xml:space="preserve">Where the numbers come from today: Typed daily into the DPR tab; LBL has not been maintained since February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10"/>
              <w:left w:type="dxa" w:w="160"/>
              <w:bottom w:type="dxa" w:w="110"/>
              <w:right w:type="dxa" w:w="160"/>
            </w:tcMar>
          </w:tcPr>
          <w:p>
            <w:pPr>
              <w:spacing w:after="0"/>
            </w:pPr>
            <w:r>
              <w:rPr>
                <w:b/>
                <w:bCs/>
                <w:sz w:val="22"/>
                <w:szCs w:val="22"/>
              </w:rPr>
              <w:t xml:space="preserve">Available from SAP:  </w:t>
            </w:r>
            <w:r>
              <w:rPr>
                <w:sz w:val="22"/>
                <w:szCs w:val="22"/>
              </w:rPr>
              <w:t xml:space="preserve">No — SAP holds no remarks for production.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4D6" w:val="clear"/>
            <w:tcMar>
              <w:top w:type="dxa" w:w="110"/>
              <w:left w:type="dxa" w:w="160"/>
              <w:bottom w:type="dxa" w:w="110"/>
              <w:right w:type="dxa" w:w="160"/>
            </w:tcMar>
          </w:tcPr>
          <w:p>
            <w:pPr>
              <w:spacing w:after="0"/>
            </w:pPr>
            <w:r>
              <w:rPr>
                <w:b/>
                <w:bCs/>
                <w:sz w:val="22"/>
                <w:szCs w:val="22"/>
              </w:rPr>
              <w:t xml:space="preserve">Not in SAP today:  </w:t>
            </w:r>
            <w:r>
              <w:rPr>
                <w:sz w:val="22"/>
                <w:szCs w:val="22"/>
              </w:rPr>
              <w:t xml:space="preserve">All of it.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0"/>
            </w:pPr>
            <w:r>
              <w:rPr>
                <w:b/>
                <w:bCs/>
                <w:sz w:val="22"/>
                <w:szCs w:val="22"/>
              </w:rPr>
              <w:t xml:space="preserve">Proposal for the BTP dashboard:  </w:t>
            </w:r>
            <w:r>
              <w:rPr>
                <w:sz w:val="22"/>
                <w:szCs w:val="22"/>
              </w:rPr>
              <w:t xml:space="preserve">A remarks entry screen: date, asset, category (deferment, shutdown, data lag, event, other), text. The dashboard shows the remarks of the selected day and a searchable list. This is the single most important addition, because without it the dashboard shows numbers without reasons.</w:t>
            </w:r>
          </w:p>
        </w:tc>
      </w:tr>
    </w:tbl>
    <w:p>
      <w:pPr>
        <w:spacing w:after="140"/>
      </w:pPr>
    </w:p>
    <w:p>
      <w:r>
        <w:br w:type="page"/>
      </w:r>
    </w:p>
    <w:p>
      <w:pPr>
        <w:pStyle w:val="Heading1"/>
        <w:spacing w:after="160" w:before="320"/>
      </w:pPr>
      <w:r>
        <w:t xml:space="preserve">4. The data that is typed in today — where it will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900"/>
        <w:gridCol w:w="2660"/>
      </w:tblGrid>
      <w:tr>
        <w:trPr>
          <w:tblHeader/>
        </w:trPr>
        <w:tc>
          <w:tcPr>
            <w:tcW w:type="dxa" w:w="2100"/>
            <w:shd w:fill="1F4E79" w:val="clear"/>
            <w:tcMar>
              <w:top w:type="dxa" w:w="70"/>
              <w:left w:type="dxa" w:w="110"/>
              <w:bottom w:type="dxa" w:w="70"/>
              <w:right w:type="dxa" w:w="110"/>
            </w:tcMar>
          </w:tcPr>
          <w:p>
            <w:pPr>
              <w:spacing w:after="0"/>
            </w:pPr>
            <w:r>
              <w:rPr>
                <w:b/>
                <w:bCs/>
                <w:color w:val="FFFFFF"/>
                <w:sz w:val="19"/>
                <w:szCs w:val="19"/>
              </w:rPr>
              <w:t xml:space="preserve">Tab</w:t>
            </w:r>
          </w:p>
        </w:tc>
        <w:tc>
          <w:tcPr>
            <w:tcW w:type="dxa" w:w="2700"/>
            <w:shd w:fill="1F4E79" w:val="clear"/>
            <w:tcMar>
              <w:top w:type="dxa" w:w="70"/>
              <w:left w:type="dxa" w:w="110"/>
              <w:bottom w:type="dxa" w:w="70"/>
              <w:right w:type="dxa" w:w="110"/>
            </w:tcMar>
          </w:tcPr>
          <w:p>
            <w:pPr>
              <w:spacing w:after="0"/>
            </w:pPr>
            <w:r>
              <w:rPr>
                <w:b/>
                <w:bCs/>
                <w:color w:val="FFFFFF"/>
                <w:sz w:val="19"/>
                <w:szCs w:val="19"/>
              </w:rPr>
              <w:t xml:space="preserve">What is typed in</w:t>
            </w:r>
          </w:p>
        </w:tc>
        <w:tc>
          <w:tcPr>
            <w:tcW w:type="dxa" w:w="1900"/>
            <w:shd w:fill="1F4E79" w:val="clear"/>
            <w:tcMar>
              <w:top w:type="dxa" w:w="70"/>
              <w:left w:type="dxa" w:w="110"/>
              <w:bottom w:type="dxa" w:w="70"/>
              <w:right w:type="dxa" w:w="110"/>
            </w:tcMar>
          </w:tcPr>
          <w:p>
            <w:pPr>
              <w:spacing w:after="0"/>
            </w:pPr>
            <w:r>
              <w:rPr>
                <w:b/>
                <w:bCs/>
                <w:color w:val="FFFFFF"/>
                <w:sz w:val="19"/>
                <w:szCs w:val="19"/>
              </w:rPr>
              <w:t xml:space="preserve">In SAP?</w:t>
            </w:r>
          </w:p>
        </w:tc>
        <w:tc>
          <w:tcPr>
            <w:tcW w:type="dxa" w:w="2660"/>
            <w:shd w:fill="1F4E79" w:val="clear"/>
            <w:tcMar>
              <w:top w:type="dxa" w:w="70"/>
              <w:left w:type="dxa" w:w="110"/>
              <w:bottom w:type="dxa" w:w="70"/>
              <w:right w:type="dxa" w:w="110"/>
            </w:tcMar>
          </w:tcPr>
          <w:p>
            <w:pPr>
              <w:spacing w:after="0"/>
            </w:pPr>
            <w:r>
              <w:rPr>
                <w:b/>
                <w:bCs/>
                <w:color w:val="FFFFFF"/>
                <w:sz w:val="19"/>
                <w:szCs w:val="19"/>
              </w:rPr>
              <w:t xml:space="preserve">Proposal</w:t>
            </w:r>
          </w:p>
        </w:tc>
      </w:tr>
      <w:tr>
        <w:tc>
          <w:tcPr>
            <w:tcW w:type="dxa" w:w="2100"/>
            <w:shd w:fill="FFFFFF" w:val="clear"/>
            <w:tcMar>
              <w:top w:type="dxa" w:w="70"/>
              <w:left w:type="dxa" w:w="110"/>
              <w:bottom w:type="dxa" w:w="70"/>
              <w:right w:type="dxa" w:w="110"/>
            </w:tcMar>
          </w:tcPr>
          <w:p>
            <w:pPr>
              <w:spacing w:after="0"/>
            </w:pPr>
            <w:r>
              <w:rPr>
                <w:b w:val="false"/>
                <w:bCs w:val="false"/>
                <w:sz w:val="19"/>
                <w:szCs w:val="19"/>
              </w:rPr>
              <w:t xml:space="preserve">DPR</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Daily JV oil (BOPD) and gas (MMSCMD) per asset; 'previous-day data' note; remarks</w:t>
            </w:r>
          </w:p>
        </w:tc>
        <w:tc>
          <w:tcPr>
            <w:tcW w:type="dxa" w:w="1900"/>
            <w:shd w:fill="E2EFDA" w:val="clear"/>
            <w:tcMar>
              <w:top w:type="dxa" w:w="70"/>
              <w:left w:type="dxa" w:w="110"/>
              <w:bottom w:type="dxa" w:w="70"/>
              <w:right w:type="dxa" w:w="110"/>
            </w:tcMar>
          </w:tcPr>
          <w:p>
            <w:pPr>
              <w:spacing w:after="0"/>
            </w:pPr>
            <w:r>
              <w:rPr>
                <w:b w:val="false"/>
                <w:bCs w:val="false"/>
                <w:sz w:val="19"/>
                <w:szCs w:val="19"/>
              </w:rPr>
              <w:t xml:space="preserve">Yes for the figures</w:t>
            </w:r>
          </w:p>
        </w:tc>
        <w:tc>
          <w:tcPr>
            <w:tcW w:type="dxa" w:w="2660"/>
            <w:shd w:fill="FFFFFF" w:val="clear"/>
            <w:tcMar>
              <w:top w:type="dxa" w:w="70"/>
              <w:left w:type="dxa" w:w="110"/>
              <w:bottom w:type="dxa" w:w="70"/>
              <w:right w:type="dxa" w:w="110"/>
            </w:tcMar>
          </w:tcPr>
          <w:p>
            <w:pPr>
              <w:spacing w:after="0"/>
            </w:pPr>
            <w:r>
              <w:rPr>
                <w:b w:val="false"/>
                <w:bCs w:val="false"/>
                <w:sz w:val="19"/>
                <w:szCs w:val="19"/>
              </w:rPr>
              <w:t xml:space="preserve">Figures come from SAP daily production, no typing. The note and the remarks go to the remarks entry screen.</w:t>
            </w:r>
          </w:p>
        </w:tc>
      </w:tr>
      <w:tr>
        <w:tc>
          <w:tcPr>
            <w:tcW w:type="dxa" w:w="2100"/>
            <w:shd w:fill="F2F2F2" w:val="clear"/>
            <w:tcMar>
              <w:top w:type="dxa" w:w="70"/>
              <w:left w:type="dxa" w:w="110"/>
              <w:bottom w:type="dxa" w:w="70"/>
              <w:right w:type="dxa" w:w="110"/>
            </w:tcMar>
          </w:tcPr>
          <w:p>
            <w:pPr>
              <w:spacing w:after="0"/>
            </w:pPr>
            <w:r>
              <w:rPr>
                <w:b w:val="false"/>
                <w:bCs w:val="false"/>
                <w:sz w:val="19"/>
                <w:szCs w:val="19"/>
              </w:rPr>
              <w:t xml:space="preserve">ACG, BC10, MECL, A1A3, Sakhalin, IEC, Vankor, Vietnam, Carabobo, Sancristobal, LZC, GPOC, SPOC, CPO5</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The partner's monthly statement: JV barrels, JV gas, OVL tonnes, conversion factor, wells drilled, 2D/3D/4D survey, water cut, water injection, remarks, well details</w:t>
            </w:r>
          </w:p>
        </w:tc>
        <w:tc>
          <w:tcPr>
            <w:tcW w:type="dxa" w:w="1900"/>
            <w:shd w:fill="FFF2CC" w:val="clear"/>
            <w:tcMar>
              <w:top w:type="dxa" w:w="70"/>
              <w:left w:type="dxa" w:w="110"/>
              <w:bottom w:type="dxa" w:w="70"/>
              <w:right w:type="dxa" w:w="110"/>
            </w:tcMar>
          </w:tcPr>
          <w:p>
            <w:pPr>
              <w:spacing w:after="0"/>
            </w:pPr>
            <w:r>
              <w:rPr>
                <w:b w:val="false"/>
                <w:bCs w:val="false"/>
                <w:sz w:val="19"/>
                <w:szCs w:val="19"/>
              </w:rPr>
              <w:t xml:space="preserve">Partly — barrels and gas are in SAP monthly reconciled production if it is loaded from the same statements; the rest is not</w:t>
            </w:r>
          </w:p>
        </w:tc>
        <w:tc>
          <w:tcPr>
            <w:tcW w:type="dxa" w:w="2660"/>
            <w:shd w:fill="F2F2F2" w:val="clear"/>
            <w:tcMar>
              <w:top w:type="dxa" w:w="70"/>
              <w:left w:type="dxa" w:w="110"/>
              <w:bottom w:type="dxa" w:w="70"/>
              <w:right w:type="dxa" w:w="110"/>
            </w:tcMar>
          </w:tcPr>
          <w:p>
            <w:pPr>
              <w:spacing w:after="0"/>
            </w:pPr>
            <w:r>
              <w:rPr>
                <w:b w:val="false"/>
                <w:bCs w:val="false"/>
                <w:sz w:val="19"/>
                <w:szCs w:val="19"/>
              </w:rPr>
              <w:t xml:space="preserve">Production figures from SAP. For wells, surveys, water cut and water injection: either a monthly 'partner data' entry screen (or Excel upload) or leave them out of the dashboard. Your decision.</w:t>
            </w:r>
          </w:p>
        </w:tc>
      </w:tr>
      <w:tr>
        <w:tc>
          <w:tcPr>
            <w:tcW w:type="dxa" w:w="2100"/>
            <w:shd w:fill="FFFFFF" w:val="clear"/>
            <w:tcMar>
              <w:top w:type="dxa" w:w="70"/>
              <w:left w:type="dxa" w:w="110"/>
              <w:bottom w:type="dxa" w:w="70"/>
              <w:right w:type="dxa" w:w="110"/>
            </w:tcMar>
          </w:tcPr>
          <w:p>
            <w:pPr>
              <w:spacing w:after="0"/>
            </w:pPr>
            <w:r>
              <w:rPr>
                <w:b w:val="false"/>
                <w:bCs w:val="false"/>
                <w:sz w:val="19"/>
                <w:szCs w:val="19"/>
              </w:rPr>
              <w:t xml:space="preserve">Storage_Targets</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Monthly targets for BE, RE and MoU per asset, and conversion factors per version</w:t>
            </w:r>
          </w:p>
        </w:tc>
        <w:tc>
          <w:tcPr>
            <w:tcW w:type="dxa" w:w="1900"/>
            <w:shd w:fill="E2EFDA" w:val="clear"/>
            <w:tcMar>
              <w:top w:type="dxa" w:w="70"/>
              <w:left w:type="dxa" w:w="110"/>
              <w:bottom w:type="dxa" w:w="70"/>
              <w:right w:type="dxa" w:w="110"/>
            </w:tcMar>
          </w:tcPr>
          <w:p>
            <w:pPr>
              <w:spacing w:after="0"/>
            </w:pPr>
            <w:r>
              <w:rPr>
                <w:b w:val="false"/>
                <w:bCs w:val="false"/>
                <w:sz w:val="19"/>
                <w:szCs w:val="19"/>
              </w:rPr>
              <w:t xml:space="preserve">Yes — SAP targets hold BE and RE; MoU has to be matched to one of the SAP MoU versions</w:t>
            </w:r>
          </w:p>
        </w:tc>
        <w:tc>
          <w:tcPr>
            <w:tcW w:type="dxa" w:w="2660"/>
            <w:shd w:fill="FFFFFF" w:val="clear"/>
            <w:tcMar>
              <w:top w:type="dxa" w:w="70"/>
              <w:left w:type="dxa" w:w="110"/>
              <w:bottom w:type="dxa" w:w="70"/>
              <w:right w:type="dxa" w:w="110"/>
            </w:tcMar>
          </w:tcPr>
          <w:p>
            <w:pPr>
              <w:spacing w:after="0"/>
            </w:pPr>
            <w:r>
              <w:rPr>
                <w:b w:val="false"/>
                <w:bCs w:val="false"/>
                <w:sz w:val="19"/>
                <w:szCs w:val="19"/>
              </w:rPr>
              <w:t xml:space="preserve">Targets from SAP; a dropdown to pick the version. One question to settle: which SAP version is your 'MoU'.</w:t>
            </w:r>
          </w:p>
        </w:tc>
      </w:tr>
      <w:tr>
        <w:tc>
          <w:tcPr>
            <w:tcW w:type="dxa" w:w="2100"/>
            <w:shd w:fill="F2F2F2" w:val="clear"/>
            <w:tcMar>
              <w:top w:type="dxa" w:w="70"/>
              <w:left w:type="dxa" w:w="110"/>
              <w:bottom w:type="dxa" w:w="70"/>
              <w:right w:type="dxa" w:w="110"/>
            </w:tcMar>
          </w:tcPr>
          <w:p>
            <w:pPr>
              <w:spacing w:after="0"/>
            </w:pPr>
            <w:r>
              <w:rPr>
                <w:b w:val="false"/>
                <w:bCs w:val="false"/>
                <w:sz w:val="19"/>
                <w:szCs w:val="19"/>
              </w:rPr>
              <w:t xml:space="preserve">Storage_rounded_off_prod</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Corporate Planning's rounded monthly OVL production (3 decimals), used as the official figure</w:t>
            </w:r>
          </w:p>
        </w:tc>
        <w:tc>
          <w:tcPr>
            <w:tcW w:type="dxa" w:w="1900"/>
            <w:shd w:fill="FCE4D6" w:val="clear"/>
            <w:tcMar>
              <w:top w:type="dxa" w:w="70"/>
              <w:left w:type="dxa" w:w="110"/>
              <w:bottom w:type="dxa" w:w="70"/>
              <w:right w:type="dxa" w:w="110"/>
            </w:tcMar>
          </w:tcPr>
          <w:p>
            <w:pPr>
              <w:spacing w:after="0"/>
            </w:pPr>
            <w:r>
              <w:rPr>
                <w:b w:val="false"/>
                <w:bCs w:val="false"/>
                <w:sz w:val="19"/>
                <w:szCs w:val="19"/>
              </w:rPr>
              <w:t xml:space="preserve">No — SAP can compute and round the same figure, but if Corporate Planning adjusts numbers the two can differ</w:t>
            </w:r>
          </w:p>
        </w:tc>
        <w:tc>
          <w:tcPr>
            <w:tcW w:type="dxa" w:w="2660"/>
            <w:shd w:fill="F2F2F2" w:val="clear"/>
            <w:tcMar>
              <w:top w:type="dxa" w:w="70"/>
              <w:left w:type="dxa" w:w="110"/>
              <w:bottom w:type="dxa" w:w="70"/>
              <w:right w:type="dxa" w:w="110"/>
            </w:tcMar>
          </w:tcPr>
          <w:p>
            <w:pPr>
              <w:spacing w:after="0"/>
            </w:pPr>
            <w:r>
              <w:rPr>
                <w:b w:val="false"/>
                <w:bCs w:val="false"/>
                <w:sz w:val="19"/>
                <w:szCs w:val="19"/>
              </w:rPr>
              <w:t xml:space="preserve">Decide one official source. Preferred: compute in SAP and round. If CP figures can differ, a small 'published figures' entry screen.</w:t>
            </w:r>
          </w:p>
        </w:tc>
      </w:tr>
      <w:tr>
        <w:tc>
          <w:tcPr>
            <w:tcW w:type="dxa" w:w="2100"/>
            <w:shd w:fill="FFFFFF" w:val="clear"/>
            <w:tcMar>
              <w:top w:type="dxa" w:w="70"/>
              <w:left w:type="dxa" w:w="110"/>
              <w:bottom w:type="dxa" w:w="70"/>
              <w:right w:type="dxa" w:w="110"/>
            </w:tcMar>
          </w:tcPr>
          <w:p>
            <w:pPr>
              <w:spacing w:after="0"/>
            </w:pPr>
            <w:r>
              <w:rPr>
                <w:b w:val="false"/>
                <w:bCs w:val="false"/>
                <w:sz w:val="19"/>
                <w:szCs w:val="19"/>
              </w:rPr>
              <w:t xml:space="preserve">carryforward_cf, CF_lat (column S)</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Year-opening conversion factors and manual overrides</w:t>
            </w:r>
          </w:p>
        </w:tc>
        <w:tc>
          <w:tcPr>
            <w:tcW w:type="dxa" w:w="1900"/>
            <w:shd w:fill="FFF2CC" w:val="clear"/>
            <w:tcMar>
              <w:top w:type="dxa" w:w="70"/>
              <w:left w:type="dxa" w:w="110"/>
              <w:bottom w:type="dxa" w:w="70"/>
              <w:right w:type="dxa" w:w="110"/>
            </w:tcMar>
          </w:tcPr>
          <w:p>
            <w:pPr>
              <w:spacing w:after="0"/>
            </w:pPr>
            <w:r>
              <w:rPr>
                <w:b w:val="false"/>
                <w:bCs w:val="false"/>
                <w:sz w:val="19"/>
                <w:szCs w:val="19"/>
              </w:rPr>
              <w:t xml:space="preserve">Partly — SAP has one factor per year and asset</w:t>
            </w:r>
          </w:p>
        </w:tc>
        <w:tc>
          <w:tcPr>
            <w:tcW w:type="dxa" w:w="2660"/>
            <w:shd w:fill="FFFFFF" w:val="clear"/>
            <w:tcMar>
              <w:top w:type="dxa" w:w="70"/>
              <w:left w:type="dxa" w:w="110"/>
              <w:bottom w:type="dxa" w:w="70"/>
              <w:right w:type="dxa" w:w="110"/>
            </w:tcMar>
          </w:tcPr>
          <w:p>
            <w:pPr>
              <w:spacing w:after="0"/>
            </w:pPr>
            <w:r>
              <w:rPr>
                <w:b w:val="false"/>
                <w:bCs w:val="false"/>
                <w:sz w:val="19"/>
                <w:szCs w:val="19"/>
              </w:rPr>
              <w:t xml:space="preserve">Compute the monthly factor from the reconciled barrels and tonnes if SAP stores both; otherwise a conversion-factor entry screen with a valid-from date.</w:t>
            </w:r>
          </w:p>
        </w:tc>
      </w:tr>
      <w:tr>
        <w:tc>
          <w:tcPr>
            <w:tcW w:type="dxa" w:w="2100"/>
            <w:shd w:fill="F2F2F2" w:val="clear"/>
            <w:tcMar>
              <w:top w:type="dxa" w:w="70"/>
              <w:left w:type="dxa" w:w="110"/>
              <w:bottom w:type="dxa" w:w="70"/>
              <w:right w:type="dxa" w:w="110"/>
            </w:tcMar>
          </w:tcPr>
          <w:p>
            <w:pPr>
              <w:spacing w:after="0"/>
            </w:pPr>
            <w:r>
              <w:rPr>
                <w:b w:val="false"/>
                <w:bCs w:val="false"/>
                <w:sz w:val="19"/>
                <w:szCs w:val="19"/>
              </w:rPr>
              <w:t xml:space="preserve">Standardised rates, OperProdn Loss (reference rows)</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Nominal reference rates per asset</w:t>
            </w:r>
          </w:p>
        </w:tc>
        <w:tc>
          <w:tcPr>
            <w:tcW w:type="dxa" w:w="1900"/>
            <w:shd w:fill="FCE4D6" w:val="clear"/>
            <w:tcMar>
              <w:top w:type="dxa" w:w="70"/>
              <w:left w:type="dxa" w:w="110"/>
              <w:bottom w:type="dxa" w:w="70"/>
              <w:right w:type="dxa" w:w="110"/>
            </w:tcMar>
          </w:tcPr>
          <w:p>
            <w:pPr>
              <w:spacing w:after="0"/>
            </w:pPr>
            <w:r>
              <w:rPr>
                <w:b w:val="false"/>
                <w:bCs w:val="false"/>
                <w:sz w:val="19"/>
                <w:szCs w:val="19"/>
              </w:rPr>
              <w:t xml:space="preserve">No</w:t>
            </w:r>
          </w:p>
        </w:tc>
        <w:tc>
          <w:tcPr>
            <w:tcW w:type="dxa" w:w="2660"/>
            <w:shd w:fill="F2F2F2" w:val="clear"/>
            <w:tcMar>
              <w:top w:type="dxa" w:w="70"/>
              <w:left w:type="dxa" w:w="110"/>
              <w:bottom w:type="dxa" w:w="70"/>
              <w:right w:type="dxa" w:w="110"/>
            </w:tcMar>
          </w:tcPr>
          <w:p>
            <w:pPr>
              <w:spacing w:after="0"/>
            </w:pPr>
            <w:r>
              <w:rPr>
                <w:b w:val="false"/>
                <w:bCs w:val="false"/>
                <w:sz w:val="19"/>
                <w:szCs w:val="19"/>
              </w:rPr>
              <w:t xml:space="preserve">Reference-rate entry screen.</w:t>
            </w:r>
          </w:p>
        </w:tc>
      </w:tr>
      <w:tr>
        <w:tc>
          <w:tcPr>
            <w:tcW w:type="dxa" w:w="2100"/>
            <w:shd w:fill="FFFFFF" w:val="clear"/>
            <w:tcMar>
              <w:top w:type="dxa" w:w="70"/>
              <w:left w:type="dxa" w:w="110"/>
              <w:bottom w:type="dxa" w:w="70"/>
              <w:right w:type="dxa" w:w="110"/>
            </w:tcMar>
          </w:tcPr>
          <w:p>
            <w:pPr>
              <w:spacing w:after="0"/>
            </w:pPr>
            <w:r>
              <w:rPr>
                <w:b w:val="false"/>
                <w:bCs w:val="false"/>
                <w:sz w:val="19"/>
                <w:szCs w:val="19"/>
              </w:rPr>
              <w:t xml:space="preserve">Internal, prod_compiled, Dashboard</w:t>
            </w:r>
          </w:p>
        </w:tc>
        <w:tc>
          <w:tcPr>
            <w:tcW w:type="dxa" w:w="2700"/>
            <w:shd w:fill="FFFFFF" w:val="clear"/>
            <w:tcMar>
              <w:top w:type="dxa" w:w="70"/>
              <w:left w:type="dxa" w:w="110"/>
              <w:bottom w:type="dxa" w:w="70"/>
              <w:right w:type="dxa" w:w="110"/>
            </w:tcMar>
          </w:tcPr>
          <w:p>
            <w:pPr>
              <w:spacing w:after="0"/>
            </w:pPr>
            <w:r>
              <w:rPr>
                <w:b w:val="false"/>
                <w:bCs w:val="false"/>
                <w:sz w:val="19"/>
                <w:szCs w:val="19"/>
              </w:rPr>
              <w:t xml:space="preserve">Manual corrections: ACG arrears, arrears additions, typed comparison figures</w:t>
            </w:r>
          </w:p>
        </w:tc>
        <w:tc>
          <w:tcPr>
            <w:tcW w:type="dxa" w:w="1900"/>
            <w:shd w:fill="FCE4D6" w:val="clear"/>
            <w:tcMar>
              <w:top w:type="dxa" w:w="70"/>
              <w:left w:type="dxa" w:w="110"/>
              <w:bottom w:type="dxa" w:w="70"/>
              <w:right w:type="dxa" w:w="110"/>
            </w:tcMar>
          </w:tcPr>
          <w:p>
            <w:pPr>
              <w:spacing w:after="0"/>
            </w:pPr>
            <w:r>
              <w:rPr>
                <w:b w:val="false"/>
                <w:bCs w:val="false"/>
                <w:sz w:val="19"/>
                <w:szCs w:val="19"/>
              </w:rPr>
              <w:t xml:space="preserve">No</w:t>
            </w:r>
          </w:p>
        </w:tc>
        <w:tc>
          <w:tcPr>
            <w:tcW w:type="dxa" w:w="2660"/>
            <w:shd w:fill="FFFFFF" w:val="clear"/>
            <w:tcMar>
              <w:top w:type="dxa" w:w="70"/>
              <w:left w:type="dxa" w:w="110"/>
              <w:bottom w:type="dxa" w:w="70"/>
              <w:right w:type="dxa" w:w="110"/>
            </w:tcMar>
          </w:tcPr>
          <w:p>
            <w:pPr>
              <w:spacing w:after="0"/>
            </w:pPr>
            <w:r>
              <w:rPr>
                <w:b w:val="false"/>
                <w:bCs w:val="false"/>
                <w:sz w:val="19"/>
                <w:szCs w:val="19"/>
              </w:rPr>
              <w:t xml:space="preserve">Adjustments entry screen (period, asset, product, quantity, reason).</w:t>
            </w:r>
          </w:p>
        </w:tc>
      </w:tr>
      <w:tr>
        <w:tc>
          <w:tcPr>
            <w:tcW w:type="dxa" w:w="2100"/>
            <w:shd w:fill="F2F2F2" w:val="clear"/>
            <w:tcMar>
              <w:top w:type="dxa" w:w="70"/>
              <w:left w:type="dxa" w:w="110"/>
              <w:bottom w:type="dxa" w:w="70"/>
              <w:right w:type="dxa" w:w="110"/>
            </w:tcMar>
          </w:tcPr>
          <w:p>
            <w:pPr>
              <w:spacing w:after="0"/>
            </w:pPr>
            <w:r>
              <w:rPr>
                <w:b w:val="false"/>
                <w:bCs w:val="false"/>
                <w:sz w:val="19"/>
                <w:szCs w:val="19"/>
              </w:rPr>
              <w:t xml:space="preserve">Prodn Data 24-25, Previous year</w:t>
            </w:r>
          </w:p>
        </w:tc>
        <w:tc>
          <w:tcPr>
            <w:tcW w:type="dxa" w:w="2700"/>
            <w:shd w:fill="F2F2F2" w:val="clear"/>
            <w:tcMar>
              <w:top w:type="dxa" w:w="70"/>
              <w:left w:type="dxa" w:w="110"/>
              <w:bottom w:type="dxa" w:w="70"/>
              <w:right w:type="dxa" w:w="110"/>
            </w:tcMar>
          </w:tcPr>
          <w:p>
            <w:pPr>
              <w:spacing w:after="0"/>
            </w:pPr>
            <w:r>
              <w:rPr>
                <w:b w:val="false"/>
                <w:bCs w:val="false"/>
                <w:sz w:val="19"/>
                <w:szCs w:val="19"/>
              </w:rPr>
              <w:t xml:space="preserve">Last year's figures kept as a copy</w:t>
            </w:r>
          </w:p>
        </w:tc>
        <w:tc>
          <w:tcPr>
            <w:tcW w:type="dxa" w:w="1900"/>
            <w:shd w:fill="E2EFDA" w:val="clear"/>
            <w:tcMar>
              <w:top w:type="dxa" w:w="70"/>
              <w:left w:type="dxa" w:w="110"/>
              <w:bottom w:type="dxa" w:w="70"/>
              <w:right w:type="dxa" w:w="110"/>
            </w:tcMar>
          </w:tcPr>
          <w:p>
            <w:pPr>
              <w:spacing w:after="0"/>
            </w:pPr>
            <w:r>
              <w:rPr>
                <w:b w:val="false"/>
                <w:bCs w:val="false"/>
                <w:sz w:val="19"/>
                <w:szCs w:val="19"/>
              </w:rPr>
              <w:t xml:space="preserve">Yes if SAP keeps the reconciled history</w:t>
            </w:r>
          </w:p>
        </w:tc>
        <w:tc>
          <w:tcPr>
            <w:tcW w:type="dxa" w:w="2660"/>
            <w:shd w:fill="F2F2F2" w:val="clear"/>
            <w:tcMar>
              <w:top w:type="dxa" w:w="70"/>
              <w:left w:type="dxa" w:w="110"/>
              <w:bottom w:type="dxa" w:w="70"/>
              <w:right w:type="dxa" w:w="110"/>
            </w:tcMar>
          </w:tcPr>
          <w:p>
            <w:pPr>
              <w:spacing w:after="0"/>
            </w:pPr>
            <w:r>
              <w:rPr>
                <w:b w:val="false"/>
                <w:bCs w:val="false"/>
                <w:sz w:val="19"/>
                <w:szCs w:val="19"/>
              </w:rPr>
              <w:t xml:space="preserve">No action if history exists; to be confirmed with the SAP team.</w:t>
            </w:r>
          </w:p>
        </w:tc>
      </w:tr>
    </w:tbl>
    <w:p>
      <w:r>
        <w:br w:type="page"/>
      </w:r>
    </w:p>
    <w:p>
      <w:pPr>
        <w:pStyle w:val="Heading1"/>
        <w:spacing w:after="160" w:before="320"/>
      </w:pPr>
      <w:r>
        <w:t xml:space="preserve">5. Calculations the workbook does that the dashboard must repeat</w:t>
      </w:r>
    </w:p>
    <w:p>
      <w:pPr>
        <w:spacing w:after="120"/>
      </w:pPr>
      <w:r>
        <w:rPr>
          <w:b w:val="false"/>
          <w:bCs w:val="false"/>
          <w:i w:val="false"/>
          <w:iCs w:val="false"/>
          <w:sz w:val="22"/>
          <w:szCs w:val="22"/>
        </w:rPr>
        <w:t xml:space="preserve">These are not data. They are the formulas hidden in the helper tabs. They will be built once into the dashboard, so they cannot go out of date and nobody has to maintain them.</w:t>
      </w:r>
    </w:p>
    <w:p>
      <w:pPr>
        <w:pStyle w:val="ListParagraph"/>
        <w:numPr>
          <w:ilvl w:val="0"/>
          <w:numId w:val="2"/>
        </w:numPr>
        <w:spacing w:after="80"/>
      </w:pPr>
      <w:r>
        <w:rPr>
          <w:sz w:val="22"/>
          <w:szCs w:val="22"/>
        </w:rPr>
        <w:t xml:space="preserve">OVL share = JV production × ownership share. The share and the date it changed (for example ACG from 2.31 % to 2.925 % in November 2024) come from SAP, so the change no longer has to be typed into formulas.</w:t>
      </w:r>
    </w:p>
    <w:p>
      <w:pPr>
        <w:pStyle w:val="ListParagraph"/>
        <w:numPr>
          <w:ilvl w:val="0"/>
          <w:numId w:val="2"/>
        </w:numPr>
        <w:spacing w:after="80"/>
      </w:pPr>
      <w:r>
        <w:rPr>
          <w:sz w:val="22"/>
          <w:szCs w:val="22"/>
        </w:rPr>
        <w:t xml:space="preserve">Tonnes = barrels ÷ conversion factor. Reconciled months use the month's own factor; the current month uses the last reconciled month's factor.</w:t>
      </w:r>
    </w:p>
    <w:p>
      <w:pPr>
        <w:pStyle w:val="ListParagraph"/>
        <w:numPr>
          <w:ilvl w:val="0"/>
          <w:numId w:val="2"/>
        </w:numPr>
        <w:spacing w:after="80"/>
      </w:pPr>
      <w:r>
        <w:rPr>
          <w:sz w:val="22"/>
          <w:szCs w:val="22"/>
        </w:rPr>
        <w:t xml:space="preserve">Oil-equivalent (MMTOE) = MMT of oil + BCM of gas, added one to one, exactly as in the workbook. Note that the DPR report uses a different convention (6290 barrels per million cubic metres) for its BOEPD total; the dashboard can show either or both.</w:t>
      </w:r>
    </w:p>
    <w:p>
      <w:pPr>
        <w:pStyle w:val="ListParagraph"/>
        <w:numPr>
          <w:ilvl w:val="0"/>
          <w:numId w:val="2"/>
        </w:numPr>
        <w:spacing w:after="80"/>
      </w:pPr>
      <w:r>
        <w:rPr>
          <w:sz w:val="22"/>
          <w:szCs w:val="22"/>
        </w:rPr>
        <w:t xml:space="preserve">Reconciled versus daily: months up to the 'reconciled till' month use reconciled figures, later months use daily figures; quarter and year rates are weighted by days, with the current month counted only up to the selected date. 'Reconciled till' becomes a filter field instead of a typed cell.</w:t>
      </w:r>
    </w:p>
    <w:p>
      <w:pPr>
        <w:pStyle w:val="ListParagraph"/>
        <w:numPr>
          <w:ilvl w:val="0"/>
          <w:numId w:val="2"/>
        </w:numPr>
        <w:spacing w:after="80"/>
      </w:pPr>
      <w:r>
        <w:rPr>
          <w:sz w:val="22"/>
          <w:szCs w:val="22"/>
        </w:rPr>
        <w:t xml:space="preserve">Targets in daily rates: monthly OVL target ÷ ownership share × conversion factor ÷ days in the month. Year-to-date target = completed months + the current month in proportion to the days elapsed.</w:t>
      </w:r>
    </w:p>
    <w:p>
      <w:pPr>
        <w:pStyle w:val="ListParagraph"/>
        <w:numPr>
          <w:ilvl w:val="0"/>
          <w:numId w:val="2"/>
        </w:numPr>
        <w:spacing w:after="80"/>
      </w:pPr>
      <w:r>
        <w:rPr>
          <w:sz w:val="22"/>
          <w:szCs w:val="22"/>
        </w:rPr>
        <w:t xml:space="preserve">Asking rate = (annual target − year-to-date actual) ÷ remaining days. Extrapolation = year-to-date × 365 ÷ days elapsed.</w:t>
      </w:r>
    </w:p>
    <w:p>
      <w:pPr>
        <w:pStyle w:val="ListParagraph"/>
        <w:numPr>
          <w:ilvl w:val="0"/>
          <w:numId w:val="2"/>
        </w:numPr>
        <w:spacing w:after="80"/>
      </w:pPr>
      <w:r>
        <w:rPr>
          <w:sz w:val="22"/>
          <w:szCs w:val="22"/>
        </w:rPr>
        <w:t xml:space="preserve">Operational loss = reference rate − actual rate (never below zero), × ownership share.</w:t>
      </w:r>
    </w:p>
    <w:p>
      <w:pPr>
        <w:pStyle w:val="ListParagraph"/>
        <w:numPr>
          <w:ilvl w:val="0"/>
          <w:numId w:val="2"/>
        </w:numPr>
        <w:spacing w:after="80"/>
      </w:pPr>
      <w:r>
        <w:rPr>
          <w:sz w:val="22"/>
          <w:szCs w:val="22"/>
        </w:rPr>
        <w:t xml:space="preserve">Rounding: reconciled MMT and BCM shown to three decimals, as today.</w:t>
      </w:r>
    </w:p>
    <w:p>
      <w:r>
        <w:br w:type="page"/>
      </w:r>
    </w:p>
    <w:p>
      <w:pPr>
        <w:pStyle w:val="Heading1"/>
        <w:spacing w:after="160" w:before="320"/>
      </w:pPr>
      <w:r>
        <w:t xml:space="preserve">6. What the BTP dashboard would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shd w:fill="1F4E79" w:val="clear"/>
            <w:tcMar>
              <w:top w:type="dxa" w:w="70"/>
              <w:left w:type="dxa" w:w="110"/>
              <w:bottom w:type="dxa" w:w="70"/>
              <w:right w:type="dxa" w:w="110"/>
            </w:tcMar>
          </w:tcPr>
          <w:p>
            <w:pPr>
              <w:spacing w:after="0"/>
            </w:pPr>
            <w:r>
              <w:rPr>
                <w:b/>
                <w:bCs/>
                <w:color w:val="FFFFFF"/>
                <w:sz w:val="19"/>
                <w:szCs w:val="19"/>
              </w:rPr>
              <w:t xml:space="preserve">Page</w:t>
            </w:r>
          </w:p>
        </w:tc>
        <w:tc>
          <w:tcPr>
            <w:tcW w:type="dxa" w:w="4600"/>
            <w:shd w:fill="1F4E79" w:val="clear"/>
            <w:tcMar>
              <w:top w:type="dxa" w:w="70"/>
              <w:left w:type="dxa" w:w="110"/>
              <w:bottom w:type="dxa" w:w="70"/>
              <w:right w:type="dxa" w:w="110"/>
            </w:tcMar>
          </w:tcPr>
          <w:p>
            <w:pPr>
              <w:spacing w:after="0"/>
            </w:pPr>
            <w:r>
              <w:rPr>
                <w:b/>
                <w:bCs/>
                <w:color w:val="FFFFFF"/>
                <w:sz w:val="19"/>
                <w:szCs w:val="19"/>
              </w:rPr>
              <w:t xml:space="preserve">Cards / content</w:t>
            </w:r>
          </w:p>
        </w:tc>
        <w:tc>
          <w:tcPr>
            <w:tcW w:type="dxa" w:w="2760"/>
            <w:shd w:fill="1F4E79" w:val="clear"/>
            <w:tcMar>
              <w:top w:type="dxa" w:w="70"/>
              <w:left w:type="dxa" w:w="110"/>
              <w:bottom w:type="dxa" w:w="70"/>
              <w:right w:type="dxa" w:w="110"/>
            </w:tcMar>
          </w:tcPr>
          <w:p>
            <w:pPr>
              <w:spacing w:after="0"/>
            </w:pPr>
            <w:r>
              <w:rPr>
                <w:b/>
                <w:bCs/>
                <w:color w:val="FFFFFF"/>
                <w:sz w:val="19"/>
                <w:szCs w:val="19"/>
              </w:rPr>
              <w:t xml:space="preserve">Replaces these tabs</w:t>
            </w:r>
          </w:p>
        </w:tc>
      </w:tr>
      <w:tr>
        <w:tc>
          <w:tcPr>
            <w:tcW w:type="dxa" w:w="2000"/>
            <w:shd w:fill="FFFFFF" w:val="clear"/>
            <w:tcMar>
              <w:top w:type="dxa" w:w="70"/>
              <w:left w:type="dxa" w:w="110"/>
              <w:bottom w:type="dxa" w:w="70"/>
              <w:right w:type="dxa" w:w="110"/>
            </w:tcMar>
          </w:tcPr>
          <w:p>
            <w:pPr>
              <w:spacing w:after="0"/>
            </w:pPr>
            <w:r>
              <w:rPr>
                <w:b w:val="false"/>
                <w:bCs w:val="false"/>
                <w:sz w:val="19"/>
                <w:szCs w:val="19"/>
              </w:rPr>
              <w:t xml:space="preserve">Overview</w:t>
            </w:r>
          </w:p>
        </w:tc>
        <w:tc>
          <w:tcPr>
            <w:tcW w:type="dxa" w:w="4600"/>
            <w:shd w:fill="FFFFFF" w:val="clear"/>
            <w:tcMar>
              <w:top w:type="dxa" w:w="70"/>
              <w:left w:type="dxa" w:w="110"/>
              <w:bottom w:type="dxa" w:w="70"/>
              <w:right w:type="dxa" w:w="110"/>
            </w:tcMar>
          </w:tcPr>
          <w:p>
            <w:pPr>
              <w:spacing w:after="0"/>
            </w:pPr>
            <w:r>
              <w:rPr>
                <w:b w:val="false"/>
                <w:bCs w:val="false"/>
                <w:sz w:val="19"/>
                <w:szCs w:val="19"/>
              </w:rPr>
              <w:t xml:space="preserve">Today's rate per asset vs chosen comparison; OVL totals; BE-target line chart; remarks of the day; asking-rate summary</w:t>
            </w:r>
          </w:p>
        </w:tc>
        <w:tc>
          <w:tcPr>
            <w:tcW w:type="dxa" w:w="2760"/>
            <w:shd w:fill="FFFFFF" w:val="clear"/>
            <w:tcMar>
              <w:top w:type="dxa" w:w="70"/>
              <w:left w:type="dxa" w:w="110"/>
              <w:bottom w:type="dxa" w:w="70"/>
              <w:right w:type="dxa" w:w="110"/>
            </w:tcMar>
          </w:tcPr>
          <w:p>
            <w:pPr>
              <w:spacing w:after="0"/>
            </w:pPr>
            <w:r>
              <w:rPr>
                <w:b w:val="false"/>
                <w:bCs w:val="false"/>
                <w:sz w:val="19"/>
                <w:szCs w:val="19"/>
              </w:rPr>
              <w:t xml:space="preserve">Dashboard, Graphs_full</w:t>
            </w:r>
          </w:p>
        </w:tc>
      </w:tr>
      <w:tr>
        <w:tc>
          <w:tcPr>
            <w:tcW w:type="dxa" w:w="2000"/>
            <w:shd w:fill="F2F2F2" w:val="clear"/>
            <w:tcMar>
              <w:top w:type="dxa" w:w="70"/>
              <w:left w:type="dxa" w:w="110"/>
              <w:bottom w:type="dxa" w:w="70"/>
              <w:right w:type="dxa" w:w="110"/>
            </w:tcMar>
          </w:tcPr>
          <w:p>
            <w:pPr>
              <w:spacing w:after="0"/>
            </w:pPr>
            <w:r>
              <w:rPr>
                <w:b w:val="false"/>
                <w:bCs w:val="false"/>
                <w:sz w:val="19"/>
                <w:szCs w:val="19"/>
              </w:rPr>
              <w:t xml:space="preserve">Performance</w:t>
            </w:r>
          </w:p>
        </w:tc>
        <w:tc>
          <w:tcPr>
            <w:tcW w:type="dxa" w:w="4600"/>
            <w:shd w:fill="F2F2F2" w:val="clear"/>
            <w:tcMar>
              <w:top w:type="dxa" w:w="70"/>
              <w:left w:type="dxa" w:w="110"/>
              <w:bottom w:type="dxa" w:w="70"/>
              <w:right w:type="dxa" w:w="110"/>
            </w:tcMar>
          </w:tcPr>
          <w:p>
            <w:pPr>
              <w:spacing w:after="0"/>
            </w:pPr>
            <w:r>
              <w:rPr>
                <w:b w:val="false"/>
                <w:bCs w:val="false"/>
                <w:sz w:val="19"/>
                <w:szCs w:val="19"/>
              </w:rPr>
              <w:t xml:space="preserve">MTD / QTD / YTD vs target per asset, achievement %, MMTOE; quarterly, monthly and yearly views; asking rate; extrapolation</w:t>
            </w:r>
          </w:p>
        </w:tc>
        <w:tc>
          <w:tcPr>
            <w:tcW w:type="dxa" w:w="2760"/>
            <w:shd w:fill="F2F2F2" w:val="clear"/>
            <w:tcMar>
              <w:top w:type="dxa" w:w="70"/>
              <w:left w:type="dxa" w:w="110"/>
              <w:bottom w:type="dxa" w:w="70"/>
              <w:right w:type="dxa" w:w="110"/>
            </w:tcMar>
          </w:tcPr>
          <w:p>
            <w:pPr>
              <w:spacing w:after="0"/>
            </w:pPr>
            <w:r>
              <w:rPr>
                <w:b w:val="false"/>
                <w:bCs w:val="false"/>
                <w:sz w:val="19"/>
                <w:szCs w:val="19"/>
              </w:rPr>
              <w:t xml:space="preserve">mtd&amp;ytd, YTD_ach, Quarterly / Monthly / Yearly Analysis, Asking Rate, Internal</w:t>
            </w:r>
          </w:p>
        </w:tc>
      </w:tr>
      <w:tr>
        <w:tc>
          <w:tcPr>
            <w:tcW w:type="dxa" w:w="2000"/>
            <w:shd w:fill="FFFFFF" w:val="clear"/>
            <w:tcMar>
              <w:top w:type="dxa" w:w="70"/>
              <w:left w:type="dxa" w:w="110"/>
              <w:bottom w:type="dxa" w:w="70"/>
              <w:right w:type="dxa" w:w="110"/>
            </w:tcMar>
          </w:tcPr>
          <w:p>
            <w:pPr>
              <w:spacing w:after="0"/>
            </w:pPr>
            <w:r>
              <w:rPr>
                <w:b w:val="false"/>
                <w:bCs w:val="false"/>
                <w:sz w:val="19"/>
                <w:szCs w:val="19"/>
              </w:rPr>
              <w:t xml:space="preserve">Comparisons</w:t>
            </w:r>
          </w:p>
        </w:tc>
        <w:tc>
          <w:tcPr>
            <w:tcW w:type="dxa" w:w="4600"/>
            <w:shd w:fill="FFFFFF" w:val="clear"/>
            <w:tcMar>
              <w:top w:type="dxa" w:w="70"/>
              <w:left w:type="dxa" w:w="110"/>
              <w:bottom w:type="dxa" w:w="70"/>
              <w:right w:type="dxa" w:w="110"/>
            </w:tcMar>
          </w:tcPr>
          <w:p>
            <w:pPr>
              <w:spacing w:after="0"/>
            </w:pPr>
            <w:r>
              <w:rPr>
                <w:b w:val="false"/>
                <w:bCs w:val="false"/>
                <w:sz w:val="19"/>
                <w:szCs w:val="19"/>
              </w:rPr>
              <w:t xml:space="preserve">Year-on-year, month-on-month, gap to target for a date, change between two dates, reference-point comparison</w:t>
            </w:r>
          </w:p>
        </w:tc>
        <w:tc>
          <w:tcPr>
            <w:tcW w:type="dxa" w:w="2760"/>
            <w:shd w:fill="FFFFFF" w:val="clear"/>
            <w:tcMar>
              <w:top w:type="dxa" w:w="70"/>
              <w:left w:type="dxa" w:w="110"/>
              <w:bottom w:type="dxa" w:w="70"/>
              <w:right w:type="dxa" w:w="110"/>
            </w:tcMar>
          </w:tcPr>
          <w:p>
            <w:pPr>
              <w:spacing w:after="0"/>
            </w:pPr>
            <w:r>
              <w:rPr>
                <w:b w:val="false"/>
                <w:bCs w:val="false"/>
                <w:sz w:val="19"/>
                <w:szCs w:val="19"/>
              </w:rPr>
              <w:t xml:space="preserve">YoY, Previous Comp, Gap_analysis, Mat_Balance, Comparison_between_ref_points</w:t>
            </w:r>
          </w:p>
        </w:tc>
      </w:tr>
      <w:tr>
        <w:tc>
          <w:tcPr>
            <w:tcW w:type="dxa" w:w="2000"/>
            <w:shd w:fill="F2F2F2" w:val="clear"/>
            <w:tcMar>
              <w:top w:type="dxa" w:w="70"/>
              <w:left w:type="dxa" w:w="110"/>
              <w:bottom w:type="dxa" w:w="70"/>
              <w:right w:type="dxa" w:w="110"/>
            </w:tcMar>
          </w:tcPr>
          <w:p>
            <w:pPr>
              <w:spacing w:after="0"/>
            </w:pPr>
            <w:r>
              <w:rPr>
                <w:b w:val="false"/>
                <w:bCs w:val="false"/>
                <w:sz w:val="19"/>
                <w:szCs w:val="19"/>
              </w:rPr>
              <w:t xml:space="preserve">Reconciled production</w:t>
            </w:r>
          </w:p>
        </w:tc>
        <w:tc>
          <w:tcPr>
            <w:tcW w:type="dxa" w:w="4600"/>
            <w:shd w:fill="F2F2F2" w:val="clear"/>
            <w:tcMar>
              <w:top w:type="dxa" w:w="70"/>
              <w:left w:type="dxa" w:w="110"/>
              <w:bottom w:type="dxa" w:w="70"/>
              <w:right w:type="dxa" w:w="110"/>
            </w:tcMar>
          </w:tcPr>
          <w:p>
            <w:pPr>
              <w:spacing w:after="0"/>
            </w:pPr>
            <w:r>
              <w:rPr>
                <w:b w:val="false"/>
                <w:bCs w:val="false"/>
                <w:sz w:val="19"/>
                <w:szCs w:val="19"/>
              </w:rPr>
              <w:t xml:space="preserve">Monthly, quarterly, half-year and annual reconciled figures in JV and OVL units; export to Excel</w:t>
            </w:r>
          </w:p>
        </w:tc>
        <w:tc>
          <w:tcPr>
            <w:tcW w:type="dxa" w:w="2760"/>
            <w:shd w:fill="F2F2F2" w:val="clear"/>
            <w:tcMar>
              <w:top w:type="dxa" w:w="70"/>
              <w:left w:type="dxa" w:w="110"/>
              <w:bottom w:type="dxa" w:w="70"/>
              <w:right w:type="dxa" w:w="110"/>
            </w:tcMar>
          </w:tcPr>
          <w:p>
            <w:pPr>
              <w:spacing w:after="0"/>
            </w:pPr>
            <w:r>
              <w:rPr>
                <w:b w:val="false"/>
                <w:bCs w:val="false"/>
                <w:sz w:val="19"/>
                <w:szCs w:val="19"/>
              </w:rPr>
              <w:t xml:space="preserve">Approval_format, report_prodcompiled, Storage tabs</w:t>
            </w:r>
          </w:p>
        </w:tc>
      </w:tr>
      <w:tr>
        <w:tc>
          <w:tcPr>
            <w:tcW w:type="dxa" w:w="2000"/>
            <w:shd w:fill="FFFFFF" w:val="clear"/>
            <w:tcMar>
              <w:top w:type="dxa" w:w="70"/>
              <w:left w:type="dxa" w:w="110"/>
              <w:bottom w:type="dxa" w:w="70"/>
              <w:right w:type="dxa" w:w="110"/>
            </w:tcMar>
          </w:tcPr>
          <w:p>
            <w:pPr>
              <w:spacing w:after="0"/>
            </w:pPr>
            <w:r>
              <w:rPr>
                <w:b w:val="false"/>
                <w:bCs w:val="false"/>
                <w:sz w:val="19"/>
                <w:szCs w:val="19"/>
              </w:rPr>
              <w:t xml:space="preserve">Business units</w:t>
            </w:r>
          </w:p>
        </w:tc>
        <w:tc>
          <w:tcPr>
            <w:tcW w:type="dxa" w:w="4600"/>
            <w:shd w:fill="FFFFFF" w:val="clear"/>
            <w:tcMar>
              <w:top w:type="dxa" w:w="70"/>
              <w:left w:type="dxa" w:w="110"/>
              <w:bottom w:type="dxa" w:w="70"/>
              <w:right w:type="dxa" w:w="110"/>
            </w:tcMar>
          </w:tcPr>
          <w:p>
            <w:pPr>
              <w:spacing w:after="0"/>
            </w:pPr>
            <w:r>
              <w:rPr>
                <w:b w:val="false"/>
                <w:bCs w:val="false"/>
                <w:sz w:val="19"/>
                <w:szCs w:val="19"/>
              </w:rPr>
              <w:t xml:space="preserve">Monthly OVL production vs target per BU with charts</w:t>
            </w:r>
          </w:p>
        </w:tc>
        <w:tc>
          <w:tcPr>
            <w:tcW w:type="dxa" w:w="2760"/>
            <w:shd w:fill="FFFFFF" w:val="clear"/>
            <w:tcMar>
              <w:top w:type="dxa" w:w="70"/>
              <w:left w:type="dxa" w:w="110"/>
              <w:bottom w:type="dxa" w:w="70"/>
              <w:right w:type="dxa" w:w="110"/>
            </w:tcMar>
          </w:tcPr>
          <w:p>
            <w:pPr>
              <w:spacing w:after="0"/>
            </w:pPr>
            <w:r>
              <w:rPr>
                <w:b w:val="false"/>
                <w:bCs w:val="false"/>
                <w:sz w:val="19"/>
                <w:szCs w:val="19"/>
              </w:rPr>
              <w:t xml:space="preserve">Charts-Russia, Charts-LAC, Charts-AP, Charts-MENA CIS, Charts-OVL</w:t>
            </w:r>
          </w:p>
        </w:tc>
      </w:tr>
      <w:tr>
        <w:tc>
          <w:tcPr>
            <w:tcW w:type="dxa" w:w="2000"/>
            <w:shd w:fill="F2F2F2" w:val="clear"/>
            <w:tcMar>
              <w:top w:type="dxa" w:w="70"/>
              <w:left w:type="dxa" w:w="110"/>
              <w:bottom w:type="dxa" w:w="70"/>
              <w:right w:type="dxa" w:w="110"/>
            </w:tcMar>
          </w:tcPr>
          <w:p>
            <w:pPr>
              <w:spacing w:after="0"/>
            </w:pPr>
            <w:r>
              <w:rPr>
                <w:b w:val="false"/>
                <w:bCs w:val="false"/>
                <w:sz w:val="19"/>
                <w:szCs w:val="19"/>
              </w:rPr>
              <w:t xml:space="preserve">Remarks</w:t>
            </w:r>
          </w:p>
        </w:tc>
        <w:tc>
          <w:tcPr>
            <w:tcW w:type="dxa" w:w="4600"/>
            <w:shd w:fill="F2F2F2" w:val="clear"/>
            <w:tcMar>
              <w:top w:type="dxa" w:w="70"/>
              <w:left w:type="dxa" w:w="110"/>
              <w:bottom w:type="dxa" w:w="70"/>
              <w:right w:type="dxa" w:w="110"/>
            </w:tcMar>
          </w:tcPr>
          <w:p>
            <w:pPr>
              <w:spacing w:after="0"/>
            </w:pPr>
            <w:r>
              <w:rPr>
                <w:b w:val="false"/>
                <w:bCs w:val="false"/>
                <w:sz w:val="19"/>
                <w:szCs w:val="19"/>
              </w:rPr>
              <w:t xml:space="preserve">Searchable list of remarks and events; entry screen for authorised users</w:t>
            </w:r>
          </w:p>
        </w:tc>
        <w:tc>
          <w:tcPr>
            <w:tcW w:type="dxa" w:w="2760"/>
            <w:shd w:fill="F2F2F2" w:val="clear"/>
            <w:tcMar>
              <w:top w:type="dxa" w:w="70"/>
              <w:left w:type="dxa" w:w="110"/>
              <w:bottom w:type="dxa" w:w="70"/>
              <w:right w:type="dxa" w:w="110"/>
            </w:tcMar>
          </w:tcPr>
          <w:p>
            <w:pPr>
              <w:spacing w:after="0"/>
            </w:pPr>
            <w:r>
              <w:rPr>
                <w:b w:val="false"/>
                <w:bCs w:val="false"/>
                <w:sz w:val="19"/>
                <w:szCs w:val="19"/>
              </w:rPr>
              <w:t xml:space="preserve">all_remarks, LBL, DPR remark columns</w:t>
            </w:r>
          </w:p>
        </w:tc>
      </w:tr>
      <w:tr>
        <w:tc>
          <w:tcPr>
            <w:tcW w:type="dxa" w:w="2000"/>
            <w:shd w:fill="FFFFFF" w:val="clear"/>
            <w:tcMar>
              <w:top w:type="dxa" w:w="70"/>
              <w:left w:type="dxa" w:w="110"/>
              <w:bottom w:type="dxa" w:w="70"/>
              <w:right w:type="dxa" w:w="110"/>
            </w:tcMar>
          </w:tcPr>
          <w:p>
            <w:pPr>
              <w:spacing w:after="0"/>
            </w:pPr>
            <w:r>
              <w:rPr>
                <w:b w:val="false"/>
                <w:bCs w:val="false"/>
                <w:sz w:val="19"/>
                <w:szCs w:val="19"/>
              </w:rPr>
              <w:t xml:space="preserve">Maintenance (authorised users only)</w:t>
            </w:r>
          </w:p>
        </w:tc>
        <w:tc>
          <w:tcPr>
            <w:tcW w:type="dxa" w:w="4600"/>
            <w:shd w:fill="FFFFFF" w:val="clear"/>
            <w:tcMar>
              <w:top w:type="dxa" w:w="70"/>
              <w:left w:type="dxa" w:w="110"/>
              <w:bottom w:type="dxa" w:w="70"/>
              <w:right w:type="dxa" w:w="110"/>
            </w:tcMar>
          </w:tcPr>
          <w:p>
            <w:pPr>
              <w:spacing w:after="0"/>
            </w:pPr>
            <w:r>
              <w:rPr>
                <w:b w:val="false"/>
                <w:bCs w:val="false"/>
                <w:sz w:val="19"/>
                <w:szCs w:val="19"/>
              </w:rPr>
              <w:t xml:space="preserve">Entry screens: remarks, reference rates, adjustments, published figures, partner monthly data (if kept)</w:t>
            </w:r>
          </w:p>
        </w:tc>
        <w:tc>
          <w:tcPr>
            <w:tcW w:type="dxa" w:w="2760"/>
            <w:shd w:fill="FFFFFF" w:val="clear"/>
            <w:tcMar>
              <w:top w:type="dxa" w:w="70"/>
              <w:left w:type="dxa" w:w="110"/>
              <w:bottom w:type="dxa" w:w="70"/>
              <w:right w:type="dxa" w:w="110"/>
            </w:tcMar>
          </w:tcPr>
          <w:p>
            <w:pPr>
              <w:spacing w:after="0"/>
            </w:pPr>
            <w:r>
              <w:rPr>
                <w:b w:val="false"/>
                <w:bCs w:val="false"/>
                <w:sz w:val="19"/>
                <w:szCs w:val="19"/>
              </w:rPr>
              <w:t xml:space="preserve">Standardised rates, carryforward_cf, Storage_rounded_off_prod, CP sheet non-production columns</w:t>
            </w:r>
          </w:p>
        </w:tc>
      </w:tr>
    </w:tbl>
    <w:p>
      <w:pPr>
        <w:spacing w:after="140"/>
      </w:pPr>
    </w:p>
    <w:p>
      <w:pPr>
        <w:spacing w:after="120"/>
      </w:pPr>
      <w:r>
        <w:rPr>
          <w:b w:val="false"/>
          <w:bCs w:val="false"/>
          <w:i w:val="false"/>
          <w:iCs w:val="false"/>
          <w:sz w:val="22"/>
          <w:szCs w:val="22"/>
        </w:rPr>
        <w:t xml:space="preserve">Filters at the top of every page replace the workbook's typed switches: date, fiscal year, target version (BE / RE / MoU), reconciled-till month, rounded or raw, business unit, asset.</w:t>
      </w:r>
    </w:p>
    <w:p>
      <w:r>
        <w:br w:type="page"/>
      </w:r>
    </w:p>
    <w:p>
      <w:pPr>
        <w:pStyle w:val="Heading1"/>
        <w:spacing w:after="160" w:before="320"/>
      </w:pPr>
      <w:r>
        <w:t xml:space="preserve">7. Decisions we need from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rPr>
          <w:tblHeader/>
        </w:trPr>
        <w:tc>
          <w:tcPr>
            <w:tcW w:type="dxa" w:w="500"/>
            <w:shd w:fill="1F4E79" w:val="clear"/>
            <w:tcMar>
              <w:top w:type="dxa" w:w="70"/>
              <w:left w:type="dxa" w:w="110"/>
              <w:bottom w:type="dxa" w:w="70"/>
              <w:right w:type="dxa" w:w="110"/>
            </w:tcMar>
          </w:tcPr>
          <w:p>
            <w:pPr>
              <w:spacing w:after="0"/>
            </w:pPr>
            <w:r>
              <w:rPr>
                <w:b/>
                <w:bCs/>
                <w:color w:val="FFFFFF"/>
                <w:sz w:val="19"/>
                <w:szCs w:val="19"/>
              </w:rPr>
              <w:t xml:space="preserve">#</w:t>
            </w:r>
          </w:p>
        </w:tc>
        <w:tc>
          <w:tcPr>
            <w:tcW w:type="dxa" w:w="5200"/>
            <w:shd w:fill="1F4E79" w:val="clear"/>
            <w:tcMar>
              <w:top w:type="dxa" w:w="70"/>
              <w:left w:type="dxa" w:w="110"/>
              <w:bottom w:type="dxa" w:w="70"/>
              <w:right w:type="dxa" w:w="110"/>
            </w:tcMar>
          </w:tcPr>
          <w:p>
            <w:pPr>
              <w:spacing w:after="0"/>
            </w:pPr>
            <w:r>
              <w:rPr>
                <w:b/>
                <w:bCs/>
                <w:color w:val="FFFFFF"/>
                <w:sz w:val="19"/>
                <w:szCs w:val="19"/>
              </w:rPr>
              <w:t xml:space="preserve">Question</w:t>
            </w:r>
          </w:p>
        </w:tc>
        <w:tc>
          <w:tcPr>
            <w:tcW w:type="dxa" w:w="3660"/>
            <w:shd w:fill="1F4E79" w:val="clear"/>
            <w:tcMar>
              <w:top w:type="dxa" w:w="70"/>
              <w:left w:type="dxa" w:w="110"/>
              <w:bottom w:type="dxa" w:w="70"/>
              <w:right w:type="dxa" w:w="110"/>
            </w:tcMar>
          </w:tcPr>
          <w:p>
            <w:pPr>
              <w:spacing w:after="0"/>
            </w:pPr>
            <w:r>
              <w:rPr>
                <w:b/>
                <w:bCs/>
                <w:color w:val="FFFFFF"/>
                <w:sz w:val="19"/>
                <w:szCs w:val="19"/>
              </w:rPr>
              <w:t xml:space="preserve">Why it matters</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1</w:t>
            </w:r>
          </w:p>
        </w:tc>
        <w:tc>
          <w:tcPr>
            <w:tcW w:type="dxa" w:w="5200"/>
            <w:shd w:fill="FFFFFF" w:val="clear"/>
            <w:tcMar>
              <w:top w:type="dxa" w:w="70"/>
              <w:left w:type="dxa" w:w="110"/>
              <w:bottom w:type="dxa" w:w="70"/>
              <w:right w:type="dxa" w:w="110"/>
            </w:tcMar>
          </w:tcPr>
          <w:p>
            <w:pPr>
              <w:spacing w:after="0"/>
            </w:pPr>
            <w:r>
              <w:rPr>
                <w:b w:val="false"/>
                <w:bCs w:val="false"/>
                <w:sz w:val="19"/>
                <w:szCs w:val="19"/>
              </w:rPr>
              <w:t xml:space="preserve">Which SAP target version is your 'MoU' (SAP has two MoU versions: Excellent and Very Good)?</w:t>
            </w:r>
          </w:p>
        </w:tc>
        <w:tc>
          <w:tcPr>
            <w:tcW w:type="dxa" w:w="3660"/>
            <w:shd w:fill="FFFFFF" w:val="clear"/>
            <w:tcMar>
              <w:top w:type="dxa" w:w="70"/>
              <w:left w:type="dxa" w:w="110"/>
              <w:bottom w:type="dxa" w:w="70"/>
              <w:right w:type="dxa" w:w="110"/>
            </w:tcMar>
          </w:tcPr>
          <w:p>
            <w:pPr>
              <w:spacing w:after="0"/>
            </w:pPr>
            <w:r>
              <w:rPr>
                <w:b w:val="false"/>
                <w:bCs w:val="false"/>
                <w:sz w:val="19"/>
                <w:szCs w:val="19"/>
              </w:rPr>
              <w:t xml:space="preserve">Without it the MoU column cannot be filled.</w:t>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2</w:t>
            </w:r>
          </w:p>
        </w:tc>
        <w:tc>
          <w:tcPr>
            <w:tcW w:type="dxa" w:w="5200"/>
            <w:shd w:fill="F2F2F2" w:val="clear"/>
            <w:tcMar>
              <w:top w:type="dxa" w:w="70"/>
              <w:left w:type="dxa" w:w="110"/>
              <w:bottom w:type="dxa" w:w="70"/>
              <w:right w:type="dxa" w:w="110"/>
            </w:tcMar>
          </w:tcPr>
          <w:p>
            <w:pPr>
              <w:spacing w:after="0"/>
            </w:pPr>
            <w:r>
              <w:rPr>
                <w:b w:val="false"/>
                <w:bCs w:val="false"/>
                <w:sz w:val="19"/>
                <w:szCs w:val="19"/>
              </w:rPr>
              <w:t xml:space="preserve">Are the monthly reconciled figures in SAP loaded from the same partner statements you paste into the asset tabs, and do they include tonnes as well as barrels?</w:t>
            </w:r>
          </w:p>
        </w:tc>
        <w:tc>
          <w:tcPr>
            <w:tcW w:type="dxa" w:w="3660"/>
            <w:shd w:fill="F2F2F2" w:val="clear"/>
            <w:tcMar>
              <w:top w:type="dxa" w:w="70"/>
              <w:left w:type="dxa" w:w="110"/>
              <w:bottom w:type="dxa" w:w="70"/>
              <w:right w:type="dxa" w:w="110"/>
            </w:tcMar>
          </w:tcPr>
          <w:p>
            <w:pPr>
              <w:spacing w:after="0"/>
            </w:pPr>
            <w:r>
              <w:rPr>
                <w:b w:val="false"/>
                <w:bCs w:val="false"/>
                <w:sz w:val="19"/>
                <w:szCs w:val="19"/>
              </w:rPr>
              <w:t xml:space="preserve">Decides whether the conversion factor can be computed automatically or needs an entry screen.</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3</w:t>
            </w:r>
          </w:p>
        </w:tc>
        <w:tc>
          <w:tcPr>
            <w:tcW w:type="dxa" w:w="5200"/>
            <w:shd w:fill="FFFFFF" w:val="clear"/>
            <w:tcMar>
              <w:top w:type="dxa" w:w="70"/>
              <w:left w:type="dxa" w:w="110"/>
              <w:bottom w:type="dxa" w:w="70"/>
              <w:right w:type="dxa" w:w="110"/>
            </w:tcMar>
          </w:tcPr>
          <w:p>
            <w:pPr>
              <w:spacing w:after="0"/>
            </w:pPr>
            <w:r>
              <w:rPr>
                <w:b w:val="false"/>
                <w:bCs w:val="false"/>
                <w:sz w:val="19"/>
                <w:szCs w:val="19"/>
              </w:rPr>
              <w:t xml:space="preserve">Which OVL figure is official: the one computed from reconciled production, or Corporate Planning's rounded figure? Can they differ?</w:t>
            </w:r>
          </w:p>
        </w:tc>
        <w:tc>
          <w:tcPr>
            <w:tcW w:type="dxa" w:w="3660"/>
            <w:shd w:fill="FFFFFF" w:val="clear"/>
            <w:tcMar>
              <w:top w:type="dxa" w:w="70"/>
              <w:left w:type="dxa" w:w="110"/>
              <w:bottom w:type="dxa" w:w="70"/>
              <w:right w:type="dxa" w:w="110"/>
            </w:tcMar>
          </w:tcPr>
          <w:p>
            <w:pPr>
              <w:spacing w:after="0"/>
            </w:pPr>
            <w:r>
              <w:rPr>
                <w:b w:val="false"/>
                <w:bCs w:val="false"/>
                <w:sz w:val="19"/>
                <w:szCs w:val="19"/>
              </w:rPr>
              <w:t xml:space="preserve">Decides whether a 'published figures' screen is needed.</w:t>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4</w:t>
            </w:r>
          </w:p>
        </w:tc>
        <w:tc>
          <w:tcPr>
            <w:tcW w:type="dxa" w:w="5200"/>
            <w:shd w:fill="F2F2F2" w:val="clear"/>
            <w:tcMar>
              <w:top w:type="dxa" w:w="70"/>
              <w:left w:type="dxa" w:w="110"/>
              <w:bottom w:type="dxa" w:w="70"/>
              <w:right w:type="dxa" w:w="110"/>
            </w:tcMar>
          </w:tcPr>
          <w:p>
            <w:pPr>
              <w:spacing w:after="0"/>
            </w:pPr>
            <w:r>
              <w:rPr>
                <w:b w:val="false"/>
                <w:bCs w:val="false"/>
                <w:sz w:val="19"/>
                <w:szCs w:val="19"/>
              </w:rPr>
              <w:t xml:space="preserve">Should oil-equivalent be MMT + BCM (as in the workbook) or use the 6290 barrel factor (as in the DPR report), or show both?</w:t>
            </w:r>
          </w:p>
        </w:tc>
        <w:tc>
          <w:tcPr>
            <w:tcW w:type="dxa" w:w="3660"/>
            <w:shd w:fill="F2F2F2" w:val="clear"/>
            <w:tcMar>
              <w:top w:type="dxa" w:w="70"/>
              <w:left w:type="dxa" w:w="110"/>
              <w:bottom w:type="dxa" w:w="70"/>
              <w:right w:type="dxa" w:w="110"/>
            </w:tcMar>
          </w:tcPr>
          <w:p>
            <w:pPr>
              <w:spacing w:after="0"/>
            </w:pPr>
            <w:r>
              <w:rPr>
                <w:b w:val="false"/>
                <w:bCs w:val="false"/>
                <w:sz w:val="19"/>
                <w:szCs w:val="19"/>
              </w:rPr>
              <w:t xml:space="preserve">The two give different totals.</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5</w:t>
            </w:r>
          </w:p>
        </w:tc>
        <w:tc>
          <w:tcPr>
            <w:tcW w:type="dxa" w:w="5200"/>
            <w:shd w:fill="FFFFFF" w:val="clear"/>
            <w:tcMar>
              <w:top w:type="dxa" w:w="70"/>
              <w:left w:type="dxa" w:w="110"/>
              <w:bottom w:type="dxa" w:w="70"/>
              <w:right w:type="dxa" w:w="110"/>
            </w:tcMar>
          </w:tcPr>
          <w:p>
            <w:pPr>
              <w:spacing w:after="0"/>
            </w:pPr>
            <w:r>
              <w:rPr>
                <w:b w:val="false"/>
                <w:bCs w:val="false"/>
                <w:sz w:val="19"/>
                <w:szCs w:val="19"/>
              </w:rPr>
              <w:t xml:space="preserve">Do you want wells drilled, surveys, water cut and water injection in the dashboard? If yes, who enters them each month?</w:t>
            </w:r>
          </w:p>
        </w:tc>
        <w:tc>
          <w:tcPr>
            <w:tcW w:type="dxa" w:w="3660"/>
            <w:shd w:fill="FFFFFF" w:val="clear"/>
            <w:tcMar>
              <w:top w:type="dxa" w:w="70"/>
              <w:left w:type="dxa" w:w="110"/>
              <w:bottom w:type="dxa" w:w="70"/>
              <w:right w:type="dxa" w:w="110"/>
            </w:tcMar>
          </w:tcPr>
          <w:p>
            <w:pPr>
              <w:spacing w:after="0"/>
            </w:pPr>
            <w:r>
              <w:rPr>
                <w:b w:val="false"/>
                <w:bCs w:val="false"/>
                <w:sz w:val="19"/>
                <w:szCs w:val="19"/>
              </w:rPr>
              <w:t xml:space="preserve">This is the only sizeable block of non-production data.</w:t>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6</w:t>
            </w:r>
          </w:p>
        </w:tc>
        <w:tc>
          <w:tcPr>
            <w:tcW w:type="dxa" w:w="5200"/>
            <w:shd w:fill="F2F2F2" w:val="clear"/>
            <w:tcMar>
              <w:top w:type="dxa" w:w="70"/>
              <w:left w:type="dxa" w:w="110"/>
              <w:bottom w:type="dxa" w:w="70"/>
              <w:right w:type="dxa" w:w="110"/>
            </w:tcMar>
          </w:tcPr>
          <w:p>
            <w:pPr>
              <w:spacing w:after="0"/>
            </w:pPr>
            <w:r>
              <w:rPr>
                <w:b w:val="false"/>
                <w:bCs w:val="false"/>
                <w:sz w:val="19"/>
                <w:szCs w:val="19"/>
              </w:rPr>
              <w:t xml:space="preserve">Does SAP keep last year's reconciled figures?</w:t>
            </w:r>
          </w:p>
        </w:tc>
        <w:tc>
          <w:tcPr>
            <w:tcW w:type="dxa" w:w="3660"/>
            <w:shd w:fill="F2F2F2" w:val="clear"/>
            <w:tcMar>
              <w:top w:type="dxa" w:w="70"/>
              <w:left w:type="dxa" w:w="110"/>
              <w:bottom w:type="dxa" w:w="70"/>
              <w:right w:type="dxa" w:w="110"/>
            </w:tcMar>
          </w:tcPr>
          <w:p>
            <w:pPr>
              <w:spacing w:after="0"/>
            </w:pPr>
            <w:r>
              <w:rPr>
                <w:b w:val="false"/>
                <w:bCs w:val="false"/>
                <w:sz w:val="19"/>
                <w:szCs w:val="19"/>
              </w:rPr>
              <w:t xml:space="preserve">Needed for year-on-year comparisons; otherwise a one-time upload.</w:t>
            </w:r>
          </w:p>
        </w:tc>
      </w:tr>
      <w:tr>
        <w:tc>
          <w:tcPr>
            <w:tcW w:type="dxa" w:w="500"/>
            <w:shd w:fill="FFFFFF" w:val="clear"/>
            <w:tcMar>
              <w:top w:type="dxa" w:w="70"/>
              <w:left w:type="dxa" w:w="110"/>
              <w:bottom w:type="dxa" w:w="70"/>
              <w:right w:type="dxa" w:w="110"/>
            </w:tcMar>
          </w:tcPr>
          <w:p>
            <w:pPr>
              <w:spacing w:after="0"/>
            </w:pPr>
            <w:r>
              <w:rPr>
                <w:b w:val="false"/>
                <w:bCs w:val="false"/>
                <w:sz w:val="19"/>
                <w:szCs w:val="19"/>
              </w:rPr>
              <w:t xml:space="preserve">7</w:t>
            </w:r>
          </w:p>
        </w:tc>
        <w:tc>
          <w:tcPr>
            <w:tcW w:type="dxa" w:w="5200"/>
            <w:shd w:fill="FFFFFF" w:val="clear"/>
            <w:tcMar>
              <w:top w:type="dxa" w:w="70"/>
              <w:left w:type="dxa" w:w="110"/>
              <w:bottom w:type="dxa" w:w="70"/>
              <w:right w:type="dxa" w:w="110"/>
            </w:tcMar>
          </w:tcPr>
          <w:p>
            <w:pPr>
              <w:spacing w:after="0"/>
            </w:pPr>
            <w:r>
              <w:rPr>
                <w:b w:val="false"/>
                <w:bCs w:val="false"/>
                <w:sz w:val="19"/>
                <w:szCs w:val="19"/>
              </w:rPr>
              <w:t xml:space="preserve">Who will maintain remarks, reference rates and adjustments?</w:t>
            </w:r>
          </w:p>
        </w:tc>
        <w:tc>
          <w:tcPr>
            <w:tcW w:type="dxa" w:w="3660"/>
            <w:shd w:fill="FFFFFF" w:val="clear"/>
            <w:tcMar>
              <w:top w:type="dxa" w:w="70"/>
              <w:left w:type="dxa" w:w="110"/>
              <w:bottom w:type="dxa" w:w="70"/>
              <w:right w:type="dxa" w:w="110"/>
            </w:tcMar>
          </w:tcPr>
          <w:p>
            <w:pPr>
              <w:spacing w:after="0"/>
            </w:pPr>
            <w:r>
              <w:rPr>
                <w:b w:val="false"/>
                <w:bCs w:val="false"/>
                <w:sz w:val="19"/>
                <w:szCs w:val="19"/>
              </w:rPr>
              <w:t xml:space="preserve">Each entry screen needs an owner.</w:t>
            </w:r>
          </w:p>
        </w:tc>
      </w:tr>
      <w:tr>
        <w:tc>
          <w:tcPr>
            <w:tcW w:type="dxa" w:w="500"/>
            <w:shd w:fill="F2F2F2" w:val="clear"/>
            <w:tcMar>
              <w:top w:type="dxa" w:w="70"/>
              <w:left w:type="dxa" w:w="110"/>
              <w:bottom w:type="dxa" w:w="70"/>
              <w:right w:type="dxa" w:w="110"/>
            </w:tcMar>
          </w:tcPr>
          <w:p>
            <w:pPr>
              <w:spacing w:after="0"/>
            </w:pPr>
            <w:r>
              <w:rPr>
                <w:b w:val="false"/>
                <w:bCs w:val="false"/>
                <w:sz w:val="19"/>
                <w:szCs w:val="19"/>
              </w:rPr>
              <w:t xml:space="preserve">8</w:t>
            </w:r>
          </w:p>
        </w:tc>
        <w:tc>
          <w:tcPr>
            <w:tcW w:type="dxa" w:w="5200"/>
            <w:shd w:fill="F2F2F2" w:val="clear"/>
            <w:tcMar>
              <w:top w:type="dxa" w:w="70"/>
              <w:left w:type="dxa" w:w="110"/>
              <w:bottom w:type="dxa" w:w="70"/>
              <w:right w:type="dxa" w:w="110"/>
            </w:tcMar>
          </w:tcPr>
          <w:p>
            <w:pPr>
              <w:spacing w:after="0"/>
            </w:pPr>
            <w:r>
              <w:rPr>
                <w:b w:val="false"/>
                <w:bCs w:val="false"/>
                <w:sz w:val="19"/>
                <w:szCs w:val="19"/>
              </w:rPr>
              <w:t xml:space="preserve">Which pages are needed in the first release?</w:t>
            </w:r>
          </w:p>
        </w:tc>
        <w:tc>
          <w:tcPr>
            <w:tcW w:type="dxa" w:w="3660"/>
            <w:shd w:fill="F2F2F2" w:val="clear"/>
            <w:tcMar>
              <w:top w:type="dxa" w:w="70"/>
              <w:left w:type="dxa" w:w="110"/>
              <w:bottom w:type="dxa" w:w="70"/>
              <w:right w:type="dxa" w:w="110"/>
            </w:tcMar>
          </w:tcPr>
          <w:p>
            <w:pPr>
              <w:spacing w:after="0"/>
            </w:pPr>
            <w:r>
              <w:rPr>
                <w:b w:val="false"/>
                <w:bCs w:val="false"/>
                <w:sz w:val="19"/>
                <w:szCs w:val="19"/>
              </w:rPr>
              <w:t xml:space="preserve">Lets us deliver the Overview and Performance pages first and the rest after.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10"/>
              <w:left w:type="dxa" w:w="160"/>
              <w:bottom w:type="dxa" w:w="110"/>
              <w:right w:type="dxa" w:w="160"/>
            </w:tcMar>
          </w:tcPr>
          <w:p>
            <w:pPr>
              <w:spacing w:after="0"/>
            </w:pPr>
            <w:r>
              <w:rPr>
                <w:b/>
                <w:bCs/>
                <w:sz w:val="22"/>
                <w:szCs w:val="22"/>
              </w:rPr>
              <w:t xml:space="preserve">What happens next:  </w:t>
            </w:r>
            <w:r>
              <w:rPr>
                <w:sz w:val="22"/>
                <w:szCs w:val="22"/>
              </w:rPr>
              <w:t xml:space="preserve">Once questions 1 to 4 are answered, the Overview, Performance and Business-unit pages can be built on the production and target data that SAP already has. The remarks entry screen is added in the same step. The other entry screens follow your decisions on questions 5 to 7.</w:t>
            </w:r>
          </w:p>
        </w:tc>
      </w:tr>
    </w:tbl>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ONGC Videsh — Production Dashboard: from Excel to SAP BTP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2026-09-25T10:47:47.231Z</dcterms:created>
  <dcterms:modified xsi:type="dcterms:W3CDTF">2026-09-25T10:47:47.231Z</dcterms:modified>
</cp:coreProperties>
</file>

<file path=docProps/custom.xml><?xml version="1.0" encoding="utf-8"?>
<Properties xmlns="http://schemas.openxmlformats.org/officeDocument/2006/custom-properties" xmlns:vt="http://schemas.openxmlformats.org/officeDocument/2006/docPropsVTypes"/>
</file>