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Restoration Cost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Source closeout record · Pebble Loom Court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OEP-27-1087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AQI-OEP-27-1087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TEN-27-1087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Mateo Sinclair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Pebble Loom Communities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Pebble Loom Court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3J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482 Pebble Avenue, Brookhaven, NY 10032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$2,180.00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05/31/2027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$2,575.00</w:t>
            </w:r>
          </w:p>
        </w:tc>
      </w:tr>
    </w:tbl>
    <w:p>
      <w:pPr>
        <w:spacing w:after="20"/>
      </w:pPr>
    </w:p>
    <w:p>
      <w:pPr>
        <w:pStyle w:val="Heading1"/>
      </w:pPr>
      <w:r>
        <w:t>Presented source lines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4968"/>
        <w:gridCol w:w="2232"/>
        <w:gridCol w:w="1512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496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description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category</w:t>
            </w:r>
          </w:p>
        </w:tc>
        <w:tc>
          <w:tcPr>
            <w:tcW w:type="dxa" w:w="151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Living-room wall restoration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$1,716.00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Kitchen cabinet repair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$1,288.00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Specialized odor treatment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restoration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$354.00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49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Administrative reopening fee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Fee or service charge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$124.00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The categories and gross values above are supplied by the housing operator. They have not been tested against the master form.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Source Record Register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OEP-27-1087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2160"/>
        <w:gridCol w:w="4176"/>
      </w:tblGrid>
      <w:tr>
        <w:trPr>
          <w:tblHeader w:val="true"/>
          <w:cantSplit/>
        </w:trPr>
        <w:tc>
          <w:tcPr>
            <w:tcW w:type="dxa" w:w="6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Line</w:t>
            </w:r>
          </w:p>
        </w:tc>
        <w:tc>
          <w:tcPr>
            <w:tcW w:type="dxa" w:w="23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status</w:t>
            </w:r>
          </w:p>
        </w:tc>
        <w:tc>
          <w:tcPr>
            <w:tcW w:type="dxa" w:w="216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 reference</w:t>
            </w:r>
          </w:p>
        </w:tc>
        <w:tc>
          <w:tcPr>
            <w:tcW w:type="dxa" w:w="417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Service-life, interval, or condition fact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supporting record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AQ-REQ-4112-W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drywall labor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2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Estimate only — work unfinished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AQ-EST-4112-C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cabinet labor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 or executed work order supplied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AQ-INV-4112-O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Component: specialized cleaning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Record not applicable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None stated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 additional service-life or interval fact stated</w:t>
            </w:r>
          </w:p>
        </w:tc>
      </w:tr>
    </w:tbl>
    <w:p>
      <w:pPr>
        <w:spacing w:after="20"/>
      </w:pPr>
    </w:p>
    <w:p>
      <w:pPr>
        <w:pStyle w:val="Heading1"/>
      </w:pPr>
      <w:r>
        <w:t>Factual observations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6696"/>
      </w:tblGrid>
      <w:tr>
        <w:trPr>
          <w:tblHeader w:val="true"/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Observation</w:t>
            </w:r>
          </w:p>
        </w:tc>
        <w:tc>
          <w:tcPr>
            <w:tcW w:type="dxa" w:w="66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Recorded fact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05/31/2027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Ready or replacement cutoff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Not stated</w:t>
            </w:r>
          </w:p>
        </w:tc>
      </w:tr>
      <w:tr>
        <w:trPr>
          <w:cantSplit/>
        </w:trPr>
        <w:tc>
          <w:tcPr>
            <w:tcW w:type="dxa" w:w="266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Condition evidence</w:t>
            </w:r>
          </w:p>
        </w:tc>
        <w:tc>
          <w:tcPr>
            <w:tcW w:type="dxa" w:w="6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appears in the record index; the status alone does not establish eligibility.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page records source evidence only. No depreciation, exclusion, hold, cap, route, or payment appears here.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OEP-27-1087 · Restoration Cost Register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