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</w:t>
      </w:r>
    </w:p>
    <w:p>
      <w:pPr>
        <w:pStyle w:val="DocumentTitle"/>
      </w:pPr>
      <w:r>
        <w:t>Tenancy Financial Journal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Activity snapshot · February 15, 2027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944"/>
        <w:gridCol w:w="1728"/>
        <w:gridCol w:w="3744"/>
      </w:tblGrid>
      <w:tr>
        <w:trPr>
          <w:tblHeader w:val="true"/>
          <w:cantSplit/>
        </w:trPr>
        <w:tc>
          <w:tcPr>
            <w:tcW w:type="dxa" w:w="194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Claim ID</w:t>
            </w:r>
          </w:p>
        </w:tc>
        <w:tc>
          <w:tcPr>
            <w:tcW w:type="dxa" w:w="194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Tenancy ID</w:t>
            </w:r>
          </w:p>
        </w:tc>
        <w:tc>
          <w:tcPr>
            <w:tcW w:type="dxa" w:w="172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Unit</w:t>
            </w:r>
          </w:p>
        </w:tc>
        <w:tc>
          <w:tcPr>
            <w:tcW w:type="dxa" w:w="374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Household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OEP-27-2849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TEN-27-2849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14B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Rafael Quintero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24"/>
        <w:gridCol w:w="4104"/>
        <w:gridCol w:w="1152"/>
        <w:gridCol w:w="1440"/>
        <w:gridCol w:w="1440"/>
      </w:tblGrid>
      <w:tr>
        <w:trPr>
          <w:tblHeader w:val="true"/>
          <w:cantSplit/>
        </w:trPr>
        <w:tc>
          <w:tcPr>
            <w:tcW w:type="dxa" w:w="122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Date</w:t>
            </w:r>
          </w:p>
        </w:tc>
        <w:tc>
          <w:tcPr>
            <w:tcW w:type="dxa" w:w="410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Journal description</w:t>
            </w:r>
          </w:p>
        </w:tc>
        <w:tc>
          <w:tcPr>
            <w:tcW w:type="dxa" w:w="1152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Debit</w:t>
            </w:r>
          </w:p>
        </w:tc>
        <w:tc>
          <w:tcPr>
            <w:tcW w:type="dxa" w:w="1440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Credit / recovery</w:t>
            </w:r>
          </w:p>
        </w:tc>
        <w:tc>
          <w:tcPr>
            <w:tcW w:type="dxa" w:w="1440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Running balance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02/15/2027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Prior occupancy balance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$1,380.00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—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$1,380.00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02/15/2027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Reletting interval — 21 days at $73.00 per day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$1,533.00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—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$2,913.00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02/15/2027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Vendor scheduling charge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$118.00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—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$3,031.00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/>
          <w:i/>
          <w:color w:val="58616A"/>
          <w:sz w:val="17"/>
        </w:rPr>
        <w:t>This is an accounting-source snapshot. Debits, credits, reversals, and balances are factual entries and are not protection decisions.</w:t>
      </w:r>
    </w:p>
    <w:sectPr>
      <w:footerReference w:type="default" r:id="rId9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color w:val="737A82"/>
        <w:sz w:val="16"/>
      </w:rPr>
      <w:t xml:space="preserve">OEP-27-2849 · Tenancy Financial Journal · artificial fixture · Page </w:t>
    </w:r>
    <w:r>
      <w:rPr>
        <w:rFonts w:ascii="Arial" w:hAnsi="Arial"/>
        <w:color w:val="737A82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color w:val="737A82"/>
        <w:sz w:val="16"/>
      </w:rPr>
      <w:t xml:space="preserve"> of </w:t>
    </w:r>
    <w:r>
      <w:rPr>
        <w:rFonts w:ascii="Arial" w:hAnsi="Arial"/>
        <w:color w:val="737A82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" w:hAnsi="Arial"/>
      <w:color w:val="2731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4A27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731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731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Title">
    <w:name w:val="Document Title"/>
    <w:pPr>
      <w:spacing w:before="0" w:after="40"/>
      <w:jc w:val="center"/>
    </w:pPr>
    <w:rPr>
      <w:rFonts w:ascii="Arial" w:hAnsi="Arial"/>
      <w:b/>
      <w:color w:val="4A274F"/>
      <w:sz w:val="4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