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Tenancy Financial Journal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Activity snapshot · April 15, 2027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944"/>
        <w:gridCol w:w="1728"/>
        <w:gridCol w:w="3744"/>
      </w:tblGrid>
      <w:tr>
        <w:trPr>
          <w:tblHeader w:val="true"/>
          <w:cantSplit/>
        </w:trPr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Claim ID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Tenancy ID</w:t>
            </w:r>
          </w:p>
        </w:tc>
        <w:tc>
          <w:tcPr>
            <w:tcW w:type="dxa" w:w="172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Unit</w:t>
            </w:r>
          </w:p>
        </w:tc>
        <w:tc>
          <w:tcPr>
            <w:tcW w:type="dxa" w:w="37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Household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OEP-27-4706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TEN-27-4706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4K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Noah Kessler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104"/>
        <w:gridCol w:w="1152"/>
        <w:gridCol w:w="1440"/>
        <w:gridCol w:w="1440"/>
      </w:tblGrid>
      <w:tr>
        <w:trPr>
          <w:tblHeader w:val="true"/>
          <w:cantSplit/>
        </w:trPr>
        <w:tc>
          <w:tcPr>
            <w:tcW w:type="dxa" w:w="12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Date</w:t>
            </w:r>
          </w:p>
        </w:tc>
        <w:tc>
          <w:tcPr>
            <w:tcW w:type="dxa" w:w="410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Journal description</w:t>
            </w:r>
          </w:p>
        </w:tc>
        <w:tc>
          <w:tcPr>
            <w:tcW w:type="dxa" w:w="115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Debit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Credit / recovery</w:t>
            </w:r>
          </w:p>
        </w:tc>
        <w:tc>
          <w:tcPr>
            <w:tcW w:type="dxa" w:w="1440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Running balance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04/15/2027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Kitchen floor finish replacement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$960.00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$960.00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04/15/2027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Window blind rail and hardware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$504.00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$1,464.00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04/15/2027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Kitchen GFCI receptacle restoration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$715.00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$2,179.00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04/15/2027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Countertop edge panel replacement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$1,080.00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$3,259.00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04/15/2027</w:t>
            </w:r>
          </w:p>
        </w:tc>
        <w:tc>
          <w:tcPr>
            <w:tcW w:type="dxa" w:w="41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Standard turnover cleaning</w:t>
            </w:r>
          </w:p>
        </w:tc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$142.00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—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$3,401.00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is an accounting-source snapshot. Debits, credits, reversals, and balances are factual entries and are not protection decisions.</w:t>
      </w: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OEP-27-4706 · Tenancy Financial Journal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