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  <w:jc w:val="center"/>
      </w:pPr>
      <w:r>
        <w:rPr>
          <w:rFonts w:ascii="Arial" w:hAnsi="Arial"/>
          <w:b/>
          <w:color w:val="C46A2D"/>
          <w:sz w:val="16"/>
        </w:rPr>
        <w:t>ARTIFICIAL TRAINING FIXTURE — NO PERSON OR TENANCY IS REAL</w:t>
      </w:r>
    </w:p>
    <w:p>
      <w:pPr>
        <w:pStyle w:val="DocumentTitle"/>
      </w:pPr>
      <w:r>
        <w:t>Premises Condition Log</w:t>
      </w:r>
    </w:p>
    <w:p>
      <w:pPr>
        <w:spacing w:after="120"/>
        <w:jc w:val="center"/>
      </w:pPr>
      <w:r>
        <w:rPr>
          <w:rFonts w:ascii="Arial" w:hAnsi="Arial"/>
          <w:i/>
          <w:color w:val="58616A"/>
          <w:sz w:val="19"/>
        </w:rPr>
        <w:t>Source closeout record · Glasswing Terrace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584"/>
        <w:gridCol w:w="3096"/>
        <w:gridCol w:w="1584"/>
        <w:gridCol w:w="3096"/>
      </w:tblGrid>
      <w:tr>
        <w:trPr>
          <w:tblHeader w:val="true"/>
          <w:cantSplit/>
        </w:trPr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Field</w:t>
            </w:r>
          </w:p>
        </w:tc>
        <w:tc>
          <w:tcPr>
            <w:tcW w:type="dxa" w:w="3096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Source value</w:t>
            </w:r>
          </w:p>
        </w:tc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Field</w:t>
            </w:r>
          </w:p>
        </w:tc>
        <w:tc>
          <w:tcPr>
            <w:tcW w:type="dxa" w:w="3096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Source value</w:t>
            </w:r>
          </w:p>
        </w:tc>
      </w:tr>
      <w:tr>
        <w:trPr>
          <w:cantSplit/>
        </w:trPr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Claim ID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OEP-27-4706</w:t>
            </w:r>
          </w:p>
        </w:tc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Policy number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AQI-OEP-27-4706</w:t>
            </w:r>
          </w:p>
        </w:tc>
      </w:tr>
      <w:tr>
        <w:trPr>
          <w:cantSplit/>
        </w:trPr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Tenancy ID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TEN-27-4706</w:t>
            </w:r>
          </w:p>
        </w:tc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Policy form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OEP-2027-SYN</w:t>
            </w:r>
          </w:p>
        </w:tc>
      </w:tr>
      <w:tr>
        <w:trPr>
          <w:cantSplit/>
        </w:trPr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Covered household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Noah Kessler</w:t>
            </w:r>
          </w:p>
        </w:tc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Operator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Glasswing Urban Housing</w:t>
            </w:r>
          </w:p>
        </w:tc>
      </w:tr>
      <w:tr>
        <w:trPr>
          <w:cantSplit/>
        </w:trPr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Property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Glasswing Terrace</w:t>
            </w:r>
          </w:p>
        </w:tc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Unit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4K</w:t>
            </w:r>
          </w:p>
        </w:tc>
      </w:tr>
      <w:tr>
        <w:trPr>
          <w:cantSplit/>
        </w:trPr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Property address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94 Glasswing Lane, Brookhaven, NY 10028</w:t>
            </w:r>
          </w:p>
        </w:tc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Monthly charge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$2,520.00</w:t>
            </w:r>
          </w:p>
        </w:tc>
      </w:tr>
      <w:tr>
        <w:trPr>
          <w:cantSplit/>
        </w:trPr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Possession returned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04/09/2027</w:t>
            </w:r>
          </w:p>
        </w:tc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Selected limit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$2,980.00</w:t>
            </w:r>
          </w:p>
        </w:tc>
      </w:tr>
    </w:tbl>
    <w:p>
      <w:pPr>
        <w:spacing w:after="20"/>
      </w:pPr>
    </w:p>
    <w:p>
      <w:pPr>
        <w:pStyle w:val="Heading1"/>
      </w:pPr>
      <w:r>
        <w:t>Presented source lines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648"/>
        <w:gridCol w:w="4968"/>
        <w:gridCol w:w="2232"/>
        <w:gridCol w:w="1512"/>
      </w:tblGrid>
      <w:tr>
        <w:trPr>
          <w:tblHeader w:val="true"/>
          <w:cantSplit/>
        </w:trPr>
        <w:tc>
          <w:tcPr>
            <w:tcW w:type="dxa" w:w="648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Line</w:t>
            </w:r>
          </w:p>
        </w:tc>
        <w:tc>
          <w:tcPr>
            <w:tcW w:type="dxa" w:w="4968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Source description</w:t>
            </w:r>
          </w:p>
        </w:tc>
        <w:tc>
          <w:tcPr>
            <w:tcW w:type="dxa" w:w="2232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Source category</w:t>
            </w:r>
          </w:p>
        </w:tc>
        <w:tc>
          <w:tcPr>
            <w:tcW w:type="dxa" w:w="1512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Gross amount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1</w:t>
            </w:r>
          </w:p>
        </w:tc>
        <w:tc>
          <w:tcPr>
            <w:tcW w:type="dxa" w:w="49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Kitchen floor finish replacement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Premises restoration</w:t>
            </w:r>
          </w:p>
        </w:tc>
        <w:tc>
          <w:tcPr>
            <w:tcW w:type="dxa" w:w="15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$960.00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2</w:t>
            </w:r>
          </w:p>
        </w:tc>
        <w:tc>
          <w:tcPr>
            <w:tcW w:type="dxa" w:w="49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Window blind rail and hardware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Premises restoration</w:t>
            </w:r>
          </w:p>
        </w:tc>
        <w:tc>
          <w:tcPr>
            <w:tcW w:type="dxa" w:w="15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$504.00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3</w:t>
            </w:r>
          </w:p>
        </w:tc>
        <w:tc>
          <w:tcPr>
            <w:tcW w:type="dxa" w:w="49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Kitchen GFCI receptacle restoration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Premises restoration</w:t>
            </w:r>
          </w:p>
        </w:tc>
        <w:tc>
          <w:tcPr>
            <w:tcW w:type="dxa" w:w="15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$715.00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4</w:t>
            </w:r>
          </w:p>
        </w:tc>
        <w:tc>
          <w:tcPr>
            <w:tcW w:type="dxa" w:w="49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Countertop edge panel replacement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Premises restoration</w:t>
            </w:r>
          </w:p>
        </w:tc>
        <w:tc>
          <w:tcPr>
            <w:tcW w:type="dxa" w:w="15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$1,080.00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5</w:t>
            </w:r>
          </w:p>
        </w:tc>
        <w:tc>
          <w:tcPr>
            <w:tcW w:type="dxa" w:w="49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Standard turnover cleaning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Routine Turnover</w:t>
            </w:r>
          </w:p>
        </w:tc>
        <w:tc>
          <w:tcPr>
            <w:tcW w:type="dxa" w:w="15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$142.00</w:t>
            </w:r>
          </w:p>
        </w:tc>
      </w:tr>
    </w:tbl>
    <w:p>
      <w:pPr>
        <w:spacing w:after="20"/>
      </w:pPr>
    </w:p>
    <w:p>
      <w:pPr>
        <w:spacing w:before="60" w:after="60"/>
      </w:pPr>
      <w:r>
        <w:rPr>
          <w:rFonts w:ascii="Arial" w:hAnsi="Arial"/>
          <w:i/>
          <w:color w:val="58616A"/>
          <w:sz w:val="17"/>
        </w:rPr>
        <w:t>The categories and gross values above are supplied by the housing operator. They have not been tested against the master form.</w:t>
      </w:r>
    </w:p>
    <w:p>
      <w:r>
        <w:br w:type="page"/>
      </w:r>
    </w:p>
    <w:p>
      <w:pPr>
        <w:spacing w:after="100"/>
        <w:jc w:val="center"/>
      </w:pPr>
      <w:r>
        <w:rPr>
          <w:rFonts w:ascii="Arial" w:hAnsi="Arial"/>
          <w:b/>
          <w:color w:val="C46A2D"/>
          <w:sz w:val="16"/>
        </w:rPr>
        <w:t>ARTIFICIAL TRAINING FIXTURE — NO PERSON OR TENANCY IS REAL · CONTINUED</w:t>
      </w:r>
    </w:p>
    <w:p>
      <w:pPr>
        <w:pStyle w:val="DocumentTitle"/>
      </w:pPr>
      <w:r>
        <w:t>Source Record Register</w:t>
      </w:r>
    </w:p>
    <w:p>
      <w:pPr>
        <w:spacing w:after="120"/>
        <w:jc w:val="center"/>
      </w:pPr>
      <w:r>
        <w:rPr>
          <w:rFonts w:ascii="Arial" w:hAnsi="Arial"/>
          <w:i/>
          <w:color w:val="58616A"/>
          <w:sz w:val="19"/>
        </w:rPr>
        <w:t>Claim OEP-27-4706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648"/>
        <w:gridCol w:w="2376"/>
        <w:gridCol w:w="2160"/>
        <w:gridCol w:w="4176"/>
      </w:tblGrid>
      <w:tr>
        <w:trPr>
          <w:tblHeader w:val="true"/>
          <w:cantSplit/>
        </w:trPr>
        <w:tc>
          <w:tcPr>
            <w:tcW w:type="dxa" w:w="648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Line</w:t>
            </w:r>
          </w:p>
        </w:tc>
        <w:tc>
          <w:tcPr>
            <w:tcW w:type="dxa" w:w="2376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Record status</w:t>
            </w:r>
          </w:p>
        </w:tc>
        <w:tc>
          <w:tcPr>
            <w:tcW w:type="dxa" w:w="2160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Record reference</w:t>
            </w:r>
          </w:p>
        </w:tc>
        <w:tc>
          <w:tcPr>
            <w:tcW w:type="dxa" w:w="4176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Service-life, interval, or condition fact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1</w:t>
            </w:r>
          </w:p>
        </w:tc>
        <w:tc>
          <w:tcPr>
            <w:tcW w:type="dxa" w:w="2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Paid record supplied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AQ-INV-4108-F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Component: floor finish; Service start: 2018-10-09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2</w:t>
            </w:r>
          </w:p>
        </w:tc>
        <w:tc>
          <w:tcPr>
            <w:tcW w:type="dxa" w:w="2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Paid record supplied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AQ-INV-4108-W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Component: window treatment; Service start: 2020-04-09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3</w:t>
            </w:r>
          </w:p>
        </w:tc>
        <w:tc>
          <w:tcPr>
            <w:tcW w:type="dxa" w:w="2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Executed work order supplied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AQ-WO-4108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Component: electrical labor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4</w:t>
            </w:r>
          </w:p>
        </w:tc>
        <w:tc>
          <w:tcPr>
            <w:tcW w:type="dxa" w:w="2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Paid record supplied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AQ-INV-4108-C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Component: countertop panel; Service start: 2018-04-09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5</w:t>
            </w:r>
          </w:p>
        </w:tc>
        <w:tc>
          <w:tcPr>
            <w:tcW w:type="dxa" w:w="2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Record not applicable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None stated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No additional service-life or interval fact stated</w:t>
            </w:r>
          </w:p>
        </w:tc>
      </w:tr>
    </w:tbl>
    <w:p>
      <w:pPr>
        <w:spacing w:after="20"/>
      </w:pPr>
    </w:p>
    <w:p>
      <w:pPr>
        <w:pStyle w:val="Heading1"/>
      </w:pPr>
      <w:r>
        <w:t>Factual observations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664"/>
        <w:gridCol w:w="6696"/>
      </w:tblGrid>
      <w:tr>
        <w:trPr>
          <w:tblHeader w:val="true"/>
          <w:cantSplit/>
        </w:trPr>
        <w:tc>
          <w:tcPr>
            <w:tcW w:type="dxa" w:w="266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Observation</w:t>
            </w:r>
          </w:p>
        </w:tc>
        <w:tc>
          <w:tcPr>
            <w:tcW w:type="dxa" w:w="6696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Recorded fact</w:t>
            </w:r>
          </w:p>
        </w:tc>
      </w:tr>
      <w:tr>
        <w:trPr>
          <w:cantSplit/>
        </w:trPr>
        <w:tc>
          <w:tcPr>
            <w:tcW w:type="dxa" w:w="266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Possession return</w:t>
            </w:r>
          </w:p>
        </w:tc>
        <w:tc>
          <w:tcPr>
            <w:tcW w:type="dxa" w:w="66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04/09/2027</w:t>
            </w:r>
          </w:p>
        </w:tc>
      </w:tr>
      <w:tr>
        <w:trPr>
          <w:cantSplit/>
        </w:trPr>
        <w:tc>
          <w:tcPr>
            <w:tcW w:type="dxa" w:w="266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Ready or replacement cutoff</w:t>
            </w:r>
          </w:p>
        </w:tc>
        <w:tc>
          <w:tcPr>
            <w:tcW w:type="dxa" w:w="66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Not stated</w:t>
            </w:r>
          </w:p>
        </w:tc>
      </w:tr>
      <w:tr>
        <w:trPr>
          <w:cantSplit/>
        </w:trPr>
        <w:tc>
          <w:tcPr>
            <w:tcW w:type="dxa" w:w="266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Condition evidence</w:t>
            </w:r>
          </w:p>
        </w:tc>
        <w:tc>
          <w:tcPr>
            <w:tcW w:type="dxa" w:w="66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Status appears in the record index; the status alone does not establish eligibility.</w:t>
            </w:r>
          </w:p>
        </w:tc>
      </w:tr>
    </w:tbl>
    <w:p>
      <w:pPr>
        <w:spacing w:after="20"/>
      </w:pPr>
    </w:p>
    <w:p>
      <w:pPr>
        <w:spacing w:before="60" w:after="60"/>
      </w:pPr>
      <w:r>
        <w:rPr>
          <w:rFonts w:ascii="Arial" w:hAnsi="Arial"/>
          <w:i/>
          <w:color w:val="58616A"/>
          <w:sz w:val="17"/>
        </w:rPr>
        <w:t>This page records source evidence only. No depreciation, exclusion, hold, cap, route, or payment appears here.</w:t>
      </w:r>
    </w:p>
    <w:sectPr>
      <w:footerReference w:type="default" r:id="rId9"/>
      <w:pgSz w:w="12240" w:h="15840"/>
      <w:pgMar w:top="1080" w:right="1080" w:bottom="1080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rial" w:hAnsi="Arial"/>
        <w:color w:val="737A82"/>
        <w:sz w:val="16"/>
      </w:rPr>
      <w:t xml:space="preserve">OEP-27-4706 · Premises Condition Log · artificial fixture · Page </w:t>
    </w:r>
    <w:r>
      <w:rPr>
        <w:rFonts w:ascii="Arial" w:hAnsi="Arial"/>
        <w:color w:val="737A82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Arial" w:hAnsi="Arial"/>
        <w:color w:val="737A82"/>
        <w:sz w:val="16"/>
      </w:rPr>
      <w:t xml:space="preserve"> of </w:t>
    </w:r>
    <w:r>
      <w:rPr>
        <w:rFonts w:ascii="Arial" w:hAnsi="Arial"/>
        <w:color w:val="737A82"/>
        <w:sz w:val="16"/>
      </w:rPr>
      <w:fldChar w:fldCharType="begin"/>
      <w:instrText xml:space="preserve">NUMPAGES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59" w:lineRule="auto"/>
    </w:pPr>
    <w:rPr>
      <w:rFonts w:ascii="Arial" w:hAnsi="Arial"/>
      <w:color w:val="27313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4A274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27313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27313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umentTitle">
    <w:name w:val="Document Title"/>
    <w:pPr>
      <w:spacing w:before="0" w:after="40"/>
      <w:jc w:val="center"/>
    </w:pPr>
    <w:rPr>
      <w:rFonts w:ascii="Arial" w:hAnsi="Arial"/>
      <w:b/>
      <w:color w:val="4A274F"/>
      <w:sz w:val="4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