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  <w:jc w:val="center"/>
      </w:pPr>
      <w:r>
        <w:rPr>
          <w:rFonts w:ascii="Arial" w:hAnsi="Arial"/>
          <w:b/>
          <w:color w:val="C46A2D"/>
          <w:sz w:val="16"/>
        </w:rPr>
        <w:t>ARTIFICIAL TRAINING FIXTURE — NO PERSON OR TENANCY IS REAL</w:t>
      </w:r>
    </w:p>
    <w:p>
      <w:pPr>
        <w:pStyle w:val="DocumentTitle"/>
      </w:pPr>
      <w:r>
        <w:t>Occupancy Exit Protection</w:t>
      </w:r>
    </w:p>
    <w:p>
      <w:pPr>
        <w:spacing w:after="120"/>
        <w:jc w:val="center"/>
      </w:pPr>
      <w:r>
        <w:rPr>
          <w:rFonts w:ascii="Arial" w:hAnsi="Arial"/>
          <w:i/>
          <w:color w:val="58616A"/>
          <w:sz w:val="19"/>
        </w:rPr>
        <w:t>Master Form OEP-2027-SYN</w:t>
      </w:r>
    </w:p>
    <w:p>
      <w:pPr>
        <w:spacing w:after="120"/>
        <w:jc w:val="center"/>
      </w:pPr>
      <w:r>
        <w:rPr>
          <w:rFonts w:ascii="Arial" w:hAnsi="Arial"/>
          <w:b/>
          <w:color w:val="4A274F"/>
          <w:sz w:val="19"/>
        </w:rPr>
        <w:t>SYNTHETIC POLICY SPECIMEN</w:t>
      </w:r>
    </w:p>
    <w:p>
      <w:r>
        <w:t>Alderquill Indemnity Company provides the protection described in this master form only when a covered tenancy certificate selects the applicable part. The certificate schedule, this form, and any listed endorsement form the complete artificial training contract.</w:t>
      </w:r>
    </w:p>
    <w:p>
      <w:pPr>
        <w:pStyle w:val="Heading2"/>
      </w:pPr>
      <w:r>
        <w:t>OEP-1.1 · Coverage agreement</w:t>
      </w:r>
    </w:p>
    <w:p>
      <w:r>
        <w:t>The program determines an eligible amount only for a protected residential tenancy and only after every source line has been classified, evidenced, valued, and reconciled under this form.</w:t>
      </w:r>
    </w:p>
    <w:p>
      <w:pPr>
        <w:pStyle w:val="Heading2"/>
      </w:pPr>
      <w:r>
        <w:t>OEP-1.2 · Covered tenancy</w:t>
      </w:r>
    </w:p>
    <w:p>
      <w:r>
        <w:t>A covered tenancy is the executed occupancy arrangement identified on the certificate when the possession-return event occurs during the stated certificate period.</w:t>
      </w:r>
    </w:p>
    <w:p>
      <w:pPr>
        <w:pStyle w:val="Heading2"/>
      </w:pPr>
      <w:r>
        <w:t>OEP-1.3 · Defined terms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88"/>
        <w:gridCol w:w="7272"/>
      </w:tblGrid>
      <w:tr>
        <w:trPr>
          <w:tblHeader w:val="true"/>
          <w:cantSplit/>
        </w:trPr>
        <w:tc>
          <w:tcPr>
            <w:tcW w:type="dxa" w:w="2088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Term</w:t>
            </w:r>
          </w:p>
        </w:tc>
        <w:tc>
          <w:tcPr>
            <w:tcW w:type="dxa" w:w="7272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Meaning in this form</w:t>
            </w:r>
          </w:p>
        </w:tc>
      </w:tr>
      <w:tr>
        <w:trPr>
          <w:cantSplit/>
        </w:trPr>
        <w:tc>
          <w:tcPr>
            <w:tcW w:type="dxa" w:w="2088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Eligible amount</w:t>
            </w:r>
          </w:p>
        </w:tc>
        <w:tc>
          <w:tcPr>
            <w:tcW w:type="dxa" w:w="7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The amount remaining after the ordered calculation in Section 4.</w:t>
            </w:r>
          </w:p>
        </w:tc>
      </w:tr>
      <w:tr>
        <w:trPr>
          <w:cantSplit/>
        </w:trPr>
        <w:tc>
          <w:tcPr>
            <w:tcW w:type="dxa" w:w="2088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Occupancy charge</w:t>
            </w:r>
          </w:p>
        </w:tc>
        <w:tc>
          <w:tcPr>
            <w:tcW w:type="dxa" w:w="7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The scheduled residential charge shown in the journal and certificate.</w:t>
            </w:r>
          </w:p>
        </w:tc>
      </w:tr>
      <w:tr>
        <w:trPr>
          <w:cantSplit/>
        </w:trPr>
        <w:tc>
          <w:tcPr>
            <w:tcW w:type="dxa" w:w="2088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Possession return</w:t>
            </w:r>
          </w:p>
        </w:tc>
        <w:tc>
          <w:tcPr>
            <w:tcW w:type="dxa" w:w="7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The recorded date the household returned control of the premises.</w:t>
            </w:r>
          </w:p>
        </w:tc>
      </w:tr>
      <w:tr>
        <w:trPr>
          <w:cantSplit/>
        </w:trPr>
        <w:tc>
          <w:tcPr>
            <w:tcW w:type="dxa" w:w="2088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Ready cutoff</w:t>
            </w:r>
          </w:p>
        </w:tc>
        <w:tc>
          <w:tcPr>
            <w:tcW w:type="dxa" w:w="7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The supported date the premises were ready for a replacement household, if earlier than the permitted maximum interval.</w:t>
            </w:r>
          </w:p>
        </w:tc>
      </w:tr>
      <w:tr>
        <w:trPr>
          <w:cantSplit/>
        </w:trPr>
        <w:tc>
          <w:tcPr>
            <w:tcW w:type="dxa" w:w="2088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Source line</w:t>
            </w:r>
          </w:p>
        </w:tc>
        <w:tc>
          <w:tcPr>
            <w:tcW w:type="dxa" w:w="7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One separately stated amount in a journal, register, log, invoice, or work order.</w:t>
            </w:r>
          </w:p>
        </w:tc>
      </w:tr>
      <w:tr>
        <w:trPr>
          <w:cantSplit/>
        </w:trPr>
        <w:tc>
          <w:tcPr>
            <w:tcW w:type="dxa" w:w="2088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Unresolved amount</w:t>
            </w:r>
          </w:p>
        </w:tc>
        <w:tc>
          <w:tcPr>
            <w:tcW w:type="dxa" w:w="7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A source line that cannot be deterministically valued because a required fact or record is absent or contradictory.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100"/>
        <w:jc w:val="center"/>
      </w:pPr>
      <w:r>
        <w:rPr>
          <w:rFonts w:ascii="Arial" w:hAnsi="Arial"/>
          <w:b/>
          <w:color w:val="C46A2D"/>
          <w:sz w:val="16"/>
        </w:rPr>
        <w:t>ARTIFICIAL TRAINING FIXTURE — NO PERSON OR TENANCY IS REAL · CONTINUED</w:t>
      </w:r>
    </w:p>
    <w:p>
      <w:pPr>
        <w:pStyle w:val="DocumentTitle"/>
      </w:pPr>
      <w:r>
        <w:t>Selected Protection Parts</w:t>
      </w:r>
    </w:p>
    <w:p>
      <w:pPr>
        <w:spacing w:after="120"/>
        <w:jc w:val="center"/>
      </w:pPr>
      <w:r>
        <w:rPr>
          <w:rFonts w:ascii="Arial" w:hAnsi="Arial"/>
          <w:i/>
          <w:color w:val="58616A"/>
          <w:sz w:val="19"/>
        </w:rPr>
        <w:t>Master Form OEP-2027-SYN</w:t>
      </w:r>
    </w:p>
    <w:p>
      <w:pPr>
        <w:pStyle w:val="Heading2"/>
      </w:pPr>
      <w:r>
        <w:t>OEP-2.1 · Part A — occupancy balance</w:t>
      </w:r>
    </w:p>
    <w:p>
      <w:r>
        <w:t>Part A includes a scheduled occupancy amount remaining at possession return after attributable payments, concessions, reversals, credits, and recoveries are applied once.</w:t>
      </w:r>
    </w:p>
    <w:p>
      <w:pPr>
        <w:pStyle w:val="Heading2"/>
      </w:pPr>
      <w:r>
        <w:t>OEP-2.2 · Part A — reletting gap</w:t>
      </w:r>
    </w:p>
    <w:p>
      <w:r>
        <w:t>Part A includes the rounded daily occupancy value for supported days beginning after possession return and ending at the earliest ready cutoff, replacement occupancy, or thirtieth calendar day after return.</w:t>
      </w:r>
    </w:p>
    <w:p>
      <w:pPr>
        <w:pStyle w:val="Heading2"/>
      </w:pPr>
      <w:r>
        <w:t>OEP-2.3 · Part B — premises restoration</w:t>
      </w:r>
    </w:p>
    <w:p>
      <w:r>
        <w:t>Part B includes reasonable restoration of direct physical change beyond normal aging or ordinary turnover when an acceptable completed-work record separately states the work and charge.</w:t>
      </w:r>
    </w:p>
    <w:p>
      <w:pPr>
        <w:pStyle w:val="Heading2"/>
      </w:pPr>
      <w:r>
        <w:t>OEP-2.4 · Combined limit</w:t>
      </w:r>
    </w:p>
    <w:p>
      <w:r>
        <w:t>Eligible Part A and Part B values share the single certificate limit, which is applied after line-level classification and valuation and never operates as evidence of loss.</w:t>
      </w:r>
    </w:p>
    <w:p>
      <w:pPr>
        <w:pStyle w:val="Heading2"/>
      </w:pPr>
      <w:r>
        <w:t>OEP-3.1 · Classification rule</w:t>
      </w:r>
    </w:p>
    <w:p>
      <w:r>
        <w:t>Classify every submitted source line exactly once as occupancy balance, reletting gap, premises restoration, specialized cleaning, ordinary upkeep, fee, occupant property, upgrade, duplicate, or unresolved. A line may contain both an eligible and an excluded portion when a valuation or time boundary applies.</w:t>
      </w:r>
    </w:p>
    <w:p>
      <w:pPr>
        <w:spacing w:before="60" w:after="60"/>
      </w:pPr>
      <w:r>
        <w:rPr>
          <w:rFonts w:ascii="Arial" w:hAnsi="Arial"/>
          <w:i/>
          <w:color w:val="58616A"/>
          <w:sz w:val="17"/>
        </w:rPr>
        <w:t>The selected limit is a ceiling applied after line-level eligibility and valuation; it is not evidence and is not an initial allowance.</w:t>
      </w:r>
    </w:p>
    <w:p>
      <w:r>
        <w:br w:type="page"/>
      </w:r>
    </w:p>
    <w:p>
      <w:pPr>
        <w:spacing w:after="100"/>
        <w:jc w:val="center"/>
      </w:pPr>
      <w:r>
        <w:rPr>
          <w:rFonts w:ascii="Arial" w:hAnsi="Arial"/>
          <w:b/>
          <w:color w:val="C46A2D"/>
          <w:sz w:val="16"/>
        </w:rPr>
        <w:t>ARTIFICIAL TRAINING FIXTURE — NO PERSON OR TENANCY IS REAL · CONTINUED</w:t>
      </w:r>
    </w:p>
    <w:p>
      <w:pPr>
        <w:pStyle w:val="DocumentTitle"/>
      </w:pPr>
      <w:r>
        <w:t>Exclusions and Source Evidence</w:t>
      </w:r>
    </w:p>
    <w:p>
      <w:pPr>
        <w:spacing w:after="120"/>
        <w:jc w:val="center"/>
      </w:pPr>
      <w:r>
        <w:rPr>
          <w:rFonts w:ascii="Arial" w:hAnsi="Arial"/>
          <w:i/>
          <w:color w:val="58616A"/>
          <w:sz w:val="19"/>
        </w:rPr>
        <w:t>Master Form OEP-2027-SYN</w:t>
      </w:r>
    </w:p>
    <w:p>
      <w:pPr>
        <w:pStyle w:val="Heading2"/>
      </w:pPr>
      <w:r>
        <w:t>OEP-3.2 · Excluded amounts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rPr>
          <w:tblHeader w:val="true"/>
          <w:cantSplit/>
        </w:trPr>
        <w:tc>
          <w:tcPr>
            <w:tcW w:type="dxa" w:w="3600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Exclusion</w:t>
            </w:r>
          </w:p>
        </w:tc>
        <w:tc>
          <w:tcPr>
            <w:tcW w:type="dxa" w:w="5760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Treatment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Administrative, processing, notice, late, legal, or collection fee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Exclude the full source line.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Utility or third-party service charge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Exclude unless another selected form expressly states otherwise.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Routine turnover, standard cleaning, normal aging, or deferred upkeep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Exclude the full source line.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Property owned by the household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Exclude the full source line.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Upgrade, betterment, or elective improvement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Exclude the increase over like kind and quality; exclude the full line if no separable base amount is shown.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Duplicate, reversal, payment, credit, concession, or recovery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Remove it once from the related amount; never count the same value twice.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Amount after a supported ready cutoff or the permitted gap boundary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Exclude the out-of-period portion.</w:t>
            </w:r>
          </w:p>
        </w:tc>
      </w:tr>
    </w:tbl>
    <w:p>
      <w:pPr>
        <w:spacing w:after="20"/>
      </w:pPr>
    </w:p>
    <w:p>
      <w:pPr>
        <w:pStyle w:val="Heading2"/>
      </w:pPr>
      <w:r>
        <w:t>OEP-3.3 · Journal evidence</w:t>
      </w:r>
    </w:p>
    <w:p>
      <w:r>
        <w:t>An occupancy balance or gap requires a tenancy journal identifying the tenancy, scheduled charge, debits, credits, reversals, and recoveries through closeout; an unexplained aggregate or code is unresolved.</w:t>
      </w:r>
    </w:p>
    <w:p>
      <w:pPr>
        <w:pStyle w:val="Heading2"/>
      </w:pPr>
      <w:r>
        <w:t>OEP-3.4 · Restoration evidence</w:t>
      </w:r>
    </w:p>
    <w:p>
      <w:r>
        <w:t>A restoration line requires a paid record or executed work order that itemizes completed work and cost. An estimate, missing record, unclear record, or unsupported specialized cleaning need is unresolved.</w:t>
      </w:r>
    </w:p>
    <w:p>
      <w:pPr>
        <w:pStyle w:val="Heading2"/>
      </w:pPr>
      <w:r>
        <w:t>OEP-3.5 · Conflict rule</w:t>
      </w:r>
    </w:p>
    <w:p>
      <w:r>
        <w:t>A material disagreement among identifiers, dates, amounts, evidence status, or source facts must be retained with provenance; a value-changing disagreement remains unresolved unless a governing source resolves it.</w:t>
      </w:r>
    </w:p>
    <w:p>
      <w:r>
        <w:br w:type="page"/>
      </w:r>
    </w:p>
    <w:p>
      <w:pPr>
        <w:spacing w:after="100"/>
        <w:jc w:val="center"/>
      </w:pPr>
      <w:r>
        <w:rPr>
          <w:rFonts w:ascii="Arial" w:hAnsi="Arial"/>
          <w:b/>
          <w:color w:val="C46A2D"/>
          <w:sz w:val="16"/>
        </w:rPr>
        <w:t>ARTIFICIAL TRAINING FIXTURE — NO PERSON OR TENANCY IS REAL · CONTINUED</w:t>
      </w:r>
    </w:p>
    <w:p>
      <w:pPr>
        <w:pStyle w:val="DocumentTitle"/>
      </w:pPr>
      <w:r>
        <w:t>Ordered Valuation and Determination</w:t>
      </w:r>
    </w:p>
    <w:p>
      <w:pPr>
        <w:spacing w:after="120"/>
        <w:jc w:val="center"/>
      </w:pPr>
      <w:r>
        <w:rPr>
          <w:rFonts w:ascii="Arial" w:hAnsi="Arial"/>
          <w:i/>
          <w:color w:val="58616A"/>
          <w:sz w:val="19"/>
        </w:rPr>
        <w:t>Master Form OEP-2027-SYN</w:t>
      </w:r>
    </w:p>
    <w:p>
      <w:pPr>
        <w:pStyle w:val="Heading2"/>
      </w:pPr>
      <w:r>
        <w:t>OEP-4.1 · Ordered calculation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792"/>
        <w:gridCol w:w="8568"/>
      </w:tblGrid>
      <w:tr>
        <w:trPr>
          <w:tblHeader w:val="true"/>
          <w:cantSplit/>
        </w:trPr>
        <w:tc>
          <w:tcPr>
            <w:tcW w:type="dxa" w:w="792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Order</w:t>
            </w:r>
          </w:p>
        </w:tc>
        <w:tc>
          <w:tcPr>
            <w:tcW w:type="dxa" w:w="8568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Required operation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1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Reconcile packet identities, totals, journal entries, reversals, conflicts, and record status.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2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Classify every source line and remove exclusions and duplicates.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3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Hold any line that lacks required evidence or a determinative fact.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4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Apply remaining-service and service-value rules to eligible restoration components.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5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Apply the reletting-gap boundary and remove out-of-period days.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6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Apply every payment, credit, concession, and recovery once.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7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Sum eligible line values and apply the combined certificate limit.</w:t>
            </w:r>
          </w:p>
        </w:tc>
      </w:tr>
    </w:tbl>
    <w:p>
      <w:pPr>
        <w:spacing w:after="20"/>
      </w:pPr>
    </w:p>
    <w:p>
      <w:pPr>
        <w:pStyle w:val="Heading2"/>
      </w:pPr>
      <w:r>
        <w:t>OEP-4.2 · Remaining service</w:t>
      </w:r>
    </w:p>
    <w:p>
      <w:r>
        <w:t>For a scheduled component, eligible service value equals gross cost multiplied by remaining whole months divided by scheduled months, rounded half up to cents; an expired component has no remaining service value.</w:t>
      </w:r>
    </w:p>
    <w:p>
      <w:pPr>
        <w:pStyle w:val="Heading2"/>
      </w:pPr>
      <w:r>
        <w:t>OEP-3.6 · Component service schedule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6984"/>
        <w:gridCol w:w="2376"/>
      </w:tblGrid>
      <w:tr>
        <w:trPr>
          <w:tblHeader w:val="true"/>
          <w:cantSplit/>
        </w:trPr>
        <w:tc>
          <w:tcPr>
            <w:tcW w:type="dxa" w:w="69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Component</w:t>
            </w:r>
          </w:p>
        </w:tc>
        <w:tc>
          <w:tcPr>
            <w:tcW w:type="dxa" w:w="2376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Scheduled months</w:t>
            </w:r>
          </w:p>
        </w:tc>
      </w:tr>
      <w:tr>
        <w:trPr>
          <w:cantSplit/>
        </w:trPr>
        <w:tc>
          <w:tcPr>
            <w:tcW w:type="dxa" w:w="69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Floor finish</w:t>
            </w:r>
          </w:p>
        </w:tc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120</w:t>
            </w:r>
          </w:p>
        </w:tc>
      </w:tr>
      <w:tr>
        <w:trPr>
          <w:cantSplit/>
        </w:trPr>
        <w:tc>
          <w:tcPr>
            <w:tcW w:type="dxa" w:w="69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Carpet</w:t>
            </w:r>
          </w:p>
        </w:tc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84</w:t>
            </w:r>
          </w:p>
        </w:tc>
      </w:tr>
      <w:tr>
        <w:trPr>
          <w:cantSplit/>
        </w:trPr>
        <w:tc>
          <w:tcPr>
            <w:tcW w:type="dxa" w:w="69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Window treatment</w:t>
            </w:r>
          </w:p>
        </w:tc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96</w:t>
            </w:r>
          </w:p>
        </w:tc>
      </w:tr>
      <w:tr>
        <w:trPr>
          <w:cantSplit/>
        </w:trPr>
        <w:tc>
          <w:tcPr>
            <w:tcW w:type="dxa" w:w="69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Countertop, vanity, or cabinet front</w:t>
            </w:r>
          </w:p>
        </w:tc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120</w:t>
            </w:r>
          </w:p>
        </w:tc>
      </w:tr>
      <w:tr>
        <w:trPr>
          <w:cantSplit/>
        </w:trPr>
        <w:tc>
          <w:tcPr>
            <w:tcW w:type="dxa" w:w="69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Appliance panel</w:t>
            </w:r>
          </w:p>
        </w:tc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96</w:t>
            </w:r>
          </w:p>
        </w:tc>
      </w:tr>
      <w:tr>
        <w:trPr>
          <w:cantSplit/>
        </w:trPr>
        <w:tc>
          <w:tcPr>
            <w:tcW w:type="dxa" w:w="69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Door closer</w:t>
            </w:r>
          </w:p>
        </w:tc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72</w:t>
            </w:r>
          </w:p>
        </w:tc>
      </w:tr>
      <w:tr>
        <w:trPr>
          <w:cantSplit/>
        </w:trPr>
        <w:tc>
          <w:tcPr>
            <w:tcW w:type="dxa" w:w="69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Labor, glazing, locks, life-safety work, or specialized cleaning</w:t>
            </w:r>
          </w:p>
        </w:tc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No service-life reduction</w:t>
            </w:r>
          </w:p>
        </w:tc>
      </w:tr>
    </w:tbl>
    <w:p>
      <w:pPr>
        <w:spacing w:after="20"/>
      </w:pPr>
    </w:p>
    <w:p>
      <w:pPr>
        <w:pStyle w:val="Heading2"/>
      </w:pPr>
      <w:r>
        <w:t>OEP-5.1 · Notice and determination record</w:t>
      </w:r>
    </w:p>
    <w:p>
      <w:r>
        <w:t>Notice is due within 105 days after possession return. The determination must retain source-page provenance, citations, line mathematics, unresolved values, verification and routing rationale, and a preview that performs no external write.</w:t>
      </w:r>
    </w:p>
    <w:p>
      <w:pPr>
        <w:spacing w:before="60" w:after="60"/>
      </w:pPr>
      <w:r>
        <w:rPr>
          <w:rFonts w:ascii="Arial" w:hAnsi="Arial"/>
          <w:i/>
          <w:color w:val="58616A"/>
          <w:sz w:val="17"/>
        </w:rPr>
        <w:t>End of master form. No payment, outcome, or claim-specific determination appears in this specimen.</w:t>
      </w:r>
    </w:p>
    <w:sectPr>
      <w:footerReference w:type="default" r:id="rId9"/>
      <w:pgSz w:w="12240" w:h="15840"/>
      <w:pgMar w:top="1080" w:right="1080" w:bottom="1080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rial" w:hAnsi="Arial"/>
        <w:color w:val="737A82"/>
        <w:sz w:val="16"/>
      </w:rPr>
      <w:t xml:space="preserve">Master Form OEP-2027-SYN · artificial fixture · Page </w:t>
    </w:r>
    <w:r>
      <w:rPr>
        <w:rFonts w:ascii="Arial" w:hAnsi="Arial"/>
        <w:color w:val="737A82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Arial" w:hAnsi="Arial"/>
        <w:color w:val="737A82"/>
        <w:sz w:val="16"/>
      </w:rPr>
      <w:t xml:space="preserve"> of </w:t>
    </w:r>
    <w:r>
      <w:rPr>
        <w:rFonts w:ascii="Arial" w:hAnsi="Arial"/>
        <w:color w:val="737A82"/>
        <w:sz w:val="16"/>
      </w:rPr>
      <w:fldChar w:fldCharType="begin"/>
      <w:instrText xml:space="preserve">NUMPAGES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59" w:lineRule="auto"/>
    </w:pPr>
    <w:rPr>
      <w:rFonts w:ascii="Arial" w:hAnsi="Arial"/>
      <w:color w:val="27313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4A274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27313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27313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umentTitle">
    <w:name w:val="Document Title"/>
    <w:pPr>
      <w:spacing w:before="0" w:after="40"/>
      <w:jc w:val="center"/>
    </w:pPr>
    <w:rPr>
      <w:rFonts w:ascii="Arial" w:hAnsi="Arial"/>
      <w:b/>
      <w:color w:val="4A274F"/>
      <w:sz w:val="4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