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rFonts w:ascii="Calibri" w:hAnsi="Calibri"/>
          <w:b/>
          <w:color w:val="1F4D78"/>
          <w:sz w:val="18"/>
        </w:rPr>
        <w:t>PROJECT DOCUMENTATION</w:t>
      </w:r>
    </w:p>
    <w:p>
      <w:pPr>
        <w:spacing w:before="0" w:after="100"/>
      </w:pPr>
      <w:r>
        <w:rPr>
          <w:rFonts w:ascii="Calibri" w:hAnsi="Calibri"/>
          <w:b/>
          <w:color w:val="0B2545"/>
          <w:sz w:val="50"/>
        </w:rPr>
        <w:t>Step-by-Step Implementation &amp; Verification Guide</w:t>
      </w:r>
    </w:p>
    <w:p>
      <w:pPr>
        <w:spacing w:before="0" w:after="320"/>
        <w:pBdr>
          <w:bottom w:val="single" w:sz="8" w:space="6" w:color="2E74B5"/>
        </w:pBdr>
      </w:pPr>
      <w:r>
        <w:rPr>
          <w:rFonts w:ascii="Calibri" w:hAnsi="Calibri"/>
          <w:i/>
          <w:color w:val="5F6B7A"/>
          <w:sz w:val="25"/>
        </w:rPr>
        <w:t>How the assignment-compliance repair was planned, built, tested, and published.</w:t>
      </w:r>
    </w:p>
    <w:tbl>
      <w:tblPr>
        <w:tblStyle w:val="TableGrid"/>
        <w:tblW w:type="dxa" w:w="9360"/>
        <w:jc w:val="left"/>
        <w:tblLayout w:type="fixed"/>
        <w:tblLook w:firstColumn="1" w:firstRow="1" w:lastColumn="0" w:lastRow="0" w:noHBand="0" w:noVBand="1" w:val="04A0"/>
        <w:tblInd w:w="120" w:type="dxa"/>
      </w:tblPr>
      <w:tblGrid>
        <w:gridCol w:w="3888"/>
        <w:gridCol w:w="3168"/>
        <w:gridCol w:w="2304"/>
      </w:tblGrid>
      <w:tr>
        <w:trPr>
          <w:tblHeader w:val="true"/>
          <w:cantSplit/>
        </w:trPr>
        <w:tc>
          <w:tcPr>
            <w:tcW w:type="dxa" w:w="3888"/>
            <w:vAlign w:val="center"/>
            <w:tcMar>
              <w:top w:w="80" w:type="dxa"/>
              <w:start w:w="120" w:type="dxa"/>
              <w:bottom w:w="80" w:type="dxa"/>
              <w:end w:w="120" w:type="dxa"/>
            </w:tcMar>
            <w:shd w:fill="E8EEF5"/>
          </w:tcPr>
          <w:p>
            <w:pPr>
              <w:spacing w:after="0"/>
            </w:pPr>
            <w:r>
              <w:rPr>
                <w:rFonts w:ascii="Calibri" w:hAnsi="Calibri"/>
                <w:b/>
                <w:color w:val="0B2545"/>
                <w:sz w:val="19"/>
              </w:rPr>
              <w:t>Document purpose</w:t>
            </w:r>
          </w:p>
        </w:tc>
        <w:tc>
          <w:tcPr>
            <w:tcW w:type="dxa" w:w="3168"/>
            <w:vAlign w:val="center"/>
            <w:tcMar>
              <w:top w:w="80" w:type="dxa"/>
              <w:start w:w="120" w:type="dxa"/>
              <w:bottom w:w="80" w:type="dxa"/>
              <w:end w:w="120" w:type="dxa"/>
            </w:tcMar>
            <w:shd w:fill="E8EEF5"/>
          </w:tcPr>
          <w:p>
            <w:pPr>
              <w:spacing w:after="0"/>
            </w:pPr>
            <w:r>
              <w:rPr>
                <w:rFonts w:ascii="Calibri" w:hAnsi="Calibri"/>
                <w:b/>
                <w:color w:val="0B2545"/>
                <w:sz w:val="19"/>
              </w:rPr>
              <w:t>Prepared for</w:t>
            </w:r>
          </w:p>
        </w:tc>
        <w:tc>
          <w:tcPr>
            <w:tcW w:type="dxa" w:w="2304"/>
            <w:vAlign w:val="center"/>
            <w:tcMar>
              <w:top w:w="80" w:type="dxa"/>
              <w:start w:w="120" w:type="dxa"/>
              <w:bottom w:w="80" w:type="dxa"/>
              <w:end w:w="120" w:type="dxa"/>
            </w:tcMar>
            <w:shd w:fill="E8EEF5"/>
          </w:tcPr>
          <w:p>
            <w:pPr>
              <w:spacing w:after="0"/>
            </w:pPr>
            <w:r>
              <w:rPr>
                <w:rFonts w:ascii="Calibri" w:hAnsi="Calibri"/>
                <w:b/>
                <w:color w:val="0B2545"/>
                <w:sz w:val="19"/>
              </w:rPr>
              <w:t>Version</w:t>
            </w:r>
          </w:p>
        </w:tc>
      </w:tr>
      <w:tr>
        <w:trPr>
          <w:cantSplit/>
        </w:trPr>
        <w:tc>
          <w:tcPr>
            <w:tcW w:type="dxa" w:w="3888"/>
          </w:tcPr>
          <w:p>
            <w:pPr>
              <w:spacing w:after="0" w:line="264" w:lineRule="auto"/>
            </w:pPr>
            <w:r>
              <w:rPr>
                <w:rFonts w:ascii="Calibri" w:hAnsi="Calibri"/>
                <w:color w:val="1C1C1C"/>
                <w:sz w:val="20"/>
              </w:rPr>
              <w:t>Project explanation and handover reference</w:t>
            </w:r>
          </w:p>
        </w:tc>
        <w:tc>
          <w:tcPr>
            <w:tcW w:type="dxa" w:w="3168"/>
          </w:tcPr>
          <w:p>
            <w:pPr>
              <w:spacing w:after="0" w:line="264" w:lineRule="auto"/>
            </w:pPr>
            <w:r>
              <w:rPr>
                <w:rFonts w:ascii="Calibri" w:hAnsi="Calibri"/>
                <w:color w:val="1C1C1C"/>
                <w:sz w:val="20"/>
              </w:rPr>
              <w:t>Project team</w:t>
            </w:r>
          </w:p>
        </w:tc>
        <w:tc>
          <w:tcPr>
            <w:tcW w:type="dxa" w:w="2304"/>
          </w:tcPr>
          <w:p>
            <w:pPr>
              <w:spacing w:after="0" w:line="264" w:lineRule="auto"/>
            </w:pPr>
            <w:r>
              <w:rPr>
                <w:rFonts w:ascii="Calibri" w:hAnsi="Calibri"/>
                <w:color w:val="1C1C1C"/>
                <w:sz w:val="20"/>
              </w:rPr>
              <w:t>20 Aug 2026 • verified implementation</w:t>
            </w:r>
          </w:p>
        </w:tc>
      </w:tr>
    </w:tbl>
    <w:p>
      <w:pPr>
        <w:spacing w:after="40"/>
      </w:pPr>
    </w:p>
    <w:p>
      <w:pPr>
        <w:spacing w:before="80" w:after="200" w:line="276" w:lineRule="auto"/>
        <w:ind w:left="173" w:right="173"/>
        <w:shd w:fill="E8EEF5"/>
      </w:pPr>
      <w:r>
        <w:rPr>
          <w:rFonts w:ascii="Calibri" w:hAnsi="Calibri"/>
          <w:b/>
          <w:color w:val="1F4D78"/>
          <w:sz w:val="21"/>
        </w:rPr>
        <w:t xml:space="preserve">Outcome  </w:t>
      </w:r>
      <w:r>
        <w:rPr>
          <w:rFonts w:ascii="Calibri" w:hAnsi="Calibri"/>
          <w:color w:val="0B2545"/>
          <w:sz w:val="21"/>
        </w:rPr>
        <w:t>The repaired POC is published at github.com/mayur200904/multi-agent-document-ppt-poc. It now meets the agreed credential-optional assignment scope with explicit provider fallbacks, native editable DOCX/PPTX outputs, traceability, and repeatable verification.</w:t>
      </w:r>
    </w:p>
    <w:p>
      <w:pPr>
        <w:pStyle w:val="Heading1"/>
      </w:pPr>
      <w:r>
        <w:t>1. Start with the assignment as a testable contract</w:t>
      </w:r>
    </w:p>
    <w:p>
      <w:pPr>
        <w:spacing w:after="120" w:line="300" w:lineRule="auto"/>
      </w:pPr>
      <w:r>
        <w:rPr>
          <w:rFonts w:ascii="Calibri" w:hAnsi="Calibri"/>
          <w:color w:val="1C1C1C"/>
          <w:sz w:val="22"/>
        </w:rPr>
        <w:t>The PDF was converted into an acceptance checklist rather than treated as a loose description. Each requirement was mapped to one of four evidence types: source code, automated test, runtime/API behavior, or visual artifact inspection.</w:t>
      </w:r>
    </w:p>
    <w:tbl>
      <w:tblPr>
        <w:tblStyle w:val="TableGrid"/>
        <w:tblW w:type="dxa" w:w="9360"/>
        <w:jc w:val="left"/>
        <w:tblLayout w:type="fixed"/>
        <w:tblLook w:firstColumn="1" w:firstRow="1" w:lastColumn="0" w:lastRow="0" w:noHBand="0" w:noVBand="1" w:val="04A0"/>
        <w:tblInd w:w="120" w:type="dxa"/>
      </w:tblPr>
      <w:tblGrid>
        <w:gridCol w:w="1944"/>
        <w:gridCol w:w="3528"/>
        <w:gridCol w:w="3888"/>
      </w:tblGrid>
      <w:tr>
        <w:trPr>
          <w:tblHeader w:val="true"/>
          <w:cantSplit/>
        </w:trPr>
        <w:tc>
          <w:tcPr>
            <w:tcW w:type="dxa" w:w="1944"/>
            <w:vAlign w:val="center"/>
            <w:tcMar>
              <w:top w:w="80" w:type="dxa"/>
              <w:start w:w="120" w:type="dxa"/>
              <w:bottom w:w="80" w:type="dxa"/>
              <w:end w:w="120" w:type="dxa"/>
            </w:tcMar>
            <w:shd w:fill="E8EEF5"/>
          </w:tcPr>
          <w:p>
            <w:pPr>
              <w:spacing w:after="0"/>
            </w:pPr>
            <w:r>
              <w:rPr>
                <w:rFonts w:ascii="Calibri" w:hAnsi="Calibri"/>
                <w:b/>
                <w:color w:val="0B2545"/>
                <w:sz w:val="19"/>
              </w:rPr>
              <w:t>Requirement area</w:t>
            </w:r>
          </w:p>
        </w:tc>
        <w:tc>
          <w:tcPr>
            <w:tcW w:type="dxa" w:w="3528"/>
            <w:vAlign w:val="center"/>
            <w:tcMar>
              <w:top w:w="80" w:type="dxa"/>
              <w:start w:w="120" w:type="dxa"/>
              <w:bottom w:w="80" w:type="dxa"/>
              <w:end w:w="120" w:type="dxa"/>
            </w:tcMar>
            <w:shd w:fill="E8EEF5"/>
          </w:tcPr>
          <w:p>
            <w:pPr>
              <w:spacing w:after="0"/>
            </w:pPr>
            <w:r>
              <w:rPr>
                <w:rFonts w:ascii="Calibri" w:hAnsi="Calibri"/>
                <w:b/>
                <w:color w:val="0B2545"/>
                <w:sz w:val="19"/>
              </w:rPr>
              <w:t>Initial finding</w:t>
            </w:r>
          </w:p>
        </w:tc>
        <w:tc>
          <w:tcPr>
            <w:tcW w:type="dxa" w:w="3888"/>
            <w:vAlign w:val="center"/>
            <w:tcMar>
              <w:top w:w="80" w:type="dxa"/>
              <w:start w:w="120" w:type="dxa"/>
              <w:bottom w:w="80" w:type="dxa"/>
              <w:end w:w="120" w:type="dxa"/>
            </w:tcMar>
            <w:shd w:fill="E8EEF5"/>
          </w:tcPr>
          <w:p>
            <w:pPr>
              <w:spacing w:after="0"/>
            </w:pPr>
            <w:r>
              <w:rPr>
                <w:rFonts w:ascii="Calibri" w:hAnsi="Calibri"/>
                <w:b/>
                <w:color w:val="0B2545"/>
                <w:sz w:val="19"/>
              </w:rPr>
              <w:t>Repair target</w:t>
            </w:r>
          </w:p>
        </w:tc>
      </w:tr>
      <w:tr>
        <w:trPr>
          <w:cantSplit/>
        </w:trPr>
        <w:tc>
          <w:tcPr>
            <w:tcW w:type="dxa" w:w="1944"/>
          </w:tcPr>
          <w:p>
            <w:pPr>
              <w:spacing w:after="0" w:line="264" w:lineRule="auto"/>
            </w:pPr>
            <w:r>
              <w:rPr>
                <w:rFonts w:ascii="Calibri" w:hAnsi="Calibri"/>
                <w:color w:val="1C1C1C"/>
                <w:sz w:val="20"/>
              </w:rPr>
              <w:t>Research and AI</w:t>
            </w:r>
          </w:p>
        </w:tc>
        <w:tc>
          <w:tcPr>
            <w:tcW w:type="dxa" w:w="3528"/>
          </w:tcPr>
          <w:p>
            <w:pPr>
              <w:spacing w:after="0" w:line="264" w:lineRule="auto"/>
            </w:pPr>
            <w:r>
              <w:rPr>
                <w:rFonts w:ascii="Calibri" w:hAnsi="Calibri"/>
                <w:color w:val="1C1C1C"/>
                <w:sz w:val="20"/>
              </w:rPr>
              <w:t>Search silently used fixed sources when live search was blocked.</w:t>
            </w:r>
          </w:p>
        </w:tc>
        <w:tc>
          <w:tcPr>
            <w:tcW w:type="dxa" w:w="3888"/>
          </w:tcPr>
          <w:p>
            <w:pPr>
              <w:spacing w:after="0" w:line="264" w:lineRule="auto"/>
            </w:pPr>
            <w:r>
              <w:rPr>
                <w:rFonts w:ascii="Calibri" w:hAnsi="Calibri"/>
                <w:color w:val="1C1C1C"/>
                <w:sz w:val="20"/>
              </w:rPr>
              <w:t>Attempt live research by default; record the provider and fallback reason.</w:t>
            </w:r>
          </w:p>
        </w:tc>
      </w:tr>
      <w:tr>
        <w:trPr>
          <w:cantSplit/>
        </w:trPr>
        <w:tc>
          <w:tcPr>
            <w:tcW w:type="dxa" w:w="1944"/>
            <w:shd w:fill="FAFBFC"/>
          </w:tcPr>
          <w:p>
            <w:pPr>
              <w:spacing w:after="0" w:line="264" w:lineRule="auto"/>
            </w:pPr>
            <w:r>
              <w:rPr>
                <w:rFonts w:ascii="Calibri" w:hAnsi="Calibri"/>
                <w:color w:val="1C1C1C"/>
                <w:sz w:val="20"/>
              </w:rPr>
              <w:t>RAG and enterprise context</w:t>
            </w:r>
          </w:p>
        </w:tc>
        <w:tc>
          <w:tcPr>
            <w:tcW w:type="dxa" w:w="3528"/>
            <w:shd w:fill="FAFBFC"/>
          </w:tcPr>
          <w:p>
            <w:pPr>
              <w:spacing w:after="0" w:line="264" w:lineRule="auto"/>
            </w:pPr>
            <w:r>
              <w:rPr>
                <w:rFonts w:ascii="Calibri" w:hAnsi="Calibri"/>
                <w:color w:val="1C1C1C"/>
                <w:sz w:val="20"/>
              </w:rPr>
              <w:t>Only local TF-IDF was active; the remote adapter was a stub.</w:t>
            </w:r>
          </w:p>
        </w:tc>
        <w:tc>
          <w:tcPr>
            <w:tcW w:type="dxa" w:w="3888"/>
            <w:shd w:fill="FAFBFC"/>
          </w:tcPr>
          <w:p>
            <w:pPr>
              <w:spacing w:after="0" w:line="264" w:lineRule="auto"/>
            </w:pPr>
            <w:r>
              <w:rPr>
                <w:rFonts w:ascii="Calibri" w:hAnsi="Calibri"/>
                <w:color w:val="1C1C1C"/>
                <w:sz w:val="20"/>
              </w:rPr>
              <w:t>Ingest enterprise files and implement an optional Pinecone-compatible path.</w:t>
            </w:r>
          </w:p>
        </w:tc>
      </w:tr>
      <w:tr>
        <w:trPr>
          <w:cantSplit/>
        </w:trPr>
        <w:tc>
          <w:tcPr>
            <w:tcW w:type="dxa" w:w="1944"/>
          </w:tcPr>
          <w:p>
            <w:pPr>
              <w:spacing w:after="0" w:line="264" w:lineRule="auto"/>
            </w:pPr>
            <w:r>
              <w:rPr>
                <w:rFonts w:ascii="Calibri" w:hAnsi="Calibri"/>
                <w:color w:val="1C1C1C"/>
                <w:sz w:val="20"/>
              </w:rPr>
              <w:t>Template fidelity</w:t>
            </w:r>
          </w:p>
        </w:tc>
        <w:tc>
          <w:tcPr>
            <w:tcW w:type="dxa" w:w="3528"/>
          </w:tcPr>
          <w:p>
            <w:pPr>
              <w:spacing w:after="0" w:line="264" w:lineRule="auto"/>
            </w:pPr>
            <w:r>
              <w:rPr>
                <w:rFonts w:ascii="Calibri" w:hAnsi="Calibri"/>
                <w:color w:val="1C1C1C"/>
                <w:sz w:val="20"/>
              </w:rPr>
              <w:t>DOCX started blank; PPTX erased template slides.</w:t>
            </w:r>
          </w:p>
        </w:tc>
        <w:tc>
          <w:tcPr>
            <w:tcW w:type="dxa" w:w="3888"/>
          </w:tcPr>
          <w:p>
            <w:pPr>
              <w:spacing w:after="0" w:line="264" w:lineRule="auto"/>
            </w:pPr>
            <w:r>
              <w:rPr>
                <w:rFonts w:ascii="Calibri" w:hAnsi="Calibri"/>
                <w:color w:val="1C1C1C"/>
                <w:sz w:val="20"/>
              </w:rPr>
              <w:t>Reuse supplied document/deck structures and assert preserved properties.</w:t>
            </w:r>
          </w:p>
        </w:tc>
      </w:tr>
      <w:tr>
        <w:trPr>
          <w:cantSplit/>
        </w:trPr>
        <w:tc>
          <w:tcPr>
            <w:tcW w:type="dxa" w:w="1944"/>
            <w:shd w:fill="FAFBFC"/>
          </w:tcPr>
          <w:p>
            <w:pPr>
              <w:spacing w:after="0" w:line="264" w:lineRule="auto"/>
            </w:pPr>
            <w:r>
              <w:rPr>
                <w:rFonts w:ascii="Calibri" w:hAnsi="Calibri"/>
                <w:color w:val="1C1C1C"/>
                <w:sz w:val="20"/>
              </w:rPr>
              <w:t>Security and API behavior</w:t>
            </w:r>
          </w:p>
        </w:tc>
        <w:tc>
          <w:tcPr>
            <w:tcW w:type="dxa" w:w="3528"/>
            <w:shd w:fill="FAFBFC"/>
          </w:tcPr>
          <w:p>
            <w:pPr>
              <w:spacing w:after="0" w:line="264" w:lineRule="auto"/>
            </w:pPr>
            <w:r>
              <w:rPr>
                <w:rFonts w:ascii="Calibri" w:hAnsi="Calibri"/>
                <w:color w:val="1C1C1C"/>
                <w:sz w:val="20"/>
              </w:rPr>
              <w:t>Invalid uploads persisted; API-key browser UI failed.</w:t>
            </w:r>
          </w:p>
        </w:tc>
        <w:tc>
          <w:tcPr>
            <w:tcW w:type="dxa" w:w="3888"/>
            <w:shd w:fill="FAFBFC"/>
          </w:tcPr>
          <w:p>
            <w:pPr>
              <w:spacing w:after="0" w:line="264" w:lineRule="auto"/>
            </w:pPr>
            <w:r>
              <w:rPr>
                <w:rFonts w:ascii="Calibri" w:hAnsi="Calibri"/>
                <w:color w:val="1C1C1C"/>
                <w:sz w:val="20"/>
              </w:rPr>
              <w:t>Stage validation, add session authentication, restrict CORS, and test error codes.</w:t>
            </w:r>
          </w:p>
        </w:tc>
      </w:tr>
      <w:tr>
        <w:trPr>
          <w:cantSplit/>
        </w:trPr>
        <w:tc>
          <w:tcPr>
            <w:tcW w:type="dxa" w:w="1944"/>
          </w:tcPr>
          <w:p>
            <w:pPr>
              <w:spacing w:after="0" w:line="264" w:lineRule="auto"/>
            </w:pPr>
            <w:r>
              <w:rPr>
                <w:rFonts w:ascii="Calibri" w:hAnsi="Calibri"/>
                <w:color w:val="1C1C1C"/>
                <w:sz w:val="20"/>
              </w:rPr>
              <w:t>Traceability and tests</w:t>
            </w:r>
          </w:p>
        </w:tc>
        <w:tc>
          <w:tcPr>
            <w:tcW w:type="dxa" w:w="3528"/>
          </w:tcPr>
          <w:p>
            <w:pPr>
              <w:spacing w:after="0" w:line="264" w:lineRule="auto"/>
            </w:pPr>
            <w:r>
              <w:rPr>
                <w:rFonts w:ascii="Calibri" w:hAnsi="Calibri"/>
                <w:color w:val="1C1C1C"/>
                <w:sz w:val="20"/>
              </w:rPr>
              <w:t>Conversions had no saved run record; coverage was limited.</w:t>
            </w:r>
          </w:p>
        </w:tc>
        <w:tc>
          <w:tcPr>
            <w:tcW w:type="dxa" w:w="3888"/>
          </w:tcPr>
          <w:p>
            <w:pPr>
              <w:spacing w:after="0" w:line="264" w:lineRule="auto"/>
            </w:pPr>
            <w:r>
              <w:rPr>
                <w:rFonts w:ascii="Calibri" w:hAnsi="Calibri"/>
                <w:color w:val="1C1C1C"/>
                <w:sz w:val="20"/>
              </w:rPr>
              <w:t>Persist lineage, claim citations, E2E tests, visual checks, and CI.</w:t>
            </w:r>
          </w:p>
        </w:tc>
      </w:tr>
    </w:tbl>
    <w:p>
      <w:pPr>
        <w:spacing w:after="40"/>
      </w:pPr>
    </w:p>
    <w:p>
      <w:pPr>
        <w:pStyle w:val="Heading1"/>
      </w:pPr>
      <w:r>
        <w:t>2. Reproduce the gaps before changing code</w:t>
      </w:r>
    </w:p>
    <w:p>
      <w:pPr>
        <w:spacing w:after="120" w:line="300" w:lineRule="auto"/>
      </w:pPr>
      <w:r>
        <w:rPr>
          <w:rFonts w:ascii="Calibri" w:hAnsi="Calibri"/>
          <w:color w:val="1C1C1C"/>
          <w:sz w:val="22"/>
        </w:rPr>
        <w:t>The application was exercised through the API, browser UI, parsers, and generated artifacts. This established the starting point and avoided fixing assumed problems.</w:t>
      </w:r>
    </w:p>
    <w:p>
      <w:pPr>
        <w:pStyle w:val="ListBullet"/>
        <w:spacing w:after="80" w:line="300" w:lineRule="auto"/>
        <w:ind w:left="540" w:hanging="270"/>
      </w:pPr>
      <w:r>
        <w:rPr>
          <w:rFonts w:ascii="Calibri" w:hAnsi="Calibri"/>
          <w:color w:val="1C1C1C"/>
          <w:sz w:val="22"/>
        </w:rPr>
        <w:t>Ran the original deterministic demo and inspected its agent trace, artifacts, version history, and conversions.</w:t>
      </w:r>
    </w:p>
    <w:p>
      <w:pPr>
        <w:pStyle w:val="ListBullet"/>
        <w:spacing w:after="80" w:line="300" w:lineRule="auto"/>
        <w:ind w:left="540" w:hanging="270"/>
      </w:pPr>
      <w:r>
        <w:rPr>
          <w:rFonts w:ascii="Calibri" w:hAnsi="Calibri"/>
          <w:color w:val="1C1C1C"/>
          <w:sz w:val="22"/>
        </w:rPr>
        <w:t>Uploaded documents, images, and scanned PDFs to confirm parser and OCR behavior.</w:t>
      </w:r>
    </w:p>
    <w:p>
      <w:pPr>
        <w:pStyle w:val="ListBullet"/>
        <w:spacing w:after="80" w:line="300" w:lineRule="auto"/>
        <w:ind w:left="540" w:hanging="270"/>
      </w:pPr>
      <w:r>
        <w:rPr>
          <w:rFonts w:ascii="Calibri" w:hAnsi="Calibri"/>
          <w:color w:val="1C1C1C"/>
          <w:sz w:val="22"/>
        </w:rPr>
        <w:t>Tested API-key mode in the browser, invalid uploads, artifact error responses, and CORS behavior.</w:t>
      </w:r>
    </w:p>
    <w:p>
      <w:pPr>
        <w:pStyle w:val="ListBullet"/>
        <w:spacing w:after="80" w:line="300" w:lineRule="auto"/>
        <w:ind w:left="540" w:hanging="270"/>
      </w:pPr>
      <w:r>
        <w:rPr>
          <w:rFonts w:ascii="Calibri" w:hAnsi="Calibri"/>
          <w:color w:val="1C1C1C"/>
          <w:sz w:val="22"/>
        </w:rPr>
        <w:t>Rendered DOCX/PPTX outputs to inspect pages and slide overflow rather than relying only on file-open checks.</w:t>
      </w:r>
    </w:p>
    <w:p>
      <w:pPr>
        <w:pStyle w:val="Heading1"/>
      </w:pPr>
      <w:r>
        <w:t>3. Harden uploads and the API boundary</w:t>
      </w:r>
    </w:p>
    <w:p>
      <w:pPr>
        <w:spacing w:after="100" w:line="300" w:lineRule="auto"/>
        <w:ind w:left="547" w:hanging="547"/>
      </w:pPr>
      <w:r>
        <w:rPr>
          <w:rFonts w:ascii="Calibri" w:hAnsi="Calibri"/>
          <w:b/>
          <w:color w:val="0B2545"/>
          <w:sz w:val="22"/>
        </w:rPr>
        <w:t xml:space="preserve">1. </w:t>
      </w:r>
      <w:r>
        <w:rPr>
          <w:rFonts w:ascii="Calibri" w:hAnsi="Calibri"/>
          <w:b/>
          <w:color w:val="0B2545"/>
          <w:sz w:val="22"/>
        </w:rPr>
        <w:t xml:space="preserve">Stage every upload. </w:t>
      </w:r>
      <w:r>
        <w:rPr>
          <w:rFonts w:ascii="Calibri" w:hAnsi="Calibri"/>
          <w:color w:val="1C1C1C"/>
          <w:sz w:val="22"/>
        </w:rPr>
        <w:t>Read the multipart file into temporary storage first, so invalid content never becomes a repository record.</w:t>
      </w:r>
    </w:p>
    <w:p>
      <w:pPr>
        <w:spacing w:after="100" w:line="300" w:lineRule="auto"/>
        <w:ind w:left="547" w:hanging="547"/>
      </w:pPr>
      <w:r>
        <w:rPr>
          <w:rFonts w:ascii="Calibri" w:hAnsi="Calibri"/>
          <w:b/>
          <w:color w:val="0B2545"/>
          <w:sz w:val="22"/>
        </w:rPr>
        <w:t xml:space="preserve">2. </w:t>
      </w:r>
      <w:r>
        <w:rPr>
          <w:rFonts w:ascii="Calibri" w:hAnsi="Calibri"/>
          <w:b/>
          <w:color w:val="0B2545"/>
          <w:sz w:val="22"/>
        </w:rPr>
        <w:t xml:space="preserve">Validate before persistence. </w:t>
      </w:r>
      <w:r>
        <w:rPr>
          <w:rFonts w:ascii="Calibri" w:hAnsi="Calibri"/>
          <w:color w:val="1C1C1C"/>
          <w:sz w:val="22"/>
        </w:rPr>
        <w:t>Check extension, file signature, file size, and parser support before calling the repository save operation.</w:t>
      </w:r>
    </w:p>
    <w:p>
      <w:pPr>
        <w:spacing w:after="100" w:line="300" w:lineRule="auto"/>
        <w:ind w:left="547" w:hanging="547"/>
      </w:pPr>
      <w:r>
        <w:rPr>
          <w:rFonts w:ascii="Calibri" w:hAnsi="Calibri"/>
          <w:b/>
          <w:color w:val="0B2545"/>
          <w:sz w:val="22"/>
        </w:rPr>
        <w:t xml:space="preserve">3. </w:t>
      </w:r>
      <w:r>
        <w:rPr>
          <w:rFonts w:ascii="Calibri" w:hAnsi="Calibri"/>
          <w:b/>
          <w:color w:val="0B2545"/>
          <w:sz w:val="22"/>
        </w:rPr>
        <w:t xml:space="preserve">Return meaningful errors. </w:t>
      </w:r>
      <w:r>
        <w:rPr>
          <w:rFonts w:ascii="Calibri" w:hAnsi="Calibri"/>
          <w:color w:val="1C1C1C"/>
          <w:sz w:val="22"/>
        </w:rPr>
        <w:t>Use 400 for malformed requests and 404 for missing runs, artifacts, and versions.</w:t>
      </w:r>
    </w:p>
    <w:p>
      <w:pPr>
        <w:spacing w:after="100" w:line="300" w:lineRule="auto"/>
        <w:ind w:left="547" w:hanging="547"/>
      </w:pPr>
      <w:r>
        <w:rPr>
          <w:rFonts w:ascii="Calibri" w:hAnsi="Calibri"/>
          <w:b/>
          <w:color w:val="0B2545"/>
          <w:sz w:val="22"/>
        </w:rPr>
        <w:t xml:space="preserve">4. </w:t>
      </w:r>
      <w:r>
        <w:rPr>
          <w:rFonts w:ascii="Calibri" w:hAnsi="Calibri"/>
          <w:b/>
          <w:color w:val="0B2545"/>
          <w:sz w:val="22"/>
        </w:rPr>
        <w:t xml:space="preserve">Secure browser access. </w:t>
      </w:r>
      <w:r>
        <w:rPr>
          <w:rFonts w:ascii="Calibri" w:hAnsi="Calibri"/>
          <w:color w:val="1C1C1C"/>
          <w:sz w:val="22"/>
        </w:rPr>
        <w:t>When API_KEY is configured, issue a same-origin HttpOnly poc_session cookie so the UI works without placing the key in JavaScript.</w:t>
      </w:r>
    </w:p>
    <w:p>
      <w:pPr>
        <w:spacing w:after="100" w:line="300" w:lineRule="auto"/>
        <w:ind w:left="547" w:hanging="547"/>
      </w:pPr>
      <w:r>
        <w:rPr>
          <w:rFonts w:ascii="Calibri" w:hAnsi="Calibri"/>
          <w:b/>
          <w:color w:val="0B2545"/>
          <w:sz w:val="22"/>
        </w:rPr>
        <w:t xml:space="preserve">5. </w:t>
      </w:r>
      <w:r>
        <w:rPr>
          <w:rFonts w:ascii="Calibri" w:hAnsi="Calibri"/>
          <w:b/>
          <w:color w:val="0B2545"/>
          <w:sz w:val="22"/>
        </w:rPr>
        <w:t xml:space="preserve">Restrict cross-origin access. </w:t>
      </w:r>
      <w:r>
        <w:rPr>
          <w:rFonts w:ascii="Calibri" w:hAnsi="Calibri"/>
          <w:color w:val="1C1C1C"/>
          <w:sz w:val="22"/>
        </w:rPr>
        <w:t>Return CORS headers only for configured origins instead of allowing every origin.</w:t>
      </w:r>
    </w:p>
    <w:p>
      <w:pPr>
        <w:spacing w:before="80" w:after="200" w:line="276" w:lineRule="auto"/>
        <w:ind w:left="173" w:right="173"/>
        <w:shd w:fill="E8EEF5"/>
      </w:pPr>
      <w:r>
        <w:rPr>
          <w:rFonts w:ascii="Calibri" w:hAnsi="Calibri"/>
          <w:b/>
          <w:color w:val="1F4D78"/>
          <w:sz w:val="21"/>
        </w:rPr>
        <w:t xml:space="preserve">Evidence  </w:t>
      </w:r>
      <w:r>
        <w:rPr>
          <w:rFonts w:ascii="Calibri" w:hAnsi="Calibri"/>
          <w:color w:val="0B2545"/>
          <w:sz w:val="21"/>
        </w:rPr>
        <w:t>The API E2E test confirms an invalid .txt upload returns 400 and does not increase the saved-upload count. It also verifies API-key authentication, browser-session access, downloads, errors, and prior-version retrieval.</w:t>
      </w:r>
    </w:p>
    <w:p>
      <w:pPr>
        <w:pStyle w:val="Heading1"/>
      </w:pPr>
      <w:r>
        <w:t>4. Make research, content, and retrieval providers explicit</w:t>
      </w:r>
    </w:p>
    <w:p>
      <w:pPr>
        <w:spacing w:after="120" w:line="300" w:lineRule="auto"/>
      </w:pPr>
      <w:r>
        <w:rPr>
          <w:rFonts w:ascii="Calibri" w:hAnsi="Calibri"/>
          <w:color w:val="1C1C1C"/>
          <w:sz w:val="22"/>
        </w:rPr>
        <w:t>The repair keeps the POC runnable without credentials while making every fallback visible in the run trace and metadata.</w:t>
      </w:r>
    </w:p>
    <w:tbl>
      <w:tblPr>
        <w:tblStyle w:val="TableGrid"/>
        <w:tblW w:type="dxa" w:w="9360"/>
        <w:jc w:val="left"/>
        <w:tblLayout w:type="fixed"/>
        <w:tblLook w:firstColumn="1" w:firstRow="1" w:lastColumn="0" w:lastRow="0" w:noHBand="0" w:noVBand="1" w:val="04A0"/>
        <w:tblInd w:w="120" w:type="dxa"/>
      </w:tblPr>
      <w:tblGrid>
        <w:gridCol w:w="1872"/>
        <w:gridCol w:w="3744"/>
        <w:gridCol w:w="3744"/>
      </w:tblGrid>
      <w:tr>
        <w:trPr>
          <w:tblHeader w:val="true"/>
          <w:cantSplit/>
        </w:trPr>
        <w:tc>
          <w:tcPr>
            <w:tcW w:type="dxa" w:w="1872"/>
            <w:vAlign w:val="center"/>
            <w:tcMar>
              <w:top w:w="80" w:type="dxa"/>
              <w:start w:w="120" w:type="dxa"/>
              <w:bottom w:w="80" w:type="dxa"/>
              <w:end w:w="120" w:type="dxa"/>
            </w:tcMar>
            <w:shd w:fill="E8EEF5"/>
          </w:tcPr>
          <w:p>
            <w:pPr>
              <w:spacing w:after="0"/>
            </w:pPr>
            <w:r>
              <w:rPr>
                <w:rFonts w:ascii="Calibri" w:hAnsi="Calibri"/>
                <w:b/>
                <w:color w:val="0B2545"/>
                <w:sz w:val="19"/>
              </w:rPr>
              <w:t>Capability</w:t>
            </w:r>
          </w:p>
        </w:tc>
        <w:tc>
          <w:tcPr>
            <w:tcW w:type="dxa" w:w="3744"/>
            <w:vAlign w:val="center"/>
            <w:tcMar>
              <w:top w:w="80" w:type="dxa"/>
              <w:start w:w="120" w:type="dxa"/>
              <w:bottom w:w="80" w:type="dxa"/>
              <w:end w:w="120" w:type="dxa"/>
            </w:tcMar>
            <w:shd w:fill="E8EEF5"/>
          </w:tcPr>
          <w:p>
            <w:pPr>
              <w:spacing w:after="0"/>
            </w:pPr>
            <w:r>
              <w:rPr>
                <w:rFonts w:ascii="Calibri" w:hAnsi="Calibri"/>
                <w:b/>
                <w:color w:val="0B2545"/>
                <w:sz w:val="19"/>
              </w:rPr>
              <w:t>Default behavior</w:t>
            </w:r>
          </w:p>
        </w:tc>
        <w:tc>
          <w:tcPr>
            <w:tcW w:type="dxa" w:w="3744"/>
            <w:vAlign w:val="center"/>
            <w:tcMar>
              <w:top w:w="80" w:type="dxa"/>
              <w:start w:w="120" w:type="dxa"/>
              <w:bottom w:w="80" w:type="dxa"/>
              <w:end w:w="120" w:type="dxa"/>
            </w:tcMar>
            <w:shd w:fill="E8EEF5"/>
          </w:tcPr>
          <w:p>
            <w:pPr>
              <w:spacing w:after="0"/>
            </w:pPr>
            <w:r>
              <w:rPr>
                <w:rFonts w:ascii="Calibri" w:hAnsi="Calibri"/>
                <w:b/>
                <w:color w:val="0B2545"/>
                <w:sz w:val="19"/>
              </w:rPr>
              <w:t>Configured behavior</w:t>
            </w:r>
          </w:p>
        </w:tc>
      </w:tr>
      <w:tr>
        <w:trPr>
          <w:cantSplit/>
        </w:trPr>
        <w:tc>
          <w:tcPr>
            <w:tcW w:type="dxa" w:w="1872"/>
          </w:tcPr>
          <w:p>
            <w:pPr>
              <w:spacing w:after="0" w:line="264" w:lineRule="auto"/>
            </w:pPr>
            <w:r>
              <w:rPr>
                <w:rFonts w:ascii="Calibri" w:hAnsi="Calibri"/>
                <w:color w:val="1C1C1C"/>
                <w:sz w:val="20"/>
              </w:rPr>
              <w:t>Web research</w:t>
            </w:r>
          </w:p>
        </w:tc>
        <w:tc>
          <w:tcPr>
            <w:tcW w:type="dxa" w:w="3744"/>
          </w:tcPr>
          <w:p>
            <w:pPr>
              <w:spacing w:after="0" w:line="264" w:lineRule="auto"/>
            </w:pPr>
            <w:r>
              <w:rPr>
                <w:rFonts w:ascii="Calibri" w:hAnsi="Calibri"/>
                <w:color w:val="1C1C1C"/>
                <w:sz w:val="19"/>
              </w:rPr>
              <w:t>Attempts DuckDuckGo HTML search. If blocked or unavailable, returns labelled deterministic demo sources with a reason.</w:t>
            </w:r>
          </w:p>
        </w:tc>
        <w:tc>
          <w:tcPr>
            <w:tcW w:type="dxa" w:w="3744"/>
          </w:tcPr>
          <w:p>
            <w:pPr>
              <w:spacing w:after="0" w:line="264" w:lineRule="auto"/>
            </w:pPr>
            <w:r>
              <w:rPr>
                <w:rFonts w:ascii="Calibri" w:hAnsi="Calibri"/>
                <w:color w:val="1C1C1C"/>
                <w:sz w:val="19"/>
              </w:rPr>
              <w:t>WEB_SEARCH_PROVIDER=json_api calls a configured JSON search endpoint with optional credential headers.</w:t>
            </w:r>
          </w:p>
        </w:tc>
      </w:tr>
      <w:tr>
        <w:trPr>
          <w:cantSplit/>
        </w:trPr>
        <w:tc>
          <w:tcPr>
            <w:tcW w:type="dxa" w:w="1872"/>
            <w:shd w:fill="FAFBFC"/>
          </w:tcPr>
          <w:p>
            <w:pPr>
              <w:spacing w:after="0" w:line="264" w:lineRule="auto"/>
            </w:pPr>
            <w:r>
              <w:rPr>
                <w:rFonts w:ascii="Calibri" w:hAnsi="Calibri"/>
                <w:color w:val="1C1C1C"/>
                <w:sz w:val="20"/>
              </w:rPr>
              <w:t>Content planning</w:t>
            </w:r>
          </w:p>
        </w:tc>
        <w:tc>
          <w:tcPr>
            <w:tcW w:type="dxa" w:w="3744"/>
            <w:shd w:fill="FAFBFC"/>
          </w:tcPr>
          <w:p>
            <w:pPr>
              <w:spacing w:after="0" w:line="264" w:lineRule="auto"/>
            </w:pPr>
            <w:r>
              <w:rPr>
                <w:rFonts w:ascii="Calibri" w:hAnsi="Calibri"/>
                <w:color w:val="1C1C1C"/>
                <w:sz w:val="20"/>
              </w:rPr>
              <w:t>Deterministic structured proposal/slide content is generated for reliable demos.</w:t>
            </w:r>
          </w:p>
        </w:tc>
        <w:tc>
          <w:tcPr>
            <w:tcW w:type="dxa" w:w="3744"/>
            <w:shd w:fill="FAFBFC"/>
          </w:tcPr>
          <w:p>
            <w:pPr>
              <w:spacing w:after="0" w:line="264" w:lineRule="auto"/>
            </w:pPr>
            <w:r>
              <w:rPr>
                <w:rFonts w:ascii="Calibri" w:hAnsi="Calibri"/>
                <w:color w:val="1C1C1C"/>
                <w:sz w:val="19"/>
              </w:rPr>
              <w:t>LLM_PROVIDER=openai_compatible requests JSON from a compatible chat-completions endpoint; failures return explicit deterministic fallback.</w:t>
            </w:r>
          </w:p>
        </w:tc>
      </w:tr>
      <w:tr>
        <w:trPr>
          <w:cantSplit/>
        </w:trPr>
        <w:tc>
          <w:tcPr>
            <w:tcW w:type="dxa" w:w="1872"/>
          </w:tcPr>
          <w:p>
            <w:pPr>
              <w:spacing w:after="0" w:line="264" w:lineRule="auto"/>
            </w:pPr>
            <w:r>
              <w:rPr>
                <w:rFonts w:ascii="Calibri" w:hAnsi="Calibri"/>
                <w:color w:val="1C1C1C"/>
                <w:sz w:val="20"/>
              </w:rPr>
              <w:t>Enterprise retrieval</w:t>
            </w:r>
          </w:p>
        </w:tc>
        <w:tc>
          <w:tcPr>
            <w:tcW w:type="dxa" w:w="3744"/>
          </w:tcPr>
          <w:p>
            <w:pPr>
              <w:spacing w:after="0" w:line="264" w:lineRule="auto"/>
            </w:pPr>
            <w:r>
              <w:rPr>
                <w:rFonts w:ascii="Calibri" w:hAnsi="Calibri"/>
                <w:color w:val="1C1C1C"/>
                <w:sz w:val="19"/>
              </w:rPr>
              <w:t>A local TF-IDF vector store indexes built-in context, uploaded profiles, and .md/.txt enterprise files.</w:t>
            </w:r>
          </w:p>
        </w:tc>
        <w:tc>
          <w:tcPr>
            <w:tcW w:type="dxa" w:w="3744"/>
          </w:tcPr>
          <w:p>
            <w:pPr>
              <w:spacing w:after="0" w:line="264" w:lineRule="auto"/>
            </w:pPr>
            <w:r>
              <w:rPr>
                <w:rFonts w:ascii="Calibri" w:hAnsi="Calibri"/>
                <w:color w:val="1C1C1C"/>
                <w:sz w:val="19"/>
              </w:rPr>
              <w:t>PINECONE_* settings activate upsert/query through a Pinecone-compatible data-plane adapter, with local fallback if unavailable.</w:t>
            </w:r>
          </w:p>
        </w:tc>
      </w:tr>
    </w:tbl>
    <w:p>
      <w:pPr>
        <w:spacing w:after="40"/>
      </w:pPr>
    </w:p>
    <w:p>
      <w:pPr>
        <w:pStyle w:val="Heading1"/>
      </w:pPr>
      <w:r>
        <w:t>5. Complete OCR and legacy format handling</w:t>
      </w:r>
    </w:p>
    <w:p>
      <w:pPr>
        <w:spacing w:after="120" w:line="300" w:lineRule="auto"/>
      </w:pPr>
      <w:r>
        <w:rPr>
          <w:rFonts w:ascii="Calibri" w:hAnsi="Calibri"/>
          <w:color w:val="1C1C1C"/>
          <w:sz w:val="22"/>
        </w:rPr>
        <w:t>The parser now uses pytesseract if available and falls back to the installed Tesseract CLI. Scanned PDFs are rasterized with pdftoppm before OCR. Legacy .ppt files are converted to .pptx with LibreOffice before profiling.</w:t>
      </w:r>
    </w:p>
    <w:p>
      <w:pPr>
        <w:pStyle w:val="ListBullet"/>
        <w:spacing w:after="80" w:line="300" w:lineRule="auto"/>
        <w:ind w:left="540" w:hanging="270"/>
      </w:pPr>
      <w:r>
        <w:rPr>
          <w:rFonts w:ascii="Calibri" w:hAnsi="Calibri"/>
          <w:color w:val="1C1C1C"/>
          <w:sz w:val="22"/>
        </w:rPr>
        <w:t>OCR status and extracted text are retained in the profile and trace.</w:t>
      </w:r>
    </w:p>
    <w:p>
      <w:pPr>
        <w:pStyle w:val="ListBullet"/>
        <w:spacing w:after="80" w:line="300" w:lineRule="auto"/>
        <w:ind w:left="540" w:hanging="270"/>
      </w:pPr>
      <w:r>
        <w:rPr>
          <w:rFonts w:ascii="Calibri" w:hAnsi="Calibri"/>
          <w:color w:val="1C1C1C"/>
          <w:sz w:val="22"/>
        </w:rPr>
        <w:t>The test suite verifies text extraction for image input, image-only PDF input, and legacy PowerPoint conversion.</w:t>
      </w:r>
    </w:p>
    <w:p>
      <w:pPr>
        <w:pStyle w:val="ListBullet"/>
        <w:spacing w:after="80" w:line="300" w:lineRule="auto"/>
        <w:ind w:left="540" w:hanging="270"/>
      </w:pPr>
      <w:r>
        <w:rPr>
          <w:rFonts w:ascii="Calibri" w:hAnsi="Calibri"/>
          <w:color w:val="1C1C1C"/>
          <w:sz w:val="22"/>
        </w:rPr>
        <w:t>System setup is documented: Tesseract, Poppler, and LibreOffice are required for the corresponding optional capabilities.</w:t>
      </w:r>
    </w:p>
    <w:p>
      <w:pPr>
        <w:pStyle w:val="Heading1"/>
      </w:pPr>
      <w:r>
        <w:t>6. Preserve template fidelity in native outputs</w:t>
      </w:r>
    </w:p>
    <w:p>
      <w:pPr>
        <w:spacing w:after="120" w:line="300" w:lineRule="auto"/>
      </w:pPr>
      <w:r>
        <w:rPr>
          <w:rFonts w:ascii="Calibri" w:hAnsi="Calibri"/>
          <w:color w:val="1C1C1C"/>
          <w:sz w:val="22"/>
        </w:rPr>
        <w:t>Profiling was expanded before generation so the system has measurable template signals to retain. The DOCX generator opens the uploaded document as its base, preserving body content, styles, headers, footers, sections, tables, and images before appending generated material. The PPTX generator reuses existing slides/layouts and populates them before adding only the slides needed to reach the target count.</w:t>
      </w:r>
    </w:p>
    <w:tbl>
      <w:tblPr>
        <w:tblStyle w:val="TableGrid"/>
        <w:tblW w:type="dxa" w:w="9360"/>
        <w:jc w:val="left"/>
        <w:tblLayout w:type="fixed"/>
        <w:tblLook w:firstColumn="1" w:firstRow="1" w:lastColumn="0" w:lastRow="0" w:noHBand="0" w:noVBand="1" w:val="04A0"/>
        <w:tblInd w:w="120" w:type="dxa"/>
      </w:tblPr>
      <w:tblGrid>
        <w:gridCol w:w="1584"/>
        <w:gridCol w:w="4320"/>
        <w:gridCol w:w="3456"/>
      </w:tblGrid>
      <w:tr>
        <w:trPr>
          <w:tblHeader w:val="true"/>
          <w:cantSplit/>
        </w:trPr>
        <w:tc>
          <w:tcPr>
            <w:tcW w:type="dxa" w:w="1584"/>
            <w:vAlign w:val="center"/>
            <w:tcMar>
              <w:top w:w="80" w:type="dxa"/>
              <w:start w:w="120" w:type="dxa"/>
              <w:bottom w:w="80" w:type="dxa"/>
              <w:end w:w="120" w:type="dxa"/>
            </w:tcMar>
            <w:shd w:fill="E8EEF5"/>
          </w:tcPr>
          <w:p>
            <w:pPr>
              <w:spacing w:after="0"/>
            </w:pPr>
            <w:r>
              <w:rPr>
                <w:rFonts w:ascii="Calibri" w:hAnsi="Calibri"/>
                <w:b/>
                <w:color w:val="0B2545"/>
                <w:sz w:val="19"/>
              </w:rPr>
              <w:t>Artifact</w:t>
            </w:r>
          </w:p>
        </w:tc>
        <w:tc>
          <w:tcPr>
            <w:tcW w:type="dxa" w:w="4320"/>
            <w:vAlign w:val="center"/>
            <w:tcMar>
              <w:top w:w="80" w:type="dxa"/>
              <w:start w:w="120" w:type="dxa"/>
              <w:bottom w:w="80" w:type="dxa"/>
              <w:end w:w="120" w:type="dxa"/>
            </w:tcMar>
            <w:shd w:fill="E8EEF5"/>
          </w:tcPr>
          <w:p>
            <w:pPr>
              <w:spacing w:after="0"/>
            </w:pPr>
            <w:r>
              <w:rPr>
                <w:rFonts w:ascii="Calibri" w:hAnsi="Calibri"/>
                <w:b/>
                <w:color w:val="0B2545"/>
                <w:sz w:val="19"/>
              </w:rPr>
              <w:t>Profiled signals</w:t>
            </w:r>
          </w:p>
        </w:tc>
        <w:tc>
          <w:tcPr>
            <w:tcW w:type="dxa" w:w="3456"/>
            <w:vAlign w:val="center"/>
            <w:tcMar>
              <w:top w:w="80" w:type="dxa"/>
              <w:start w:w="120" w:type="dxa"/>
              <w:bottom w:w="80" w:type="dxa"/>
              <w:end w:w="120" w:type="dxa"/>
            </w:tcMar>
            <w:shd w:fill="E8EEF5"/>
          </w:tcPr>
          <w:p>
            <w:pPr>
              <w:spacing w:after="0"/>
            </w:pPr>
            <w:r>
              <w:rPr>
                <w:rFonts w:ascii="Calibri" w:hAnsi="Calibri"/>
                <w:b/>
                <w:color w:val="0B2545"/>
                <w:sz w:val="19"/>
              </w:rPr>
              <w:t>Generated fidelity checks</w:t>
            </w:r>
          </w:p>
        </w:tc>
      </w:tr>
      <w:tr>
        <w:trPr>
          <w:cantSplit/>
        </w:trPr>
        <w:tc>
          <w:tcPr>
            <w:tcW w:type="dxa" w:w="1584"/>
          </w:tcPr>
          <w:p>
            <w:pPr>
              <w:spacing w:after="0" w:line="264" w:lineRule="auto"/>
            </w:pPr>
            <w:r>
              <w:rPr>
                <w:rFonts w:ascii="Calibri" w:hAnsi="Calibri"/>
                <w:color w:val="1C1C1C"/>
                <w:sz w:val="20"/>
              </w:rPr>
              <w:t>DOCX</w:t>
            </w:r>
          </w:p>
        </w:tc>
        <w:tc>
          <w:tcPr>
            <w:tcW w:type="dxa" w:w="4320"/>
          </w:tcPr>
          <w:p>
            <w:pPr>
              <w:spacing w:after="0" w:line="264" w:lineRule="auto"/>
            </w:pPr>
            <w:r>
              <w:rPr>
                <w:rFonts w:ascii="Calibri" w:hAnsi="Calibri"/>
                <w:color w:val="1C1C1C"/>
                <w:sz w:val="20"/>
              </w:rPr>
              <w:t>Fonts, styles, spacing, margins, section geometry, headers/footers, tables, and images.</w:t>
            </w:r>
          </w:p>
        </w:tc>
        <w:tc>
          <w:tcPr>
            <w:tcW w:type="dxa" w:w="3456"/>
          </w:tcPr>
          <w:p>
            <w:pPr>
              <w:spacing w:after="0" w:line="264" w:lineRule="auto"/>
            </w:pPr>
            <w:r>
              <w:rPr>
                <w:rFonts w:ascii="Calibri" w:hAnsi="Calibri"/>
                <w:color w:val="1C1C1C"/>
                <w:sz w:val="20"/>
              </w:rPr>
              <w:t>Margins, shared fonts, headers/footers, and table preservation when applicable.</w:t>
            </w:r>
          </w:p>
        </w:tc>
      </w:tr>
      <w:tr>
        <w:trPr>
          <w:cantSplit/>
        </w:trPr>
        <w:tc>
          <w:tcPr>
            <w:tcW w:type="dxa" w:w="1584"/>
            <w:shd w:fill="FAFBFC"/>
          </w:tcPr>
          <w:p>
            <w:pPr>
              <w:spacing w:after="0" w:line="264" w:lineRule="auto"/>
            </w:pPr>
            <w:r>
              <w:rPr>
                <w:rFonts w:ascii="Calibri" w:hAnsi="Calibri"/>
                <w:color w:val="1C1C1C"/>
                <w:sz w:val="20"/>
              </w:rPr>
              <w:t>PPTX</w:t>
            </w:r>
          </w:p>
        </w:tc>
        <w:tc>
          <w:tcPr>
            <w:tcW w:type="dxa" w:w="4320"/>
            <w:shd w:fill="FAFBFC"/>
          </w:tcPr>
          <w:p>
            <w:pPr>
              <w:spacing w:after="0" w:line="264" w:lineRule="auto"/>
            </w:pPr>
            <w:r>
              <w:rPr>
                <w:rFonts w:ascii="Calibri" w:hAnsi="Calibri"/>
                <w:color w:val="1C1C1C"/>
                <w:sz w:val="20"/>
              </w:rPr>
              <w:t>Masters, layouts, backgrounds, colors, shapes, positions, images, and slide size.</w:t>
            </w:r>
          </w:p>
        </w:tc>
        <w:tc>
          <w:tcPr>
            <w:tcW w:type="dxa" w:w="3456"/>
            <w:shd w:fill="FAFBFC"/>
          </w:tcPr>
          <w:p>
            <w:pPr>
              <w:spacing w:after="0" w:line="264" w:lineRule="auto"/>
            </w:pPr>
            <w:r>
              <w:rPr>
                <w:rFonts w:ascii="Calibri" w:hAnsi="Calibri"/>
                <w:color w:val="1C1C1C"/>
                <w:sz w:val="20"/>
              </w:rPr>
              <w:t>Slide size, layout/master preservation, and sampled shape-geometry retention.</w:t>
            </w:r>
          </w:p>
        </w:tc>
      </w:tr>
    </w:tbl>
    <w:p>
      <w:pPr>
        <w:spacing w:after="40"/>
      </w:pPr>
    </w:p>
    <w:p>
      <w:pPr>
        <w:pStyle w:val="Heading1"/>
      </w:pPr>
      <w:r>
        <w:t>7. Improve conversational edits, conversion, and lineage</w:t>
      </w:r>
    </w:p>
    <w:p>
      <w:pPr>
        <w:spacing w:after="100" w:line="300" w:lineRule="auto"/>
        <w:ind w:left="547" w:hanging="547"/>
      </w:pPr>
      <w:r>
        <w:rPr>
          <w:rFonts w:ascii="Calibri" w:hAnsi="Calibri"/>
          <w:b/>
          <w:color w:val="0B2545"/>
          <w:sz w:val="22"/>
        </w:rPr>
        <w:t xml:space="preserve">1. </w:t>
      </w:r>
      <w:r>
        <w:rPr>
          <w:rFonts w:ascii="Calibri" w:hAnsi="Calibri"/>
          <w:b/>
          <w:color w:val="0B2545"/>
          <w:sz w:val="22"/>
        </w:rPr>
        <w:t xml:space="preserve">Extract an edit intent. </w:t>
      </w:r>
      <w:r>
        <w:rPr>
          <w:rFonts w:ascii="Calibri" w:hAnsi="Calibri"/>
          <w:color w:val="1C1C1C"/>
          <w:sz w:val="22"/>
        </w:rPr>
        <w:t>Convert a conversational instruction into a structured intent object such as add_executive_summary, reduce_density, add_competitive_analysis, or refresh_research.</w:t>
      </w:r>
    </w:p>
    <w:p>
      <w:pPr>
        <w:spacing w:after="100" w:line="300" w:lineRule="auto"/>
        <w:ind w:left="547" w:hanging="547"/>
      </w:pPr>
      <w:r>
        <w:rPr>
          <w:rFonts w:ascii="Calibri" w:hAnsi="Calibri"/>
          <w:b/>
          <w:color w:val="0B2545"/>
          <w:sz w:val="22"/>
        </w:rPr>
        <w:t xml:space="preserve">2. </w:t>
      </w:r>
      <w:r>
        <w:rPr>
          <w:rFonts w:ascii="Calibri" w:hAnsi="Calibri"/>
          <w:b/>
          <w:color w:val="0B2545"/>
          <w:sz w:val="22"/>
        </w:rPr>
        <w:t xml:space="preserve">Use the current version as the base. </w:t>
      </w:r>
      <w:r>
        <w:rPr>
          <w:rFonts w:ascii="Calibri" w:hAnsi="Calibri"/>
          <w:color w:val="1C1C1C"/>
          <w:sz w:val="22"/>
        </w:rPr>
        <w:t>An edit regenerates from the current artifact version rather than only from the original uploaded template.</w:t>
      </w:r>
    </w:p>
    <w:p>
      <w:pPr>
        <w:spacing w:after="100" w:line="300" w:lineRule="auto"/>
        <w:ind w:left="547" w:hanging="547"/>
      </w:pPr>
      <w:r>
        <w:rPr>
          <w:rFonts w:ascii="Calibri" w:hAnsi="Calibri"/>
          <w:b/>
          <w:color w:val="0B2545"/>
          <w:sz w:val="22"/>
        </w:rPr>
        <w:t xml:space="preserve">3. </w:t>
      </w:r>
      <w:r>
        <w:rPr>
          <w:rFonts w:ascii="Calibri" w:hAnsi="Calibri"/>
          <w:b/>
          <w:color w:val="0B2545"/>
          <w:sz w:val="22"/>
        </w:rPr>
        <w:t xml:space="preserve">Create an append-only version. </w:t>
      </w:r>
      <w:r>
        <w:rPr>
          <w:rFonts w:ascii="Calibri" w:hAnsi="Calibri"/>
          <w:color w:val="1C1C1C"/>
          <w:sz w:val="22"/>
        </w:rPr>
        <w:t>The repository keeps every artifact version and allows version-specific downloads.</w:t>
      </w:r>
    </w:p>
    <w:p>
      <w:pPr>
        <w:spacing w:after="100" w:line="300" w:lineRule="auto"/>
        <w:ind w:left="547" w:hanging="547"/>
      </w:pPr>
      <w:r>
        <w:rPr>
          <w:rFonts w:ascii="Calibri" w:hAnsi="Calibri"/>
          <w:b/>
          <w:color w:val="0B2545"/>
          <w:sz w:val="22"/>
        </w:rPr>
        <w:t xml:space="preserve">4. </w:t>
      </w:r>
      <w:r>
        <w:rPr>
          <w:rFonts w:ascii="Calibri" w:hAnsi="Calibri"/>
          <w:b/>
          <w:color w:val="0B2545"/>
          <w:sz w:val="22"/>
        </w:rPr>
        <w:t xml:space="preserve">Create conversion lineage. </w:t>
      </w:r>
      <w:r>
        <w:rPr>
          <w:rFonts w:ascii="Calibri" w:hAnsi="Calibri"/>
          <w:color w:val="1C1C1C"/>
          <w:sz w:val="22"/>
        </w:rPr>
        <w:t>Each conversion creates a RunRecord linked to source artifact, source version, target format, validation report, and generated result.</w:t>
      </w:r>
    </w:p>
    <w:p>
      <w:pPr>
        <w:spacing w:after="100" w:line="300" w:lineRule="auto"/>
        <w:ind w:left="547" w:hanging="547"/>
      </w:pPr>
      <w:r>
        <w:rPr>
          <w:rFonts w:ascii="Calibri" w:hAnsi="Calibri"/>
          <w:b/>
          <w:color w:val="0B2545"/>
          <w:sz w:val="22"/>
        </w:rPr>
        <w:t xml:space="preserve">5. </w:t>
      </w:r>
      <w:r>
        <w:rPr>
          <w:rFonts w:ascii="Calibri" w:hAnsi="Calibri"/>
          <w:b/>
          <w:color w:val="0B2545"/>
          <w:sz w:val="22"/>
        </w:rPr>
        <w:t xml:space="preserve">Attach evidence. </w:t>
      </w:r>
      <w:r>
        <w:rPr>
          <w:rFonts w:ascii="Calibri" w:hAnsi="Calibri"/>
          <w:color w:val="1C1C1C"/>
          <w:sz w:val="22"/>
        </w:rPr>
        <w:t>Generated content carries source citations and claim-level citation references; PPTX notes also retain source/claim information.</w:t>
      </w:r>
    </w:p>
    <w:p>
      <w:pPr>
        <w:pStyle w:val="Heading1"/>
      </w:pPr>
      <w:r>
        <w:t>8. Build the compliance test harness and CI</w:t>
      </w:r>
    </w:p>
    <w:p>
      <w:pPr>
        <w:spacing w:after="120" w:line="300" w:lineRule="auto"/>
      </w:pPr>
      <w:r>
        <w:rPr>
          <w:rFonts w:ascii="Calibri" w:hAnsi="Calibri"/>
          <w:color w:val="1C1C1C"/>
          <w:sz w:val="22"/>
        </w:rPr>
        <w:t>The project moved from five core tests to fourteen automated tests. The suite covers core workflow behavior, API E2E behavior, provider contracts, enterprise-file ingestion, OCR, legacy PPT conversion, UI controls, editing, conversion, lineage, and regression cases.</w:t>
      </w:r>
    </w:p>
    <w:tbl>
      <w:tblPr>
        <w:tblStyle w:val="TableGrid"/>
        <w:tblW w:type="dxa" w:w="9360"/>
        <w:jc w:val="left"/>
        <w:tblLayout w:type="fixed"/>
        <w:tblLook w:firstColumn="1" w:firstRow="1" w:lastColumn="0" w:lastRow="0" w:noHBand="0" w:noVBand="1" w:val="04A0"/>
        <w:tblInd w:w="120" w:type="dxa"/>
      </w:tblPr>
      <w:tblGrid>
        <w:gridCol w:w="1944"/>
        <w:gridCol w:w="5040"/>
        <w:gridCol w:w="2376"/>
      </w:tblGrid>
      <w:tr>
        <w:trPr>
          <w:tblHeader w:val="true"/>
          <w:cantSplit/>
        </w:trPr>
        <w:tc>
          <w:tcPr>
            <w:tcW w:type="dxa" w:w="1944"/>
            <w:vAlign w:val="center"/>
            <w:tcMar>
              <w:top w:w="80" w:type="dxa"/>
              <w:start w:w="120" w:type="dxa"/>
              <w:bottom w:w="80" w:type="dxa"/>
              <w:end w:w="120" w:type="dxa"/>
            </w:tcMar>
            <w:shd w:fill="E8EEF5"/>
          </w:tcPr>
          <w:p>
            <w:pPr>
              <w:spacing w:after="0"/>
            </w:pPr>
            <w:r>
              <w:rPr>
                <w:rFonts w:ascii="Calibri" w:hAnsi="Calibri"/>
                <w:b/>
                <w:color w:val="0B2545"/>
                <w:sz w:val="19"/>
              </w:rPr>
              <w:t>Verification layer</w:t>
            </w:r>
          </w:p>
        </w:tc>
        <w:tc>
          <w:tcPr>
            <w:tcW w:type="dxa" w:w="5040"/>
            <w:vAlign w:val="center"/>
            <w:tcMar>
              <w:top w:w="80" w:type="dxa"/>
              <w:start w:w="120" w:type="dxa"/>
              <w:bottom w:w="80" w:type="dxa"/>
              <w:end w:w="120" w:type="dxa"/>
            </w:tcMar>
            <w:shd w:fill="E8EEF5"/>
          </w:tcPr>
          <w:p>
            <w:pPr>
              <w:spacing w:after="0"/>
            </w:pPr>
            <w:r>
              <w:rPr>
                <w:rFonts w:ascii="Calibri" w:hAnsi="Calibri"/>
                <w:b/>
                <w:color w:val="0B2545"/>
                <w:sz w:val="19"/>
              </w:rPr>
              <w:t>What was checked</w:t>
            </w:r>
          </w:p>
        </w:tc>
        <w:tc>
          <w:tcPr>
            <w:tcW w:type="dxa" w:w="2376"/>
            <w:vAlign w:val="center"/>
            <w:tcMar>
              <w:top w:w="80" w:type="dxa"/>
              <w:start w:w="120" w:type="dxa"/>
              <w:bottom w:w="80" w:type="dxa"/>
              <w:end w:w="120" w:type="dxa"/>
            </w:tcMar>
            <w:shd w:fill="E8EEF5"/>
          </w:tcPr>
          <w:p>
            <w:pPr>
              <w:spacing w:after="0"/>
            </w:pPr>
            <w:r>
              <w:rPr>
                <w:rFonts w:ascii="Calibri" w:hAnsi="Calibri"/>
                <w:b/>
                <w:color w:val="0B2545"/>
                <w:sz w:val="19"/>
              </w:rPr>
              <w:t>Result</w:t>
            </w:r>
          </w:p>
        </w:tc>
      </w:tr>
      <w:tr>
        <w:trPr>
          <w:cantSplit/>
        </w:trPr>
        <w:tc>
          <w:tcPr>
            <w:tcW w:type="dxa" w:w="1944"/>
          </w:tcPr>
          <w:p>
            <w:pPr>
              <w:spacing w:after="0" w:line="264" w:lineRule="auto"/>
            </w:pPr>
            <w:r>
              <w:rPr>
                <w:rFonts w:ascii="Calibri" w:hAnsi="Calibri"/>
                <w:color w:val="1C1C1C"/>
                <w:sz w:val="20"/>
              </w:rPr>
              <w:t>Compile and tests</w:t>
            </w:r>
          </w:p>
        </w:tc>
        <w:tc>
          <w:tcPr>
            <w:tcW w:type="dxa" w:w="5040"/>
          </w:tcPr>
          <w:p>
            <w:pPr>
              <w:spacing w:after="0" w:line="264" w:lineRule="auto"/>
            </w:pPr>
            <w:r>
              <w:rPr>
                <w:rFonts w:ascii="Calibri" w:hAnsi="Calibri"/>
                <w:color w:val="1C1C1C"/>
                <w:sz w:val="20"/>
              </w:rPr>
              <w:t>Python compilation plus 14 automated tests.</w:t>
            </w:r>
          </w:p>
        </w:tc>
        <w:tc>
          <w:tcPr>
            <w:tcW w:type="dxa" w:w="2376"/>
          </w:tcPr>
          <w:p>
            <w:pPr>
              <w:spacing w:after="0" w:line="264" w:lineRule="auto"/>
            </w:pPr>
            <w:r>
              <w:rPr>
                <w:rFonts w:ascii="Calibri" w:hAnsi="Calibri"/>
                <w:color w:val="1C1C1C"/>
                <w:sz w:val="20"/>
              </w:rPr>
              <w:t>Passed.</w:t>
            </w:r>
          </w:p>
        </w:tc>
      </w:tr>
      <w:tr>
        <w:trPr>
          <w:cantSplit/>
        </w:trPr>
        <w:tc>
          <w:tcPr>
            <w:tcW w:type="dxa" w:w="1944"/>
            <w:shd w:fill="FAFBFC"/>
          </w:tcPr>
          <w:p>
            <w:pPr>
              <w:spacing w:after="0" w:line="264" w:lineRule="auto"/>
            </w:pPr>
            <w:r>
              <w:rPr>
                <w:rFonts w:ascii="Calibri" w:hAnsi="Calibri"/>
                <w:color w:val="1C1C1C"/>
                <w:sz w:val="20"/>
              </w:rPr>
              <w:t>API E2E</w:t>
            </w:r>
          </w:p>
        </w:tc>
        <w:tc>
          <w:tcPr>
            <w:tcW w:type="dxa" w:w="5040"/>
            <w:shd w:fill="FAFBFC"/>
          </w:tcPr>
          <w:p>
            <w:pPr>
              <w:spacing w:after="0" w:line="264" w:lineRule="auto"/>
            </w:pPr>
            <w:r>
              <w:rPr>
                <w:rFonts w:ascii="Calibri" w:hAnsi="Calibri"/>
                <w:color w:val="1C1C1C"/>
                <w:sz w:val="20"/>
              </w:rPr>
              <w:t>Auth, rejected uploads, generation, downloads, edits, conversions, error codes, CORS, and lineage.</w:t>
            </w:r>
          </w:p>
        </w:tc>
        <w:tc>
          <w:tcPr>
            <w:tcW w:type="dxa" w:w="2376"/>
            <w:shd w:fill="FAFBFC"/>
          </w:tcPr>
          <w:p>
            <w:pPr>
              <w:spacing w:after="0" w:line="264" w:lineRule="auto"/>
            </w:pPr>
            <w:r>
              <w:rPr>
                <w:rFonts w:ascii="Calibri" w:hAnsi="Calibri"/>
                <w:color w:val="1C1C1C"/>
                <w:sz w:val="20"/>
              </w:rPr>
              <w:t>Passed.</w:t>
            </w:r>
          </w:p>
        </w:tc>
      </w:tr>
      <w:tr>
        <w:trPr>
          <w:cantSplit/>
        </w:trPr>
        <w:tc>
          <w:tcPr>
            <w:tcW w:type="dxa" w:w="1944"/>
          </w:tcPr>
          <w:p>
            <w:pPr>
              <w:spacing w:after="0" w:line="264" w:lineRule="auto"/>
            </w:pPr>
            <w:r>
              <w:rPr>
                <w:rFonts w:ascii="Calibri" w:hAnsi="Calibri"/>
                <w:color w:val="1C1C1C"/>
                <w:sz w:val="20"/>
              </w:rPr>
              <w:t>Browser smoke</w:t>
            </w:r>
          </w:p>
        </w:tc>
        <w:tc>
          <w:tcPr>
            <w:tcW w:type="dxa" w:w="5040"/>
          </w:tcPr>
          <w:p>
            <w:pPr>
              <w:spacing w:after="0" w:line="264" w:lineRule="auto"/>
            </w:pPr>
            <w:r>
              <w:rPr>
                <w:rFonts w:ascii="Calibri" w:hAnsi="Calibri"/>
                <w:color w:val="1C1C1C"/>
                <w:sz w:val="20"/>
              </w:rPr>
              <w:t>API-key-enabled UI: upload, supervisor run, trace, artifact display, conversational edit.</w:t>
            </w:r>
          </w:p>
        </w:tc>
        <w:tc>
          <w:tcPr>
            <w:tcW w:type="dxa" w:w="2376"/>
          </w:tcPr>
          <w:p>
            <w:pPr>
              <w:spacing w:after="0" w:line="264" w:lineRule="auto"/>
            </w:pPr>
            <w:r>
              <w:rPr>
                <w:rFonts w:ascii="Calibri" w:hAnsi="Calibri"/>
                <w:color w:val="1C1C1C"/>
                <w:sz w:val="20"/>
              </w:rPr>
              <w:t>Passed in Chrome.</w:t>
            </w:r>
          </w:p>
        </w:tc>
      </w:tr>
      <w:tr>
        <w:trPr>
          <w:cantSplit/>
        </w:trPr>
        <w:tc>
          <w:tcPr>
            <w:tcW w:type="dxa" w:w="1944"/>
            <w:shd w:fill="FAFBFC"/>
          </w:tcPr>
          <w:p>
            <w:pPr>
              <w:spacing w:after="0" w:line="264" w:lineRule="auto"/>
            </w:pPr>
            <w:r>
              <w:rPr>
                <w:rFonts w:ascii="Calibri" w:hAnsi="Calibri"/>
                <w:color w:val="1C1C1C"/>
                <w:sz w:val="20"/>
              </w:rPr>
              <w:t>Native/visual artifacts</w:t>
            </w:r>
          </w:p>
        </w:tc>
        <w:tc>
          <w:tcPr>
            <w:tcW w:type="dxa" w:w="5040"/>
            <w:shd w:fill="FAFBFC"/>
          </w:tcPr>
          <w:p>
            <w:pPr>
              <w:spacing w:after="0" w:line="264" w:lineRule="auto"/>
            </w:pPr>
            <w:r>
              <w:rPr>
                <w:rFonts w:ascii="Calibri" w:hAnsi="Calibri"/>
                <w:color w:val="1C1C1C"/>
                <w:sz w:val="20"/>
              </w:rPr>
              <w:t>Editable DOCX, editable 12-slide PPTX, DOCX page render, PPTX render, overflow check.</w:t>
            </w:r>
          </w:p>
        </w:tc>
        <w:tc>
          <w:tcPr>
            <w:tcW w:type="dxa" w:w="2376"/>
            <w:shd w:fill="FAFBFC"/>
          </w:tcPr>
          <w:p>
            <w:pPr>
              <w:spacing w:after="0" w:line="264" w:lineRule="auto"/>
            </w:pPr>
            <w:r>
              <w:rPr>
                <w:rFonts w:ascii="Calibri" w:hAnsi="Calibri"/>
                <w:color w:val="1C1C1C"/>
                <w:sz w:val="20"/>
              </w:rPr>
              <w:t>Passed; PPTX overflow check reported none.</w:t>
            </w:r>
          </w:p>
        </w:tc>
      </w:tr>
      <w:tr>
        <w:trPr>
          <w:cantSplit/>
        </w:trPr>
        <w:tc>
          <w:tcPr>
            <w:tcW w:type="dxa" w:w="1944"/>
          </w:tcPr>
          <w:p>
            <w:pPr>
              <w:spacing w:after="0" w:line="264" w:lineRule="auto"/>
            </w:pPr>
            <w:r>
              <w:rPr>
                <w:rFonts w:ascii="Calibri" w:hAnsi="Calibri"/>
                <w:color w:val="1C1C1C"/>
                <w:sz w:val="20"/>
              </w:rPr>
              <w:t>Continuous integration</w:t>
            </w:r>
          </w:p>
        </w:tc>
        <w:tc>
          <w:tcPr>
            <w:tcW w:type="dxa" w:w="5040"/>
          </w:tcPr>
          <w:p>
            <w:pPr>
              <w:spacing w:after="0" w:line="264" w:lineRule="auto"/>
            </w:pPr>
            <w:r>
              <w:rPr>
                <w:rFonts w:ascii="Calibri" w:hAnsi="Calibri"/>
                <w:color w:val="1C1C1C"/>
                <w:sz w:val="20"/>
              </w:rPr>
              <w:t>GitHub Actions installs OCR dependencies, compiles, runs tests, and runs offline deterministic demo.</w:t>
            </w:r>
          </w:p>
        </w:tc>
        <w:tc>
          <w:tcPr>
            <w:tcW w:type="dxa" w:w="2376"/>
          </w:tcPr>
          <w:p>
            <w:pPr>
              <w:spacing w:after="0" w:line="264" w:lineRule="auto"/>
            </w:pPr>
            <w:r>
              <w:rPr>
                <w:rFonts w:ascii="Calibri" w:hAnsi="Calibri"/>
                <w:color w:val="1C1C1C"/>
                <w:sz w:val="20"/>
              </w:rPr>
              <w:t>Workflow added.</w:t>
            </w:r>
          </w:p>
        </w:tc>
      </w:tr>
    </w:tbl>
    <w:p>
      <w:pPr>
        <w:spacing w:after="40"/>
      </w:pPr>
    </w:p>
    <w:p>
      <w:pPr>
        <w:pStyle w:val="Heading1"/>
      </w:pPr>
      <w:r>
        <w:t>9. Publish and verify the delivery</w:t>
      </w:r>
    </w:p>
    <w:p>
      <w:pPr>
        <w:spacing w:after="120" w:line="300" w:lineRule="auto"/>
      </w:pPr>
      <w:r>
        <w:rPr>
          <w:rFonts w:ascii="Calibri" w:hAnsi="Calibri"/>
          <w:color w:val="1C1C1C"/>
          <w:sz w:val="22"/>
        </w:rPr>
        <w:t>The existing public repository was used rather than creating a duplicate. The repair was committed and pushed to main. The remote branch was checked after push, and the working tree was clean.</w:t>
      </w:r>
    </w:p>
    <w:p>
      <w:pPr>
        <w:spacing w:before="60" w:after="160" w:line="240" w:lineRule="auto"/>
        <w:ind w:left="259" w:right="259"/>
        <w:shd w:fill="F5F7FA"/>
      </w:pPr>
      <w:r>
        <w:rPr>
          <w:rFonts w:ascii="Consolas" w:hAnsi="Consolas"/>
          <w:color w:val="0B2545"/>
          <w:sz w:val="19"/>
        </w:rPr>
        <w:t>Repository: https://github.com/mayur200904/multi-agent-document-ppt-poc</w:t>
        <w:br/>
        <w:t>Main repair commits: d43e0dc (implementation) and b7c5f34 (publication evidence)</w:t>
      </w:r>
    </w:p>
    <w:p>
      <w:pPr>
        <w:pStyle w:val="Heading1"/>
      </w:pPr>
      <w:r>
        <w:t>10. Run the same verification locally</w:t>
      </w:r>
    </w:p>
    <w:p>
      <w:pPr>
        <w:spacing w:before="60" w:after="160" w:line="240" w:lineRule="auto"/>
        <w:ind w:left="259" w:right="259"/>
        <w:shd w:fill="F5F7FA"/>
      </w:pPr>
      <w:r>
        <w:rPr>
          <w:rFonts w:ascii="Consolas" w:hAnsi="Consolas"/>
          <w:color w:val="0B2545"/>
          <w:sz w:val="19"/>
        </w:rPr>
        <w:t>python -m compileall -q app samples scripts tests</w:t>
        <w:br/>
        <w:t>python -m unittest discover -s tests -v</w:t>
        <w:br/>
        <w:t>WEB_SEARCH_ENABLED=false python scripts/run_demo.py</w:t>
        <w:br/>
        <w:t>python -m app.main</w:t>
      </w:r>
    </w:p>
    <w:p>
      <w:pPr>
        <w:spacing w:before="80" w:after="200" w:line="276" w:lineRule="auto"/>
        <w:ind w:left="173" w:right="173"/>
        <w:shd w:fill="E8EEF5"/>
      </w:pPr>
      <w:r>
        <w:rPr>
          <w:rFonts w:ascii="Calibri" w:hAnsi="Calibri"/>
          <w:b/>
          <w:color w:val="1F4D78"/>
          <w:sz w:val="21"/>
        </w:rPr>
        <w:t xml:space="preserve">Scope boundary  </w:t>
      </w:r>
      <w:r>
        <w:rPr>
          <w:rFonts w:ascii="Calibri" w:hAnsi="Calibri"/>
          <w:color w:val="0B2545"/>
          <w:sz w:val="21"/>
        </w:rPr>
        <w:t>Live JSON search, OpenAI-compatible content generation, and Pinecone-compatible retrieval work when configured with valid credentials. The deterministic/local paths remain intentional, labelled fallbacks for a reliable credential-optional demonstration. Hosted production deployment is not part of the agreed POC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Project documentation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2E74B5"/>
      </w:pBdr>
    </w:pPr>
    <w:r>
      <w:rPr>
        <w:rFonts w:ascii="Calibri" w:hAnsi="Calibri"/>
        <w:b/>
        <w:color w:val="5F6B7A"/>
        <w:sz w:val="17"/>
      </w:rPr>
      <w:t>ARTIFACT STUDIO  |  MULTI-AGENT DOCUMENT &amp; PPT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