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</w:pPr>
      <w:r>
        <w:rPr>
          <w:rFonts w:ascii="Calibri" w:hAnsi="Calibri"/>
          <w:b/>
          <w:color w:val="1F4D78"/>
          <w:sz w:val="18"/>
        </w:rPr>
        <w:t>PROJECT DOCUMENTATION</w:t>
      </w:r>
    </w:p>
    <w:p>
      <w:pPr>
        <w:spacing w:before="0" w:after="100"/>
      </w:pPr>
      <w:r>
        <w:rPr>
          <w:rFonts w:ascii="Calibri" w:hAnsi="Calibri"/>
          <w:b/>
          <w:color w:val="0B2545"/>
          <w:sz w:val="50"/>
        </w:rPr>
        <w:t>Technical Stack, Architecture &amp; Working Guide</w:t>
      </w:r>
    </w:p>
    <w:p>
      <w:pPr>
        <w:spacing w:before="0" w:after="320"/>
        <w:pBdr>
          <w:bottom w:val="single" w:sz="8" w:space="6" w:color="2E74B5"/>
        </w:pBdr>
      </w:pPr>
      <w:r>
        <w:rPr>
          <w:rFonts w:ascii="Calibri" w:hAnsi="Calibri"/>
          <w:i/>
          <w:color w:val="5F6B7A"/>
          <w:sz w:val="25"/>
        </w:rPr>
        <w:t>A detailed reference for the technology choices, runtime design, data flow, and operating model.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88"/>
        <w:gridCol w:w="3168"/>
        <w:gridCol w:w="2304"/>
      </w:tblGrid>
      <w:tr>
        <w:trPr>
          <w:tblHeader w:val="true"/>
          <w:cantSplit/>
        </w:trPr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Document purpose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Prepared for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Version</w:t>
            </w:r>
          </w:p>
        </w:tc>
      </w:tr>
      <w:tr>
        <w:trPr>
          <w:cantSplit/>
        </w:trPr>
        <w:tc>
          <w:tcPr>
            <w:tcW w:type="dxa" w:w="388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Project explanation and handover reference</w:t>
            </w:r>
          </w:p>
        </w:tc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Developers, reviewers, and assignment evaluators</w:t>
            </w:r>
          </w:p>
        </w:tc>
        <w:tc>
          <w:tcPr>
            <w:tcW w:type="dxa" w:w="230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20 Aug 2026 • verified implementation</w:t>
            </w:r>
          </w:p>
        </w:tc>
      </w:tr>
    </w:tbl>
    <w:p>
      <w:pPr>
        <w:spacing w:after="40"/>
      </w:pPr>
    </w:p>
    <w:p>
      <w:pPr>
        <w:spacing w:before="80" w:after="200" w:line="276" w:lineRule="auto"/>
        <w:ind w:left="173" w:right="173"/>
        <w:shd w:fill="E8EEF5"/>
      </w:pPr>
      <w:r>
        <w:rPr>
          <w:rFonts w:ascii="Calibri" w:hAnsi="Calibri"/>
          <w:b/>
          <w:color w:val="1F4D78"/>
          <w:sz w:val="21"/>
        </w:rPr>
        <w:t xml:space="preserve">Architecture in one sentence  </w:t>
      </w:r>
      <w:r>
        <w:rPr>
          <w:rFonts w:ascii="Calibri" w:hAnsi="Calibri"/>
          <w:color w:val="0B2545"/>
          <w:sz w:val="21"/>
        </w:rPr>
        <w:t>Artifact Studio is a Python-based local web application that orchestrates template analysis, web research, enterprise retrieval, structured content planning, native DOCX/PPTX generation, validation, versioning, and conversational editing through an explicit supervisor workflow.</w:t>
      </w:r>
    </w:p>
    <w:p>
      <w:pPr>
        <w:pStyle w:val="Heading1"/>
      </w:pPr>
      <w:r>
        <w:t>1. Project purpose and deliverable</w:t>
      </w:r>
    </w:p>
    <w:p>
      <w:pPr>
        <w:spacing w:after="120" w:line="300" w:lineRule="auto"/>
      </w:pPr>
      <w:r>
        <w:rPr>
          <w:rFonts w:ascii="Calibri" w:hAnsi="Calibri"/>
          <w:color w:val="1C1C1C"/>
          <w:sz w:val="22"/>
        </w:rPr>
        <w:t>The application receives user requests and optional templates, then creates editable Word and PowerPoint artifacts. It is designed as a credential-optional proof of concept: it can demonstrate the full workflow locally, while real provider integrations can be enabled through environment variables.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Input: DOCX, PDF, PPT/PPTX, and image templates or source materials.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Output: native editable .docx and .pptx files, each with citations, validation evidence, versions, and download support.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Interaction: a browser UI and a small HTTP API for uploads, prompting, editing, conversion, and retrieval of runs/artifacts.</w:t>
      </w:r>
    </w:p>
    <w:p>
      <w:pPr>
        <w:pStyle w:val="Heading1"/>
      </w:pPr>
      <w:r>
        <w:t>2. Technology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168"/>
        <w:gridCol w:w="4464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Layer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Technology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Role in this project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Language/runtime</w:t>
            </w:r>
          </w:p>
        </w:tc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Python 3.11+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Primary application runtime, testing, parsing, generation, and local HTTP server.</w:t>
            </w:r>
          </w:p>
        </w:tc>
      </w:tr>
      <w:tr>
        <w:trPr>
          <w:cantSplit/>
        </w:trPr>
        <w:tc>
          <w:tcPr>
            <w:tcW w:type="dxa" w:w="172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Web/API</w:t>
            </w:r>
          </w:p>
        </w:tc>
        <w:tc>
          <w:tcPr>
            <w:tcW w:type="dxa" w:w="316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http.server ThreadingHTTPServer + HTML/CSS/JavaScript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Small dependency-light API surface and browser interface.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Word generation</w:t>
            </w:r>
          </w:p>
        </w:tc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python-docx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Profiles DOCX templates and creates native editable Word output from template copies.</w:t>
            </w:r>
          </w:p>
        </w:tc>
      </w:tr>
      <w:tr>
        <w:trPr>
          <w:cantSplit/>
        </w:trPr>
        <w:tc>
          <w:tcPr>
            <w:tcW w:type="dxa" w:w="172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PowerPoint generation</w:t>
            </w:r>
          </w:p>
        </w:tc>
        <w:tc>
          <w:tcPr>
            <w:tcW w:type="dxa" w:w="316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python-pptx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Profiles slides/layouts and creates native editable presentations with notes/citations.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PDF/image processing</w:t>
            </w:r>
          </w:p>
        </w:tc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pypdf + Pillow + pdftoppm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Extracts PDF text, validates images, and rasterizes scanned PDFs for OCR.</w:t>
            </w:r>
          </w:p>
        </w:tc>
      </w:tr>
      <w:tr>
        <w:trPr>
          <w:cantSplit/>
        </w:trPr>
        <w:tc>
          <w:tcPr>
            <w:tcW w:type="dxa" w:w="172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OCR</w:t>
            </w:r>
          </w:p>
        </w:tc>
        <w:tc>
          <w:tcPr>
            <w:tcW w:type="dxa" w:w="316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pytesseract or Tesseract CLI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Reads text from images and scanned PDF pages; stores status and result.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Legacy conversion</w:t>
            </w:r>
          </w:p>
        </w:tc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LibreOffice/soffice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Converts .ppt to .pptx before parsing.</w:t>
            </w:r>
          </w:p>
        </w:tc>
      </w:tr>
      <w:tr>
        <w:trPr>
          <w:cantSplit/>
        </w:trPr>
        <w:tc>
          <w:tcPr>
            <w:tcW w:type="dxa" w:w="172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Retrieval</w:t>
            </w:r>
          </w:p>
        </w:tc>
        <w:tc>
          <w:tcPr>
            <w:tcW w:type="dxa" w:w="316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Local TF-IDF/cosine store + Pinecone-compatible adapter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Offline enterprise search with optional remote vector upsert/query.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AI/content</w:t>
            </w:r>
          </w:p>
        </w:tc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Deterministic provider + OpenAI-compatible JSON provider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Creates structured proposal content and 11 body slides for a 12-slide deck.</w:t>
            </w:r>
          </w:p>
        </w:tc>
      </w:tr>
      <w:tr>
        <w:trPr>
          <w:cantSplit/>
        </w:trPr>
        <w:tc>
          <w:tcPr>
            <w:tcW w:type="dxa" w:w="172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Persistence</w:t>
            </w:r>
          </w:p>
        </w:tc>
        <w:tc>
          <w:tcPr>
            <w:tcW w:type="dxa" w:w="3168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Local JSON registry + artifact/run files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Single source of truth for uploads, versions, run manifests, citations, and lineage.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Quality/delivery</w:t>
            </w:r>
          </w:p>
        </w:tc>
        <w:tc>
          <w:tcPr>
            <w:tcW w:type="dxa" w:w="3168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unittest, browser smoke, render tools, GitHub Actions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Automated checks, visual artifact validation, and continuous integration.</w:t>
            </w:r>
          </w:p>
        </w:tc>
      </w:tr>
    </w:tbl>
    <w:p>
      <w:pPr>
        <w:spacing w:after="40"/>
      </w:pPr>
    </w:p>
    <w:p>
      <w:pPr>
        <w:pStyle w:val="Heading1"/>
      </w:pPr>
      <w:r>
        <w:t>3. High-level architecture</w:t>
      </w:r>
    </w:p>
    <w:p>
      <w:pPr>
        <w:spacing w:after="120" w:line="300" w:lineRule="auto"/>
      </w:pPr>
      <w:r>
        <w:rPr>
          <w:rFonts w:ascii="Calibri" w:hAnsi="Calibri"/>
          <w:color w:val="1C1C1C"/>
          <w:sz w:val="22"/>
        </w:rPr>
        <w:t>The design separates orchestration from specialized responsibilities. The SupervisorAgent owns request-level flow; each specialist returns structured data and writes trace entries. The repository owns persistence, so agents do not write registry state directly.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3096"/>
        <w:gridCol w:w="5112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Primary component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Input → output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1. Request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Browser UI / HTTP API</w:t>
            </w:r>
          </w:p>
        </w:tc>
        <w:tc>
          <w:tcPr>
            <w:tcW w:type="dxa" w:w="511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User message and file uploads → validated request.</w:t>
            </w:r>
          </w:p>
        </w:tc>
      </w:tr>
      <w:tr>
        <w:trPr>
          <w:cantSplit/>
        </w:trPr>
        <w:tc>
          <w:tcPr>
            <w:tcW w:type="dxa" w:w="11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2. Persist</w:t>
            </w:r>
          </w:p>
        </w:tc>
        <w:tc>
          <w:tcPr>
            <w:tcW w:type="dxa" w:w="309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ArtifactRepository</w:t>
            </w:r>
          </w:p>
        </w:tc>
        <w:tc>
          <w:tcPr>
            <w:tcW w:type="dxa" w:w="511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Validated bytes → upload records and storage paths.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3. Analyze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TemplateAnalysisAgent + parsers</w:t>
            </w:r>
          </w:p>
        </w:tc>
        <w:tc>
          <w:tcPr>
            <w:tcW w:type="dxa" w:w="511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Templates → DocumentProfile objects containing text, style, layout, OCR, and structure.</w:t>
            </w:r>
          </w:p>
        </w:tc>
      </w:tr>
      <w:tr>
        <w:trPr>
          <w:cantSplit/>
        </w:trPr>
        <w:tc>
          <w:tcPr>
            <w:tcW w:type="dxa" w:w="11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4. Research</w:t>
            </w:r>
          </w:p>
        </w:tc>
        <w:tc>
          <w:tcPr>
            <w:tcW w:type="dxa" w:w="309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ResearchAgent + WebSearchProvider</w:t>
            </w:r>
          </w:p>
        </w:tc>
        <w:tc>
          <w:tcPr>
            <w:tcW w:type="dxa" w:w="511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Prompt → live sources or labelled deterministic fallback sources.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5. Retrieve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RetrievalAgent + EnterpriseKnowledgeBase</w:t>
            </w:r>
          </w:p>
        </w:tc>
        <w:tc>
          <w:tcPr>
            <w:tcW w:type="dxa" w:w="511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Prompt → local or remote enterprise context hits.</w:t>
            </w:r>
          </w:p>
        </w:tc>
      </w:tr>
      <w:tr>
        <w:trPr>
          <w:cantSplit/>
        </w:trPr>
        <w:tc>
          <w:tcPr>
            <w:tcW w:type="dxa" w:w="11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6. Plan</w:t>
            </w:r>
          </w:p>
        </w:tc>
        <w:tc>
          <w:tcPr>
            <w:tcW w:type="dxa" w:w="309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ContentAgent + content provider</w:t>
            </w:r>
          </w:p>
        </w:tc>
        <w:tc>
          <w:tcPr>
            <w:tcW w:type="dxa" w:w="511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Request + sources + RAG → structured content, slides, and claim citations.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7. Generate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DOCX/PPTX generation agents</w:t>
            </w:r>
          </w:p>
        </w:tc>
        <w:tc>
          <w:tcPr>
            <w:tcW w:type="dxa" w:w="511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Content + profile/template → native editable artifacts.</w:t>
            </w:r>
          </w:p>
        </w:tc>
      </w:tr>
      <w:tr>
        <w:trPr>
          <w:cantSplit/>
        </w:trPr>
        <w:tc>
          <w:tcPr>
            <w:tcW w:type="dxa" w:w="11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8. Validate</w:t>
            </w:r>
          </w:p>
        </w:tc>
        <w:tc>
          <w:tcPr>
            <w:tcW w:type="dxa" w:w="309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ValidationAgent</w:t>
            </w:r>
          </w:p>
        </w:tc>
        <w:tc>
          <w:tcPr>
            <w:tcW w:type="dxa" w:w="511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Artifact + source profile → editable/native/fidelity checks.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9. Record</w:t>
            </w:r>
          </w:p>
        </w:tc>
        <w:tc>
          <w:tcPr>
            <w:tcW w:type="dxa" w:w="309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ArtifactRepository</w:t>
            </w:r>
          </w:p>
        </w:tc>
        <w:tc>
          <w:tcPr>
            <w:tcW w:type="dxa" w:w="511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Artifacts + trace + provider metadata → immutable versions and RunRecord.</w:t>
            </w:r>
          </w:p>
        </w:tc>
      </w:tr>
    </w:tbl>
    <w:p>
      <w:pPr>
        <w:spacing w:after="40"/>
      </w:pPr>
    </w:p>
    <w:p>
      <w:pPr>
        <w:spacing w:before="80" w:after="200" w:line="276" w:lineRule="auto"/>
        <w:ind w:left="173" w:right="173"/>
        <w:shd w:fill="E8EEF5"/>
      </w:pPr>
      <w:r>
        <w:rPr>
          <w:rFonts w:ascii="Calibri" w:hAnsi="Calibri"/>
          <w:b/>
          <w:color w:val="1F4D78"/>
          <w:sz w:val="21"/>
        </w:rPr>
        <w:t xml:space="preserve">Control point  </w:t>
      </w:r>
      <w:r>
        <w:rPr>
          <w:rFonts w:ascii="Calibri" w:hAnsi="Calibri"/>
          <w:color w:val="0B2545"/>
          <w:sz w:val="21"/>
        </w:rPr>
        <w:t>No generation result is treated as complete until it is registered with its validation report and trace identifier. Failed provider calls are represented as explicit fallback metadata rather than hidden substitutions.</w:t>
      </w:r>
    </w:p>
    <w:p>
      <w:pPr>
        <w:pStyle w:val="Heading1"/>
      </w:pPr>
      <w:r>
        <w:t>4. Main application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84"/>
        <w:gridCol w:w="417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Module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Responsibility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Important behavior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app/config.py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Centralized environment configuration.</w:t>
            </w:r>
          </w:p>
        </w:tc>
        <w:tc>
          <w:tcPr>
            <w:tcW w:type="dxa" w:w="417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Defines storage, provider, OCR, CORS, API-key, and enterprise knowledge settings.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app/main.py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HTTP routes and static UI delivery.</w:t>
            </w:r>
          </w:p>
        </w:tc>
        <w:tc>
          <w:tcPr>
            <w:tcW w:type="dxa" w:w="417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Stages uploads; authenticates via X-API-Key or HttpOnly session; returns JSON/downloads.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app/agents.py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Supervisor and specialized workflow agents.</w:t>
            </w:r>
          </w:p>
        </w:tc>
        <w:tc>
          <w:tcPr>
            <w:tcW w:type="dxa" w:w="417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Creates traces, composes providers, generates artifacts, creates versions, and saves runs.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app/parsers.py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Format validation and template profiling.</w:t>
            </w:r>
          </w:p>
        </w:tc>
        <w:tc>
          <w:tcPr>
            <w:tcW w:type="dxa" w:w="417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Checks signatures; handles DOCX/PDF/PPT/PPTX/image; OCR and legacy conversion support.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app/research.py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Web research contract.</w:t>
            </w:r>
          </w:p>
        </w:tc>
        <w:tc>
          <w:tcPr>
            <w:tcW w:type="dxa" w:w="417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DuckDuckGo or JSON API; deterministic sources returned only with a recorded reason.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app/rag.py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Enterprise retrieval contract.</w:t>
            </w:r>
          </w:p>
        </w:tc>
        <w:tc>
          <w:tcPr>
            <w:tcW w:type="dxa" w:w="417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Chunks enterprise files and profiles; local TF-IDF default; functional Pinecone-compatible adapter.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app/content.py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Structured content providers.</w:t>
            </w:r>
          </w:p>
        </w:tc>
        <w:tc>
          <w:tcPr>
            <w:tcW w:type="dxa" w:w="417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Deterministic plan or JSON LLM response; resilient fallback behavior.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app/generators.py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Native DOCX/PPTX artifact generation.</w:t>
            </w:r>
          </w:p>
        </w:tc>
        <w:tc>
          <w:tcPr>
            <w:tcW w:type="dxa" w:w="417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Reuses template structures and writes source/claim evidence.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app/editing.py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Intent-based conversational modifications.</w:t>
            </w:r>
          </w:p>
        </w:tc>
        <w:tc>
          <w:tcPr>
            <w:tcW w:type="dxa" w:w="417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Classifies instructions into structured operations and creates versioned regenerated output.</w:t>
            </w:r>
          </w:p>
        </w:tc>
      </w:tr>
      <w:tr>
        <w:trPr>
          <w:cantSplit/>
        </w:trPr>
        <w:tc>
          <w:tcPr>
            <w:tcW w:type="dxa" w:w="180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app/validation.py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Artifact and fidelity validation.</w:t>
            </w:r>
          </w:p>
        </w:tc>
        <w:tc>
          <w:tcPr>
            <w:tcW w:type="dxa" w:w="417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Checks native readability, editable text, target slide count, and comparable template properties.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app/repository.py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Persistence source of truth.</w:t>
            </w:r>
          </w:p>
        </w:tc>
        <w:tc>
          <w:tcPr>
            <w:tcW w:type="dxa" w:w="417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Stores uploads, artifacts, current/prior versions, run manifests, and paths.</w:t>
            </w:r>
          </w:p>
        </w:tc>
      </w:tr>
    </w:tbl>
    <w:p>
      <w:pPr>
        <w:spacing w:after="40"/>
      </w:pPr>
    </w:p>
    <w:p>
      <w:pPr>
        <w:pStyle w:val="Heading1"/>
      </w:pPr>
      <w:r>
        <w:t>5. Data and storage model</w:t>
      </w:r>
    </w:p>
    <w:p>
      <w:pPr>
        <w:spacing w:after="120" w:line="300" w:lineRule="auto"/>
      </w:pPr>
      <w:r>
        <w:rPr>
          <w:rFonts w:ascii="Calibri" w:hAnsi="Calibri"/>
          <w:color w:val="1C1C1C"/>
          <w:sz w:val="22"/>
        </w:rPr>
        <w:t>All persistent state is stored beneath APP_STORAGE_DIR. The registry is JSON-backed and intentionally append-only for artifacts. This keeps the POC inspectable and makes version history obvious during an assignment review.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464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Record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Key fields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Why it matters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Upload record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upload_id, file_name, relative_path, bytes, created_at</w:t>
            </w:r>
          </w:p>
        </w:tc>
        <w:tc>
          <w:tcPr>
            <w:tcW w:type="dxa" w:w="29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Connects a validated uploaded file to a workflow.</w:t>
            </w:r>
          </w:p>
        </w:tc>
      </w:tr>
      <w:tr>
        <w:trPr>
          <w:cantSplit/>
        </w:trPr>
        <w:tc>
          <w:tcPr>
            <w:tcW w:type="dxa" w:w="194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DocumentProfile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text, sections, style metadata, OCR status, counts</w:t>
            </w:r>
          </w:p>
        </w:tc>
        <w:tc>
          <w:tcPr>
            <w:tcW w:type="dxa" w:w="29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Provides template/RAG context and measurable fidelity targets.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ArtifactVersion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artifact_id, version, content, profile, citations, validation, lineage</w:t>
            </w:r>
          </w:p>
        </w:tc>
        <w:tc>
          <w:tcPr>
            <w:tcW w:type="dxa" w:w="29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Keeps every editable output version with its provenance.</w:t>
            </w:r>
          </w:p>
        </w:tc>
      </w:tr>
      <w:tr>
        <w:trPr>
          <w:cantSplit/>
        </w:trPr>
        <w:tc>
          <w:tcPr>
            <w:tcW w:type="dxa" w:w="194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RunRecord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run_id, steps, sources, retrieval, artifacts, metadata, error</w:t>
            </w:r>
          </w:p>
        </w:tc>
        <w:tc>
          <w:tcPr>
            <w:tcW w:type="dxa" w:w="29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Explains exactly what agents/providers did for one operation.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Lineage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run_id, source artifact/version, uploads, target format, providers</w:t>
            </w:r>
          </w:p>
        </w:tc>
        <w:tc>
          <w:tcPr>
            <w:tcW w:type="dxa" w:w="29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Lets reviewers trace generation, edits, and conversions end to end.</w:t>
            </w:r>
          </w:p>
        </w:tc>
      </w:tr>
    </w:tbl>
    <w:p>
      <w:pPr>
        <w:spacing w:after="40"/>
      </w:pPr>
    </w:p>
    <w:p>
      <w:pPr>
        <w:pStyle w:val="Heading1"/>
      </w:pPr>
      <w:r>
        <w:t>6. Runtime flow: request to artifact</w:t>
      </w:r>
    </w:p>
    <w:p>
      <w:pPr>
        <w:spacing w:after="100" w:line="300" w:lineRule="auto"/>
        <w:ind w:left="547" w:hanging="547"/>
      </w:pPr>
      <w:r>
        <w:rPr>
          <w:rFonts w:ascii="Calibri" w:hAnsi="Calibri"/>
          <w:b/>
          <w:color w:val="0B2545"/>
          <w:sz w:val="22"/>
        </w:rPr>
        <w:t xml:space="preserve">1. </w:t>
      </w:r>
      <w:r>
        <w:rPr>
          <w:rFonts w:ascii="Calibri" w:hAnsi="Calibri"/>
          <w:b/>
          <w:color w:val="0B2545"/>
          <w:sz w:val="22"/>
        </w:rPr>
        <w:t xml:space="preserve">User uploads files. </w:t>
      </w:r>
      <w:r>
        <w:rPr>
          <w:rFonts w:ascii="Calibri" w:hAnsi="Calibri"/>
          <w:color w:val="1C1C1C"/>
          <w:sz w:val="22"/>
        </w:rPr>
        <w:t>The UI sends multipart data to POST /api/upload. The server enforces size, extension, signature, and parser validation while staged in a temporary file.</w:t>
      </w:r>
    </w:p>
    <w:p>
      <w:pPr>
        <w:spacing w:after="100" w:line="300" w:lineRule="auto"/>
        <w:ind w:left="547" w:hanging="547"/>
      </w:pPr>
      <w:r>
        <w:rPr>
          <w:rFonts w:ascii="Calibri" w:hAnsi="Calibri"/>
          <w:b/>
          <w:color w:val="0B2545"/>
          <w:sz w:val="22"/>
        </w:rPr>
        <w:t xml:space="preserve">2. </w:t>
      </w:r>
      <w:r>
        <w:rPr>
          <w:rFonts w:ascii="Calibri" w:hAnsi="Calibri"/>
          <w:b/>
          <w:color w:val="0B2545"/>
          <w:sz w:val="22"/>
        </w:rPr>
        <w:t xml:space="preserve">User submits a request. </w:t>
      </w:r>
      <w:r>
        <w:rPr>
          <w:rFonts w:ascii="Calibri" w:hAnsi="Calibri"/>
          <w:color w:val="1C1C1C"/>
          <w:sz w:val="22"/>
        </w:rPr>
        <w:t>POST /api/chat receives the message, selected upload IDs, optional artifact ID for editing, and desired slide count.</w:t>
      </w:r>
    </w:p>
    <w:p>
      <w:pPr>
        <w:spacing w:after="100" w:line="300" w:lineRule="auto"/>
        <w:ind w:left="547" w:hanging="547"/>
      </w:pPr>
      <w:r>
        <w:rPr>
          <w:rFonts w:ascii="Calibri" w:hAnsi="Calibri"/>
          <w:b/>
          <w:color w:val="0B2545"/>
          <w:sz w:val="22"/>
        </w:rPr>
        <w:t xml:space="preserve">3. </w:t>
      </w:r>
      <w:r>
        <w:rPr>
          <w:rFonts w:ascii="Calibri" w:hAnsi="Calibri"/>
          <w:b/>
          <w:color w:val="0B2545"/>
          <w:sz w:val="22"/>
        </w:rPr>
        <w:t xml:space="preserve">Supervisor chooses path. </w:t>
      </w:r>
      <w:r>
        <w:rPr>
          <w:rFonts w:ascii="Calibri" w:hAnsi="Calibri"/>
          <w:color w:val="1C1C1C"/>
          <w:sz w:val="22"/>
        </w:rPr>
        <w:t>A new request analyzes templates, researches, retrieves, plans, and generates both output types. An edit reads the current artifact version and applies structured intent.</w:t>
      </w:r>
    </w:p>
    <w:p>
      <w:pPr>
        <w:spacing w:after="100" w:line="300" w:lineRule="auto"/>
        <w:ind w:left="547" w:hanging="547"/>
      </w:pPr>
      <w:r>
        <w:rPr>
          <w:rFonts w:ascii="Calibri" w:hAnsi="Calibri"/>
          <w:b/>
          <w:color w:val="0B2545"/>
          <w:sz w:val="22"/>
        </w:rPr>
        <w:t xml:space="preserve">4. </w:t>
      </w:r>
      <w:r>
        <w:rPr>
          <w:rFonts w:ascii="Calibri" w:hAnsi="Calibri"/>
          <w:b/>
          <w:color w:val="0B2545"/>
          <w:sz w:val="22"/>
        </w:rPr>
        <w:t xml:space="preserve">Content is grounded. </w:t>
      </w:r>
      <w:r>
        <w:rPr>
          <w:rFonts w:ascii="Calibri" w:hAnsi="Calibri"/>
          <w:color w:val="1C1C1C"/>
          <w:sz w:val="22"/>
        </w:rPr>
        <w:t>Research sources and enterprise retrieval hits are supplied to the content provider. Provider/fallback metadata are written to the trace and run metadata.</w:t>
      </w:r>
    </w:p>
    <w:p>
      <w:pPr>
        <w:spacing w:after="100" w:line="300" w:lineRule="auto"/>
        <w:ind w:left="547" w:hanging="547"/>
      </w:pPr>
      <w:r>
        <w:rPr>
          <w:rFonts w:ascii="Calibri" w:hAnsi="Calibri"/>
          <w:b/>
          <w:color w:val="0B2545"/>
          <w:sz w:val="22"/>
        </w:rPr>
        <w:t xml:space="preserve">5. </w:t>
      </w:r>
      <w:r>
        <w:rPr>
          <w:rFonts w:ascii="Calibri" w:hAnsi="Calibri"/>
          <w:b/>
          <w:color w:val="0B2545"/>
          <w:sz w:val="22"/>
        </w:rPr>
        <w:t xml:space="preserve">Artifacts are created. </w:t>
      </w:r>
      <w:r>
        <w:rPr>
          <w:rFonts w:ascii="Calibri" w:hAnsi="Calibri"/>
          <w:color w:val="1C1C1C"/>
          <w:sz w:val="22"/>
        </w:rPr>
        <w:t>DOCX and PPTX generators write native Office packages. Sources and claim citations appear in the document and PPTX notes.</w:t>
      </w:r>
    </w:p>
    <w:p>
      <w:pPr>
        <w:spacing w:after="100" w:line="300" w:lineRule="auto"/>
        <w:ind w:left="547" w:hanging="547"/>
      </w:pPr>
      <w:r>
        <w:rPr>
          <w:rFonts w:ascii="Calibri" w:hAnsi="Calibri"/>
          <w:b/>
          <w:color w:val="0B2545"/>
          <w:sz w:val="22"/>
        </w:rPr>
        <w:t xml:space="preserve">6. </w:t>
      </w:r>
      <w:r>
        <w:rPr>
          <w:rFonts w:ascii="Calibri" w:hAnsi="Calibri"/>
          <w:b/>
          <w:color w:val="0B2545"/>
          <w:sz w:val="22"/>
        </w:rPr>
        <w:t xml:space="preserve">Artifacts are verified. </w:t>
      </w:r>
      <w:r>
        <w:rPr>
          <w:rFonts w:ascii="Calibri" w:hAnsi="Calibri"/>
          <w:color w:val="1C1C1C"/>
          <w:sz w:val="22"/>
        </w:rPr>
        <w:t>The validation layer reopens the package, checks editability and required slide count, then compares applicable template fidelity signals.</w:t>
      </w:r>
    </w:p>
    <w:p>
      <w:pPr>
        <w:spacing w:after="100" w:line="300" w:lineRule="auto"/>
        <w:ind w:left="547" w:hanging="547"/>
      </w:pPr>
      <w:r>
        <w:rPr>
          <w:rFonts w:ascii="Calibri" w:hAnsi="Calibri"/>
          <w:b/>
          <w:color w:val="0B2545"/>
          <w:sz w:val="22"/>
        </w:rPr>
        <w:t xml:space="preserve">7. </w:t>
      </w:r>
      <w:r>
        <w:rPr>
          <w:rFonts w:ascii="Calibri" w:hAnsi="Calibri"/>
          <w:b/>
          <w:color w:val="0B2545"/>
          <w:sz w:val="22"/>
        </w:rPr>
        <w:t xml:space="preserve">Everything is persisted. </w:t>
      </w:r>
      <w:r>
        <w:rPr>
          <w:rFonts w:ascii="Calibri" w:hAnsi="Calibri"/>
          <w:color w:val="1C1C1C"/>
          <w:sz w:val="22"/>
        </w:rPr>
        <w:t>Artifact versions, validation report, citations, lineage, and agent steps are stored in the local registry and per-run JSON.</w:t>
      </w:r>
    </w:p>
    <w:p>
      <w:pPr>
        <w:pStyle w:val="Heading1"/>
      </w:pPr>
      <w:r>
        <w:t>7. Provider and fallback strategy</w:t>
      </w:r>
    </w:p>
    <w:p>
      <w:pPr>
        <w:spacing w:after="120" w:line="300" w:lineRule="auto"/>
      </w:pPr>
      <w:r>
        <w:rPr>
          <w:rFonts w:ascii="Calibri" w:hAnsi="Calibri"/>
          <w:color w:val="1C1C1C"/>
          <w:sz w:val="22"/>
        </w:rPr>
        <w:t>The application is deliberately usable without external credentials. The rule is: attempt configured/live behavior when enabled, retain deterministic/local fallbacks for the demonstration, and make the selected provider and reason visible.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3672"/>
        <w:gridCol w:w="3672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Setting group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Example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Effect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Research</w:t>
            </w:r>
          </w:p>
        </w:tc>
        <w:tc>
          <w:tcPr>
            <w:tcW w:type="dxa" w:w="367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WEB_SEARCH_ENABLED=true; WEB_SEARCH_PROVIDER=json_api</w:t>
            </w:r>
          </w:p>
        </w:tc>
        <w:tc>
          <w:tcPr>
            <w:tcW w:type="dxa" w:w="367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Attempts live research. JSON API URL/key are required for the JSON option.</w:t>
            </w:r>
          </w:p>
        </w:tc>
      </w:tr>
      <w:tr>
        <w:trPr>
          <w:cantSplit/>
        </w:trPr>
        <w:tc>
          <w:tcPr>
            <w:tcW w:type="dxa" w:w="201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Content</w:t>
            </w:r>
          </w:p>
        </w:tc>
        <w:tc>
          <w:tcPr>
            <w:tcW w:type="dxa" w:w="367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LLM_PROVIDER=openai_compatible</w:t>
            </w:r>
          </w:p>
        </w:tc>
        <w:tc>
          <w:tcPr>
            <w:tcW w:type="dxa" w:w="367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19"/>
              </w:rPr>
              <w:t>Calls a compatible chat-completions endpoint that returns JSON; deterministic content is used if the call fails.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Knowledge</w:t>
            </w:r>
          </w:p>
        </w:tc>
        <w:tc>
          <w:tcPr>
            <w:tcW w:type="dxa" w:w="367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ENTERPRISE_KB_DIR=...</w:t>
            </w:r>
          </w:p>
        </w:tc>
        <w:tc>
          <w:tcPr>
            <w:tcW w:type="dxa" w:w="367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Ingests .md/.txt enterprise files into local retrieval at startup.</w:t>
            </w:r>
          </w:p>
        </w:tc>
      </w:tr>
      <w:tr>
        <w:trPr>
          <w:cantSplit/>
        </w:trPr>
        <w:tc>
          <w:tcPr>
            <w:tcW w:type="dxa" w:w="201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Remote RAG</w:t>
            </w:r>
          </w:p>
        </w:tc>
        <w:tc>
          <w:tcPr>
            <w:tcW w:type="dxa" w:w="367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PINECONE_API_KEY, PINECONE_INDEX_HOST, PINECONE_NAMESPACE</w:t>
            </w:r>
          </w:p>
        </w:tc>
        <w:tc>
          <w:tcPr>
            <w:tcW w:type="dxa" w:w="367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Enables remote upsert/query; local retrieval is retained as fallback.</w:t>
            </w:r>
          </w:p>
        </w:tc>
      </w:tr>
      <w:tr>
        <w:trPr>
          <w:cantSplit/>
        </w:trPr>
        <w:tc>
          <w:tcPr>
            <w:tcW w:type="dxa" w:w="201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OCR</w:t>
            </w:r>
          </w:p>
        </w:tc>
        <w:tc>
          <w:tcPr>
            <w:tcW w:type="dxa" w:w="367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OCR_ENABLED=true</w:t>
            </w:r>
          </w:p>
        </w:tc>
        <w:tc>
          <w:tcPr>
            <w:tcW w:type="dxa" w:w="367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Uses Python wrapper or direct Tesseract CLI; records unavailable/empty/success status.</w:t>
            </w:r>
          </w:p>
        </w:tc>
      </w:tr>
    </w:tbl>
    <w:p>
      <w:pPr>
        <w:spacing w:after="40"/>
      </w:pPr>
    </w:p>
    <w:p>
      <w:pPr>
        <w:spacing w:before="60" w:after="160" w:line="240" w:lineRule="auto"/>
        <w:ind w:left="259" w:right="259"/>
        <w:shd w:fill="F5F7FA"/>
      </w:pPr>
      <w:r>
        <w:rPr>
          <w:rFonts w:ascii="Consolas" w:hAnsi="Consolas"/>
          <w:color w:val="0B2545"/>
          <w:sz w:val="19"/>
        </w:rPr>
        <w:t># Deterministic, credential-free local demo</w:t>
        <w:br/>
        <w:t>WEB_SEARCH_ENABLED=false python scripts/run_demo.py</w:t>
        <w:br/>
        <w:br/>
        <w:t># Start the browser application</w:t>
        <w:br/>
        <w:t>python -m app.main</w:t>
      </w:r>
    </w:p>
    <w:p>
      <w:pPr>
        <w:pStyle w:val="Heading1"/>
      </w:pPr>
      <w:r>
        <w:t>8. Security and API behavior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Upload validation happens before persistence; rejected files are not retained as uploads.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API_KEY protects API routes; the browser receives an HttpOnly same-origin session cookie, avoiding API-key exposure in JavaScript.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CORS is restricted to ALLOWED_ORIGINS rather than wildcard access.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Missing artifacts/runs return 404; invalid requests return 400; unauthenticated protected calls return 401.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Temporary OCR/legacy-conversion directories are cleaned after parsing.</w:t>
      </w:r>
    </w:p>
    <w:p>
      <w:pPr>
        <w:pStyle w:val="Heading1"/>
      </w:pPr>
      <w:r>
        <w:t>9. API surface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3384"/>
        <w:gridCol w:w="2736"/>
      </w:tblGrid>
      <w:tr>
        <w:trPr>
          <w:tblHeader w:val="true"/>
          <w:cantSplit/>
        </w:trP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Route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Purpose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Typical use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GET /api/health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Service status</w:t>
            </w:r>
          </w:p>
        </w:tc>
        <w:tc>
          <w:tcPr>
            <w:tcW w:type="dxa" w:w="273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Liveness/UI startup.</w:t>
            </w:r>
          </w:p>
        </w:tc>
      </w:tr>
      <w:tr>
        <w:trPr>
          <w:cantSplit/>
        </w:trPr>
        <w:tc>
          <w:tcPr>
            <w:tcW w:type="dxa" w:w="324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POST /api/upload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Profile and store one supported file</w:t>
            </w:r>
          </w:p>
        </w:tc>
        <w:tc>
          <w:tcPr>
            <w:tcW w:type="dxa" w:w="273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Template/source ingestion.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POST /api/chat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Create artifacts or a new version</w:t>
            </w:r>
          </w:p>
        </w:tc>
        <w:tc>
          <w:tcPr>
            <w:tcW w:type="dxa" w:w="273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Main supervisor request and conversational edit.</w:t>
            </w:r>
          </w:p>
        </w:tc>
      </w:tr>
      <w:tr>
        <w:trPr>
          <w:cantSplit/>
        </w:trPr>
        <w:tc>
          <w:tcPr>
            <w:tcW w:type="dxa" w:w="324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GET /api/runs/{run_id}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Read one run manifest</w:t>
            </w:r>
          </w:p>
        </w:tc>
        <w:tc>
          <w:tcPr>
            <w:tcW w:type="dxa" w:w="273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Inspect trace, provider metadata, sources, and artifacts.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GET /api/artifacts and /api/artifacts/{id}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List/inspect artifact versions</w:t>
            </w:r>
          </w:p>
        </w:tc>
        <w:tc>
          <w:tcPr>
            <w:tcW w:type="dxa" w:w="273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UI artifact display and lineage inspection.</w:t>
            </w:r>
          </w:p>
        </w:tc>
      </w:tr>
      <w:tr>
        <w:trPr>
          <w:cantSplit/>
        </w:trPr>
        <w:tc>
          <w:tcPr>
            <w:tcW w:type="dxa" w:w="3240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GET /api/artifacts/{id}/download?version=N</w:t>
            </w:r>
          </w:p>
        </w:tc>
        <w:tc>
          <w:tcPr>
            <w:tcW w:type="dxa" w:w="338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Download current or prior version</w:t>
            </w:r>
          </w:p>
        </w:tc>
        <w:tc>
          <w:tcPr>
            <w:tcW w:type="dxa" w:w="2736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Native editable file retrieval.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POST /api/convert</w:t>
            </w:r>
          </w:p>
        </w:tc>
        <w:tc>
          <w:tcPr>
            <w:tcW w:type="dxa" w:w="338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Convert DOCX ↔ PPTX</w:t>
            </w:r>
          </w:p>
        </w:tc>
        <w:tc>
          <w:tcPr>
            <w:tcW w:type="dxa" w:w="2736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Creates a new artifact and a conversion RunRecord.</w:t>
            </w:r>
          </w:p>
        </w:tc>
      </w:tr>
    </w:tbl>
    <w:p>
      <w:pPr>
        <w:spacing w:after="40"/>
      </w:pPr>
    </w:p>
    <w:p>
      <w:pPr>
        <w:pStyle w:val="Heading1"/>
      </w:pPr>
      <w:r>
        <w:t>10. Validation and quality gates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4464"/>
        <w:gridCol w:w="2952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Gate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Mechanism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Pass condition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Unit and integration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python -m unittest discover -s tests -v</w:t>
            </w:r>
          </w:p>
        </w:tc>
        <w:tc>
          <w:tcPr>
            <w:tcW w:type="dxa" w:w="29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All 14 tests pass.</w:t>
            </w:r>
          </w:p>
        </w:tc>
      </w:tr>
      <w:tr>
        <w:trPr>
          <w:cantSplit/>
        </w:trPr>
        <w:tc>
          <w:tcPr>
            <w:tcW w:type="dxa" w:w="194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Demo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scripts/run_demo.py</w:t>
            </w:r>
          </w:p>
        </w:tc>
        <w:tc>
          <w:tcPr>
            <w:tcW w:type="dxa" w:w="29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One completed run returns one validated DOCX and one validated 12-slide PPTX.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Native artifact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python-docx/python-pptx validation</w:t>
            </w:r>
          </w:p>
        </w:tc>
        <w:tc>
          <w:tcPr>
            <w:tcW w:type="dxa" w:w="29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Files reopen; editable text exists; PPTX has expected slide count.</w:t>
            </w:r>
          </w:p>
        </w:tc>
      </w:tr>
      <w:tr>
        <w:trPr>
          <w:cantSplit/>
        </w:trPr>
        <w:tc>
          <w:tcPr>
            <w:tcW w:type="dxa" w:w="194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Fidelity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Profile comparison</w:t>
            </w:r>
          </w:p>
        </w:tc>
        <w:tc>
          <w:tcPr>
            <w:tcW w:type="dxa" w:w="29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Applicable template styles/geometry are preserved.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Visual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render_docx.py, render_slides.py, slides_test.py</w:t>
            </w:r>
          </w:p>
        </w:tc>
        <w:tc>
          <w:tcPr>
            <w:tcW w:type="dxa" w:w="29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Clean DOCX pages, rendered slides, and no overflow.</w:t>
            </w:r>
          </w:p>
        </w:tc>
      </w:tr>
      <w:tr>
        <w:trPr>
          <w:cantSplit/>
        </w:trPr>
        <w:tc>
          <w:tcPr>
            <w:tcW w:type="dxa" w:w="194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Browser</w:t>
            </w:r>
          </w:p>
        </w:tc>
        <w:tc>
          <w:tcPr>
            <w:tcW w:type="dxa" w:w="4464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Chrome smoke</w:t>
            </w:r>
          </w:p>
        </w:tc>
        <w:tc>
          <w:tcPr>
            <w:tcW w:type="dxa" w:w="2952"/>
            <w:shd w:fill="FAFBFC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Upload, run, trace, artifact display, and editing work with API-key mode.</w:t>
            </w:r>
          </w:p>
        </w:tc>
      </w:tr>
      <w:tr>
        <w:trPr>
          <w:cantSplit/>
        </w:trPr>
        <w:tc>
          <w:tcPr>
            <w:tcW w:type="dxa" w:w="194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CI</w:t>
            </w:r>
          </w:p>
        </w:tc>
        <w:tc>
          <w:tcPr>
            <w:tcW w:type="dxa" w:w="4464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GitHub Actions</w:t>
            </w:r>
          </w:p>
        </w:tc>
        <w:tc>
          <w:tcPr>
            <w:tcW w:type="dxa" w:w="2952"/>
          </w:tcPr>
          <w:p>
            <w:pPr>
              <w:spacing w:after="0" w:line="264" w:lineRule="auto"/>
            </w:pPr>
            <w:r>
              <w:rPr>
                <w:rFonts w:ascii="Calibri" w:hAnsi="Calibri"/>
                <w:color w:val="1C1C1C"/>
                <w:sz w:val="20"/>
              </w:rPr>
              <w:t>Compile, OCR-enabled tests, and deterministic demo run on push/PR.</w:t>
            </w:r>
          </w:p>
        </w:tc>
      </w:tr>
    </w:tbl>
    <w:p>
      <w:pPr>
        <w:spacing w:after="40"/>
      </w:pPr>
    </w:p>
    <w:p>
      <w:pPr>
        <w:pStyle w:val="Heading1"/>
      </w:pPr>
      <w:r>
        <w:t>11. Extension roadmap</w:t>
      </w:r>
    </w:p>
    <w:p>
      <w:pPr>
        <w:spacing w:after="120" w:line="300" w:lineRule="auto"/>
      </w:pPr>
      <w:r>
        <w:rPr>
          <w:rFonts w:ascii="Calibri" w:hAnsi="Calibri"/>
          <w:color w:val="1C1C1C"/>
          <w:sz w:val="22"/>
        </w:rPr>
        <w:t>The current architecture is intentionally modular. Production work can evolve each boundary without replacing the core workflow.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Replace the local JSON registry with a transactional database and object storage.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Use a production embedding model sized to the configured remote vector index.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Add user/tenant authentication, encrypted storage, secret management, quotas, and audit export.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Add asynchronous job execution, progress events, and background rendering for larger artifacts.</w:t>
      </w:r>
    </w:p>
    <w:p>
      <w:pPr>
        <w:pStyle w:val="ListBullet"/>
        <w:spacing w:after="80" w:line="300" w:lineRule="auto"/>
        <w:ind w:left="540" w:hanging="270"/>
      </w:pPr>
      <w:r>
        <w:rPr>
          <w:rFonts w:ascii="Calibri" w:hAnsi="Calibri"/>
          <w:color w:val="1C1C1C"/>
          <w:sz w:val="22"/>
        </w:rPr>
        <w:t>Deploy the same HTTP/API boundary to a hosted environment after adding operational monitoring and access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A"/>
        <w:sz w:val="17"/>
      </w:rPr>
      <w:t xml:space="preserve">Project documentation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6" w:color="2E74B5"/>
      </w:pBdr>
    </w:pPr>
    <w:r>
      <w:rPr>
        <w:rFonts w:ascii="Calibri" w:hAnsi="Calibri"/>
        <w:b/>
        <w:color w:val="5F6B7A"/>
        <w:sz w:val="17"/>
      </w:rPr>
      <w:t>ARTIFACT STUDIO  |  MULTI-AGENT DOCUMENT &amp; PPT POC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C1C1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