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Generative AI Trends Proposal</w:t>
      </w:r>
    </w:p>
    <w:p>
      <w:pPr>
        <w:jc w:val="center"/>
      </w:pPr>
      <w:r>
        <w:rPr>
          <w:i/>
        </w:rPr>
        <w:t>Research the latest Generative AI trends and create a proposal and 12-slide presentation using the same tone and style as the uploaded files.</w:t>
      </w:r>
    </w:p>
    <w:p>
      <w:pPr>
        <w:pStyle w:val="Heading1"/>
      </w:pPr>
      <w:r>
        <w:t>Executive Summary</w:t>
      </w:r>
    </w:p>
    <w:p>
      <w:r>
        <w:t>This proposal describes a research-led, retrieval-grounded path for moving Generative AI from experimentation into governed enterprise workflows.</w:t>
      </w:r>
    </w:p>
    <w:p>
      <w:pPr>
        <w:pStyle w:val="Heading1"/>
      </w:pPr>
      <w:r>
        <w:t>Market Context</w:t>
      </w:r>
    </w:p>
    <w:p>
      <w:r>
        <w:t>Generative AI is moving from experimentation into governed workflow redesign, with value depending on reliable evidence, usable interfaces, and change management.</w:t>
      </w:r>
    </w:p>
    <w:p>
      <w:pPr>
        <w:pStyle w:val="ListBullet"/>
      </w:pPr>
      <w:r>
        <w:t>Model capability and adoption continue to expand</w:t>
      </w:r>
    </w:p>
    <w:p>
      <w:pPr>
        <w:pStyle w:val="ListBullet"/>
      </w:pPr>
      <w:r>
        <w:t>Enterprise value shifts from demos to repeatable workflows</w:t>
      </w:r>
    </w:p>
    <w:p>
      <w:pPr>
        <w:pStyle w:val="ListBullet"/>
      </w:pPr>
      <w:r>
        <w:t>Evaluation, security, and provenance are becoming operating requirements</w:t>
      </w:r>
    </w:p>
    <w:p>
      <w:pPr>
        <w:pStyle w:val="Heading1"/>
      </w:pPr>
      <w:r>
        <w:t>Enterprise Opportunity</w:t>
      </w:r>
    </w:p>
    <w:p>
      <w:r>
        <w:t>The flagship offering combines discovery workshops, workflow automation, model evaluation, knowledge retrieval, and change management for regulated organizations.</w:t>
      </w:r>
    </w:p>
    <w:p>
      <w:pPr>
        <w:pStyle w:val="ListBullet"/>
      </w:pPr>
      <w:r>
        <w:t>Automate high-friction knowledge work</w:t>
      </w:r>
    </w:p>
    <w:p>
      <w:pPr>
        <w:pStyle w:val="ListBullet"/>
      </w:pPr>
      <w:r>
        <w:t>Use retrieval to ground domain-specific decisions</w:t>
      </w:r>
    </w:p>
    <w:p>
      <w:pPr>
        <w:pStyle w:val="ListBullet"/>
      </w:pPr>
      <w:r>
        <w:t>Measure time saved, quality, adoption, and risk</w:t>
      </w:r>
    </w:p>
    <w:p>
      <w:pPr>
        <w:pStyle w:val="Heading1"/>
      </w:pPr>
      <w:r>
        <w:t>Research-Led Operating Model</w:t>
      </w:r>
    </w:p>
    <w:p>
      <w:r>
        <w:t>The POC combines live research, enterprise knowledge, structured content planning, and deterministic validation before producing a file.</w:t>
      </w:r>
    </w:p>
    <w:p>
      <w:pPr>
        <w:pStyle w:val="ListBullet"/>
      </w:pPr>
      <w:r>
        <w:t>Research Agent brings in current external signals</w:t>
      </w:r>
    </w:p>
    <w:p>
      <w:pPr>
        <w:pStyle w:val="ListBullet"/>
      </w:pPr>
      <w:r>
        <w:t>Retrieval Agent adds company context</w:t>
      </w:r>
    </w:p>
    <w:p>
      <w:pPr>
        <w:pStyle w:val="ListBullet"/>
      </w:pPr>
      <w:r>
        <w:t>Validation Agent checks content and artifact structure</w:t>
      </w:r>
    </w:p>
    <w:p>
      <w:pPr>
        <w:pStyle w:val="Heading1"/>
      </w:pPr>
      <w:r>
        <w:t>Priority Use Cases</w:t>
      </w:r>
    </w:p>
    <w:p>
      <w:r>
        <w:t>Start with workflows where the organization already has repeatable inputs, clear owners, and measurable outcomes.</w:t>
      </w:r>
    </w:p>
    <w:p>
      <w:pPr>
        <w:pStyle w:val="ListBullet"/>
      </w:pPr>
      <w:r>
        <w:t>Proposal and report generation</w:t>
      </w:r>
    </w:p>
    <w:p>
      <w:pPr>
        <w:pStyle w:val="ListBullet"/>
      </w:pPr>
      <w:r>
        <w:t>Executive briefings and presentation conversion</w:t>
      </w:r>
    </w:p>
    <w:p>
      <w:pPr>
        <w:pStyle w:val="ListBullet"/>
      </w:pPr>
      <w:r>
        <w:t>Knowledge-assisted analysis and refreshes</w:t>
      </w:r>
    </w:p>
    <w:p>
      <w:pPr>
        <w:pStyle w:val="Heading1"/>
      </w:pPr>
      <w:r>
        <w:t>Responsible AI and Governance</w:t>
      </w:r>
    </w:p>
    <w:p>
      <w:r>
        <w:t>Responsible adoption requires policy, evaluation, source traceability, human review, and clear ownership of decisions.</w:t>
      </w:r>
    </w:p>
    <w:p>
      <w:pPr>
        <w:pStyle w:val="ListBullet"/>
      </w:pPr>
      <w:r>
        <w:t>Cite external and internal evidence</w:t>
      </w:r>
    </w:p>
    <w:p>
      <w:pPr>
        <w:pStyle w:val="ListBullet"/>
      </w:pPr>
      <w:r>
        <w:t>Keep a run manifest for every artifact</w:t>
      </w:r>
    </w:p>
    <w:p>
      <w:pPr>
        <w:pStyle w:val="ListBullet"/>
      </w:pPr>
      <w:r>
        <w:t>Retain prior versions for review and recovery</w:t>
      </w:r>
    </w:p>
    <w:p>
      <w:pPr>
        <w:pStyle w:val="Heading1"/>
      </w:pPr>
      <w:r>
        <w:t>Knowledge Retrieval Foundation</w:t>
      </w:r>
    </w:p>
    <w:p>
      <w:r>
        <w:t>A local vector retrieval fallback proves the contract while a Pinecone adapter can be enabled when enterprise infrastructure is available.</w:t>
      </w:r>
    </w:p>
    <w:p>
      <w:pPr>
        <w:pStyle w:val="ListBullet"/>
      </w:pPr>
      <w:r>
        <w:t>Normalize uploaded content into searchable profiles</w:t>
      </w:r>
    </w:p>
    <w:p>
      <w:pPr>
        <w:pStyle w:val="ListBullet"/>
      </w:pPr>
      <w:r>
        <w:t>Retrieve relevant enterprise context per request</w:t>
      </w:r>
    </w:p>
    <w:p>
      <w:pPr>
        <w:pStyle w:val="ListBullet"/>
      </w:pPr>
      <w:r>
        <w:t>Keep the retrieval provider behind one interface</w:t>
      </w:r>
    </w:p>
    <w:p>
      <w:pPr>
        <w:pStyle w:val="Heading1"/>
      </w:pPr>
      <w:r>
        <w:t>Template Fidelity</w:t>
      </w:r>
    </w:p>
    <w:p>
      <w:r>
        <w:t>The generator extracts structure and style from uploaded templates and carries those signals into native editable outputs.</w:t>
      </w:r>
    </w:p>
    <w:p>
      <w:pPr>
        <w:pStyle w:val="ListBullet"/>
      </w:pPr>
      <w:r>
        <w:t>Preserve document margins, fonts, sizes, and heading hierarchy</w:t>
      </w:r>
    </w:p>
    <w:p>
      <w:pPr>
        <w:pStyle w:val="ListBullet"/>
      </w:pPr>
      <w:r>
        <w:t>Preserve PPTX slide size and theme when supplied</w:t>
      </w:r>
    </w:p>
    <w:p>
      <w:pPr>
        <w:pStyle w:val="ListBullet"/>
      </w:pPr>
      <w:r>
        <w:t>Validate that generated text remains editable</w:t>
      </w:r>
    </w:p>
    <w:p>
      <w:pPr>
        <w:pStyle w:val="Heading1"/>
      </w:pPr>
      <w:r>
        <w:t>Competitive Analysis</w:t>
      </w:r>
    </w:p>
    <w:p>
      <w:r>
        <w:t>Differentiation comes from connecting research, enterprise context, editable outputs, and conversational iteration in one traceable workflow.</w:t>
      </w:r>
    </w:p>
    <w:p>
      <w:pPr>
        <w:pStyle w:val="ListBullet"/>
      </w:pPr>
      <w:r>
        <w:t>Generic assistants: broad capability, limited artifact fidelity</w:t>
      </w:r>
    </w:p>
    <w:p>
      <w:pPr>
        <w:pStyle w:val="ListBullet"/>
      </w:pPr>
      <w:r>
        <w:t>Point tools: strong output, limited research/RAG orchestration</w:t>
      </w:r>
    </w:p>
    <w:p>
      <w:pPr>
        <w:pStyle w:val="ListBullet"/>
      </w:pPr>
      <w:r>
        <w:t>This POC: modular agents with traceable artifact workflows</w:t>
      </w:r>
    </w:p>
    <w:p>
      <w:pPr>
        <w:pStyle w:val="Heading1"/>
      </w:pPr>
      <w:r>
        <w:t>Delivery Roadmap</w:t>
      </w:r>
    </w:p>
    <w:p>
      <w:r>
        <w:t>The POC provides a foundation for provider hardening, richer template cloning, and production deployment decisions.</w:t>
      </w:r>
    </w:p>
    <w:p>
      <w:pPr>
        <w:pStyle w:val="ListBullet"/>
      </w:pPr>
      <w:r>
        <w:t>Demonstrate the end-to-end sample flow</w:t>
      </w:r>
    </w:p>
    <w:p>
      <w:pPr>
        <w:pStyle w:val="ListBullet"/>
      </w:pPr>
      <w:r>
        <w:t>Add provider-backed retrieval and model calls</w:t>
      </w:r>
    </w:p>
    <w:p>
      <w:pPr>
        <w:pStyle w:val="ListBullet"/>
      </w:pPr>
      <w:r>
        <w:t>Harden security, tenancy, observability, and deployment</w:t>
      </w:r>
    </w:p>
    <w:p>
      <w:pPr>
        <w:pStyle w:val="Heading1"/>
      </w:pPr>
      <w:r>
        <w:t>Success Measures</w:t>
      </w:r>
    </w:p>
    <w:p>
      <w:r>
        <w:t>Measure whether the workflow reduces time to a reviewable artifact without sacrificing editability, provenance, or style continuity.</w:t>
      </w:r>
    </w:p>
    <w:p>
      <w:pPr>
        <w:pStyle w:val="ListBullet"/>
      </w:pPr>
      <w:r>
        <w:t>Time from upload to first artifact</w:t>
      </w:r>
    </w:p>
    <w:p>
      <w:pPr>
        <w:pStyle w:val="ListBullet"/>
      </w:pPr>
      <w:r>
        <w:t>Percentage of cited claims and validated files</w:t>
      </w:r>
    </w:p>
    <w:p>
      <w:pPr>
        <w:pStyle w:val="ListBullet"/>
      </w:pPr>
      <w:r>
        <w:t>Edit turnaround and version recovery</w:t>
      </w:r>
    </w:p>
    <w:p>
      <w:pPr>
        <w:pStyle w:val="Heading1"/>
      </w:pPr>
      <w:r>
        <w:t>Next Steps</w:t>
      </w:r>
    </w:p>
    <w:p>
      <w:r>
        <w:t>Run the sample flow, inspect the generated files, then refine content through conversational edits.</w:t>
      </w:r>
    </w:p>
    <w:p>
      <w:pPr>
        <w:pStyle w:val="ListBullet"/>
      </w:pPr>
      <w:r>
        <w:t>Upload the proposal and presentation templates</w:t>
      </w:r>
    </w:p>
    <w:p>
      <w:pPr>
        <w:pStyle w:val="ListBullet"/>
      </w:pPr>
      <w:r>
        <w:t>Request a 12-slide research-backed output</w:t>
      </w:r>
    </w:p>
    <w:p>
      <w:pPr>
        <w:pStyle w:val="ListBullet"/>
      </w:pPr>
      <w:r>
        <w:t>Use chat to add, condense, compare, and refresh</w:t>
      </w:r>
    </w:p>
    <w:p>
      <w:pPr>
        <w:pStyle w:val="Heading1"/>
      </w:pPr>
      <w:r>
        <w:t>Sources and Traceability</w:t>
      </w:r>
    </w:p>
    <w:p>
      <w:r>
        <w:t>Research sources used by the Research Agent:</w:t>
      </w:r>
    </w:p>
    <w:p>
      <w:pPr>
        <w:pStyle w:val="ListBullet"/>
      </w:pPr>
      <w:r>
        <w:t>Stanford AI Index: https://aiindex.stanford.edu/report/</w:t>
      </w:r>
    </w:p>
    <w:p>
      <w:r>
        <w:t>The AI Index tracks model capability, adoption, responsible AI, and the cost of deploying advanced systems.</w:t>
      </w:r>
    </w:p>
    <w:p>
      <w:pPr>
        <w:pStyle w:val="ListBullet"/>
      </w:pPr>
      <w:r>
        <w:t>NIST AI Risk Management Framework: https://www.nist.gov/itl/ai-risk-management-framework</w:t>
      </w:r>
    </w:p>
    <w:p>
      <w:r>
        <w:t>NIST provides a structured reference for governing, mapping, measuring, and managing AI risk.</w:t>
      </w:r>
    </w:p>
    <w:p>
      <w:pPr>
        <w:pStyle w:val="ListBullet"/>
      </w:pPr>
      <w:r>
        <w:t>McKinsey State of AI: https://www.mckinsey.com/capabilities/quantumblack/our-insights/the-state-of-ai</w:t>
      </w:r>
    </w:p>
    <w:p>
      <w:r>
        <w:t>Enterprise adoption is moving from experimentation toward workflow redesign, value measurement, and operating-model change.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 Trends Proposal</dc:title>
  <dc:subject>Generated by the Multi-Agent Document and PPT POC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