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Proposal</w:t>
      </w:r>
    </w:p>
    <w:p>
      <w:r>
        <w:t>Practical, evidence-led transformation for enterprise teams.</w:t>
      </w:r>
    </w:p>
    <w:p>
      <w:pPr>
        <w:pStyle w:val="Heading1"/>
      </w:pPr>
      <w:r>
        <w:t>Overview</w:t>
      </w:r>
    </w:p>
    <w:p>
      <w:r>
        <w:t>Our company helps organizations turn complex operating questions into measurable, governed programs.</w:t>
      </w:r>
    </w:p>
    <w:p>
      <w:pPr>
        <w:pStyle w:val="Heading1"/>
      </w:pPr>
      <w:r>
        <w:t>Approach</w:t>
      </w:r>
    </w:p>
    <w:p>
      <w:r>
        <w:t>We combine discovery, workflow design, knowledge retrieval, evaluation, and change management.</w:t>
      </w:r>
    </w:p>
    <w:p>
      <w:pPr>
        <w:pStyle w:val="ListBullet"/>
      </w:pPr>
      <w:r>
        <w:t>Evidence-led recommendations</w:t>
      </w:r>
    </w:p>
    <w:p>
      <w:pPr>
        <w:pStyle w:val="ListBullet"/>
      </w:pPr>
      <w:r>
        <w:t>Reusable operating patterns</w:t>
      </w:r>
    </w:p>
    <w:p>
      <w:pPr>
        <w:pStyle w:val="ListBullet"/>
      </w:pPr>
      <w:r>
        <w:t>Executive-ready communication</w:t>
      </w:r>
    </w:p>
    <w:p>
      <w:pPr>
        <w:pStyle w:val="Heading1"/>
      </w:pPr>
      <w:r>
        <w:t>Next Steps</w:t>
      </w:r>
    </w:p>
    <w:p>
      <w:r>
        <w:t>Align on a priority workflow, evidence sources, owners, and success measures.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