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9EF61" w14:textId="6DFC7C5D" w:rsidR="00C34C7B" w:rsidRDefault="00000000" w:rsidP="00A52825">
      <w:pPr>
        <w:jc w:val="center"/>
      </w:pPr>
      <w:r>
        <w:rPr>
          <w:b/>
        </w:rPr>
        <w:t>BUSINESS REQUIREMENTS DOCUMENT</w:t>
      </w:r>
      <w:r>
        <w:rPr>
          <w:b/>
        </w:rPr>
        <w:br/>
      </w:r>
    </w:p>
    <w:p w14:paraId="4A012DE9" w14:textId="77777777" w:rsidR="00C34C7B" w:rsidRDefault="00000000">
      <w:r>
        <w:rPr>
          <w:b/>
          <w:sz w:val="28"/>
        </w:rPr>
        <w:t>1. Executive Summary</w:t>
      </w:r>
    </w:p>
    <w:p w14:paraId="2A4B1D09" w14:textId="77777777" w:rsidR="00C34C7B" w:rsidRDefault="00000000">
      <w:pPr>
        <w:spacing w:after="120"/>
      </w:pPr>
      <w:r>
        <w:t>This document outlines the business requirements, data architecture, and analytical intent for the Insurance Claims &amp; Policy Data Platform — Bronze Layer. The bronze layer acts as the foundational ingestion tier within a Medallion architecture, capturing raw and unprocessed data from upstream operational systems.</w:t>
      </w:r>
    </w:p>
    <w:p w14:paraId="1EA5B07F" w14:textId="77777777" w:rsidR="00C34C7B" w:rsidRDefault="00000000">
      <w:pPr>
        <w:spacing w:after="120"/>
      </w:pPr>
      <w:r>
        <w:t>The platform integrates data spanning the complete insurance lifecycle, including policy issuance, premium transactions, claims registration, payment disbursements, and reserve estimations. This layer serves as the authoritative source of granular operational data.</w:t>
      </w:r>
    </w:p>
    <w:p w14:paraId="5570C3E3" w14:textId="77777777" w:rsidR="00C34C7B" w:rsidRDefault="00000000">
      <w:pPr>
        <w:spacing w:after="120"/>
      </w:pPr>
      <w:r>
        <w:t xml:space="preserve">Scope: Management of 8 Delta tables within the </w:t>
      </w:r>
      <w:proofErr w:type="spellStart"/>
      <w:r>
        <w:t>workspace.bronze</w:t>
      </w:r>
      <w:proofErr w:type="spellEnd"/>
      <w:r>
        <w:t xml:space="preserve"> schema under Unity Catalog.</w:t>
      </w:r>
    </w:p>
    <w:p w14:paraId="6217CDCE" w14:textId="77777777" w:rsidR="00C34C7B" w:rsidRDefault="00000000">
      <w:r>
        <w:rPr>
          <w:b/>
          <w:sz w:val="28"/>
        </w:rPr>
        <w:t>2. Business Context &amp; Objectives</w:t>
      </w:r>
    </w:p>
    <w:p w14:paraId="463F38B8" w14:textId="77777777" w:rsidR="00C34C7B" w:rsidRDefault="00000000">
      <w:pPr>
        <w:spacing w:after="120"/>
      </w:pPr>
      <w:r>
        <w:t>The general insurance domain requires a robust and traceable data foundation to support regulatory compliance, actuarial modeling, underwriting evaluation, and claims management optimization.</w:t>
      </w:r>
    </w:p>
    <w:p w14:paraId="026FBF5E" w14:textId="77777777" w:rsidR="00C34C7B" w:rsidRDefault="00000000">
      <w:pPr>
        <w:pStyle w:val="ListBullet"/>
      </w:pPr>
      <w:r>
        <w:t xml:space="preserve">Centralized Data Ingestion: Consolidate data from legacy systems into a unified </w:t>
      </w:r>
      <w:proofErr w:type="spellStart"/>
      <w:r>
        <w:t>lakehouse</w:t>
      </w:r>
      <w:proofErr w:type="spellEnd"/>
      <w:r>
        <w:t>.</w:t>
      </w:r>
    </w:p>
    <w:p w14:paraId="140D286E" w14:textId="77777777" w:rsidR="00C34C7B" w:rsidRDefault="00000000">
      <w:pPr>
        <w:pStyle w:val="ListBullet"/>
      </w:pPr>
      <w:r>
        <w:t>Claims Lifecycle Visibility: Track claims from initiation to closure.</w:t>
      </w:r>
    </w:p>
    <w:p w14:paraId="57D4CF0A" w14:textId="77777777" w:rsidR="00C34C7B" w:rsidRDefault="00000000">
      <w:pPr>
        <w:pStyle w:val="ListBullet"/>
      </w:pPr>
      <w:r>
        <w:t>Policy &amp; Portfolio Analysis: Enable segmentation across products and channels.</w:t>
      </w:r>
    </w:p>
    <w:p w14:paraId="1A17A3A1" w14:textId="77777777" w:rsidR="00C34C7B" w:rsidRDefault="00000000">
      <w:pPr>
        <w:pStyle w:val="ListBullet"/>
      </w:pPr>
      <w:r>
        <w:t>Regulatory &amp; Audit Compliance: Ensure lineage and auditability.</w:t>
      </w:r>
    </w:p>
    <w:p w14:paraId="466147FF" w14:textId="77777777" w:rsidR="00A52825" w:rsidRDefault="00000000" w:rsidP="00A52825">
      <w:pPr>
        <w:pStyle w:val="ListBullet"/>
      </w:pPr>
      <w:r>
        <w:t>Analytics Enablement: Support derivation of business performance indicators downstream.</w:t>
      </w:r>
    </w:p>
    <w:p w14:paraId="76C35BDE" w14:textId="5E4AE993" w:rsidR="00C34C7B" w:rsidRDefault="00A52825" w:rsidP="00A52825">
      <w:pPr>
        <w:pStyle w:val="ListBullet"/>
        <w:numPr>
          <w:ilvl w:val="0"/>
          <w:numId w:val="0"/>
        </w:numPr>
        <w:ind w:left="360"/>
      </w:pPr>
      <w:r>
        <w:rPr>
          <w:b/>
          <w:sz w:val="28"/>
        </w:rPr>
        <w:t>3</w:t>
      </w:r>
      <w:r w:rsidR="00000000">
        <w:rPr>
          <w:b/>
          <w:sz w:val="28"/>
        </w:rPr>
        <w:t>. Analytical Intent</w:t>
      </w:r>
    </w:p>
    <w:p w14:paraId="3FA83A4D" w14:textId="77777777" w:rsidR="00C34C7B" w:rsidRDefault="00000000">
      <w:pPr>
        <w:pStyle w:val="ListBullet"/>
      </w:pPr>
      <w:r>
        <w:t>Profitability Assessment: Evaluate relationship between claims and premiums.</w:t>
      </w:r>
    </w:p>
    <w:p w14:paraId="33D1701E" w14:textId="77777777" w:rsidR="00C34C7B" w:rsidRDefault="00000000">
      <w:pPr>
        <w:pStyle w:val="ListBullet"/>
      </w:pPr>
      <w:r>
        <w:t>Risk Exposure: Understand claim occurrence patterns.</w:t>
      </w:r>
    </w:p>
    <w:p w14:paraId="04C70811" w14:textId="77777777" w:rsidR="00C34C7B" w:rsidRDefault="00000000">
      <w:pPr>
        <w:pStyle w:val="ListBullet"/>
      </w:pPr>
      <w:r>
        <w:t>Claim Severity: Analyze cost trends across claims.</w:t>
      </w:r>
    </w:p>
    <w:p w14:paraId="628D2D7F" w14:textId="77777777" w:rsidR="00C34C7B" w:rsidRDefault="00000000">
      <w:pPr>
        <w:pStyle w:val="ListBullet"/>
      </w:pPr>
      <w:r>
        <w:t>Operational Efficiency: Measure lifecycle timelines.</w:t>
      </w:r>
    </w:p>
    <w:p w14:paraId="5D173940" w14:textId="77777777" w:rsidR="00C34C7B" w:rsidRDefault="00000000">
      <w:pPr>
        <w:pStyle w:val="ListBullet"/>
      </w:pPr>
      <w:r>
        <w:t>Reserve Adequacy: Compare reserves with actual payouts.</w:t>
      </w:r>
    </w:p>
    <w:p w14:paraId="5EFC3D77" w14:textId="77777777" w:rsidR="00C34C7B" w:rsidRDefault="00000000">
      <w:pPr>
        <w:pStyle w:val="ListBullet"/>
      </w:pPr>
      <w:r>
        <w:t>Expense Efficiency: Evaluate costs relative to premiums.</w:t>
      </w:r>
    </w:p>
    <w:p w14:paraId="0DCEE9AE" w14:textId="77777777" w:rsidR="00C34C7B" w:rsidRDefault="00000000">
      <w:pPr>
        <w:pStyle w:val="ListBullet"/>
      </w:pPr>
      <w:r>
        <w:t>Distribution Performance: Analyze agent/channel effectiveness.</w:t>
      </w:r>
    </w:p>
    <w:p w14:paraId="55E77DD1" w14:textId="77777777" w:rsidR="00C34C7B" w:rsidRDefault="00000000">
      <w:pPr>
        <w:pStyle w:val="ListBullet"/>
      </w:pPr>
      <w:r>
        <w:t>Portfolio Value: Assess premium contribution per policy.</w:t>
      </w:r>
    </w:p>
    <w:p w14:paraId="2CD2B150" w14:textId="77777777" w:rsidR="00C34C7B" w:rsidRDefault="00000000">
      <w:r>
        <w:rPr>
          <w:b/>
          <w:sz w:val="28"/>
        </w:rPr>
        <w:t>5. Data Governance</w:t>
      </w:r>
    </w:p>
    <w:p w14:paraId="29E9239A" w14:textId="77777777" w:rsidR="00C34C7B" w:rsidRDefault="00000000">
      <w:pPr>
        <w:pStyle w:val="ListBullet"/>
      </w:pPr>
      <w:r>
        <w:t>Maintain data lineage and timestamps.</w:t>
      </w:r>
    </w:p>
    <w:p w14:paraId="7007A71B" w14:textId="77777777" w:rsidR="00C34C7B" w:rsidRDefault="00000000">
      <w:pPr>
        <w:pStyle w:val="ListBullet"/>
      </w:pPr>
      <w:r>
        <w:t>Preserve raw data with minimal transformation.</w:t>
      </w:r>
    </w:p>
    <w:p w14:paraId="70A2A0AE" w14:textId="77777777" w:rsidR="00C34C7B" w:rsidRDefault="00000000">
      <w:pPr>
        <w:pStyle w:val="ListBullet"/>
      </w:pPr>
      <w:r>
        <w:t>Ensure auditability and immutability.</w:t>
      </w:r>
    </w:p>
    <w:p w14:paraId="29FB2661" w14:textId="77777777" w:rsidR="00C34C7B" w:rsidRDefault="00000000">
      <w:pPr>
        <w:pStyle w:val="ListBullet"/>
      </w:pPr>
      <w:r>
        <w:t>Ingest complete data from source systems.</w:t>
      </w:r>
    </w:p>
    <w:p w14:paraId="22FC11C2" w14:textId="77777777" w:rsidR="00C34C7B" w:rsidRDefault="00000000">
      <w:r>
        <w:rPr>
          <w:b/>
          <w:sz w:val="28"/>
        </w:rPr>
        <w:lastRenderedPageBreak/>
        <w:t>6. Assumptions &amp; Constraints</w:t>
      </w:r>
    </w:p>
    <w:p w14:paraId="3B4213FF" w14:textId="77777777" w:rsidR="00C34C7B" w:rsidRDefault="00000000">
      <w:pPr>
        <w:pStyle w:val="ListBullet"/>
      </w:pPr>
      <w:r>
        <w:t>Consistent identifiers across systems.</w:t>
      </w:r>
    </w:p>
    <w:p w14:paraId="7105F347" w14:textId="77777777" w:rsidR="00C34C7B" w:rsidRDefault="00000000">
      <w:pPr>
        <w:pStyle w:val="ListBullet"/>
      </w:pPr>
      <w:r>
        <w:t>No transformations at bronze layer.</w:t>
      </w:r>
    </w:p>
    <w:p w14:paraId="0C52DC3D" w14:textId="77777777" w:rsidR="00C34C7B" w:rsidRDefault="00000000">
      <w:pPr>
        <w:pStyle w:val="ListBullet"/>
      </w:pPr>
      <w:r>
        <w:t>Data quality handled downstream.</w:t>
      </w:r>
    </w:p>
    <w:p w14:paraId="61D7C3EF" w14:textId="77777777" w:rsidR="00C34C7B" w:rsidRDefault="00000000">
      <w:r>
        <w:rPr>
          <w:b/>
          <w:sz w:val="28"/>
        </w:rPr>
        <w:t>7. Conclusion</w:t>
      </w:r>
    </w:p>
    <w:p w14:paraId="2D84955F" w14:textId="77777777" w:rsidR="00C34C7B" w:rsidRDefault="00000000">
      <w:pPr>
        <w:spacing w:after="120"/>
      </w:pPr>
      <w:r>
        <w:t>The Bronze Layer provides a scalable and governed foundation for downstream analytics, ensuring accurate derivation of insights related to profitability, risk, and operational performance.</w:t>
      </w:r>
    </w:p>
    <w:sectPr w:rsidR="00C34C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3520578">
    <w:abstractNumId w:val="8"/>
  </w:num>
  <w:num w:numId="2" w16cid:durableId="582838399">
    <w:abstractNumId w:val="6"/>
  </w:num>
  <w:num w:numId="3" w16cid:durableId="1657302647">
    <w:abstractNumId w:val="5"/>
  </w:num>
  <w:num w:numId="4" w16cid:durableId="95291822">
    <w:abstractNumId w:val="4"/>
  </w:num>
  <w:num w:numId="5" w16cid:durableId="808131997">
    <w:abstractNumId w:val="7"/>
  </w:num>
  <w:num w:numId="6" w16cid:durableId="75442820">
    <w:abstractNumId w:val="3"/>
  </w:num>
  <w:num w:numId="7" w16cid:durableId="143088936">
    <w:abstractNumId w:val="2"/>
  </w:num>
  <w:num w:numId="8" w16cid:durableId="1117985006">
    <w:abstractNumId w:val="1"/>
  </w:num>
  <w:num w:numId="9" w16cid:durableId="56099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1BC5"/>
    <w:rsid w:val="00A52825"/>
    <w:rsid w:val="00AA1D8D"/>
    <w:rsid w:val="00AD7DA6"/>
    <w:rsid w:val="00B47730"/>
    <w:rsid w:val="00C34C7B"/>
    <w:rsid w:val="00CB0664"/>
    <w:rsid w:val="00F777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4F93F"/>
  <w14:defaultImageDpi w14:val="300"/>
  <w15:docId w15:val="{E51938EB-2C49-442C-B07A-27FD8EA45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Kushal Sen Laskar (BLR GSS)</cp:lastModifiedBy>
  <cp:revision>3</cp:revision>
  <dcterms:created xsi:type="dcterms:W3CDTF">2013-12-23T23:15:00Z</dcterms:created>
  <dcterms:modified xsi:type="dcterms:W3CDTF">2026-04-01T09:49:00Z</dcterms:modified>
  <cp:category/>
</cp:coreProperties>
</file>