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pPr>
      <w:r>
        <w:rPr>
          <w:rFonts w:ascii="Calibri" w:hAnsi="Calibri"/>
          <w:b/>
          <w:color w:val="2E74B5"/>
          <w:sz w:val="22"/>
        </w:rPr>
        <w:t>TECHNICAL DESIGN</w:t>
      </w:r>
    </w:p>
    <w:p>
      <w:pPr>
        <w:spacing w:after="160"/>
      </w:pPr>
      <w:r>
        <w:rPr>
          <w:rFonts w:ascii="Calibri" w:hAnsi="Calibri"/>
          <w:b/>
          <w:color w:val="17365D"/>
          <w:sz w:val="56"/>
        </w:rPr>
        <w:t>Production Metadata-Driven</w:t>
        <w:br/>
        <w:t>Data Lake Ingestion Framework</w:t>
      </w:r>
    </w:p>
    <w:p>
      <w:pPr>
        <w:spacing w:after="600"/>
      </w:pPr>
      <w:r>
        <w:rPr>
          <w:rFonts w:ascii="Calibri" w:hAnsi="Calibri"/>
          <w:color w:val="5F6368"/>
          <w:sz w:val="28"/>
        </w:rPr>
        <w:t>Database-first implementation with a portable path to SFTP, ADLS/S3 and REST APIs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before="0" w:after="40" w:line="240" w:lineRule="auto"/>
            </w:pPr>
            <w:r>
              <w:rPr>
                <w:rFonts w:ascii="Calibri" w:hAnsi="Calibri"/>
                <w:b/>
                <w:color w:val="202124"/>
                <w:sz w:val="20"/>
              </w:rPr>
              <w:t>Document</w:t>
            </w:r>
          </w:p>
        </w:tc>
        <w:tc>
          <w:tcPr>
            <w:tcW w:type="dxa" w:w="6660"/>
            <w:tcMar>
              <w:top w:w="80" w:type="dxa"/>
              <w:start w:w="120" w:type="dxa"/>
              <w:bottom w:w="80" w:type="dxa"/>
              <w:end w:w="120" w:type="dxa"/>
            </w:tcMar>
            <w:vAlign w:val="center"/>
            <w:shd w:fill="F2F4F7"/>
          </w:tcPr>
          <w:p>
            <w:pPr>
              <w:spacing w:before="0" w:after="40" w:line="240" w:lineRule="auto"/>
            </w:pPr>
            <w:r>
              <w:rPr>
                <w:rFonts w:ascii="Calibri" w:hAnsi="Calibri"/>
                <w:b/>
                <w:color w:val="202124"/>
                <w:sz w:val="20"/>
              </w:rPr>
              <w:t>Value</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Status</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Proposed design - no application code changes</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Version</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1.0</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Date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05 August 2026</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Repository</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AstraDataV3</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Authoritative metadata boundary</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Eight tables in the selected target platform</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Initial source scope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JDBC / database tables and controlled queries</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Target platforms</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Databricks, Snowflake and Microsoft Fabric</w:t>
            </w:r>
          </w:p>
        </w:tc>
      </w:tr>
    </w:tbl>
    <w:p>
      <w:pPr>
        <w:spacing w:after="0"/>
      </w:pPr>
    </w:p>
    <w:p>
      <w:pPr>
        <w:spacing w:before="80" w:after="160" w:line="264" w:lineRule="auto"/>
        <w:ind w:left="115" w:right="115"/>
        <w:shd w:fill="FFF4D6"/>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Core decision: </w:t>
      </w:r>
      <w:r>
        <w:rPr>
          <w:rFonts w:ascii="Calibri" w:hAnsi="Calibri"/>
          <w:color w:val="202124"/>
          <w:sz w:val="21"/>
        </w:rPr>
        <w:t>Design-time AI artifacts remain in the existing application store. Only approved, executable configuration is materialized into the four cfg_* tables. The four ctl_* tables begin at data-execution handoff, except watermark initialization for stateful objects.</w:t>
      </w:r>
    </w:p>
    <w:p>
      <w:r>
        <w:br w:type="page"/>
      </w:r>
    </w:p>
    <w:p>
      <w:pPr>
        <w:pStyle w:val="Heading1"/>
        <w:keepNext/>
      </w:pPr>
      <w:r>
        <w:t>1. Executive Summary</w:t>
      </w:r>
    </w:p>
    <w:p>
      <w:r>
        <w:t>AstraDataV3 currently provides a BRD-to-code workflow with requirements extraction, KPI analysis, table nomination, metadata discovery, deterministic column profiling, semantic enrichment, HITL gates and Bronze/Silver/Gold generation. It does not yet use the proposed eight-table metadata model as its execution authority. This design introduces that authority without replacing the useful application workflow.</w:t>
      </w:r>
    </w:p>
    <w:p>
      <w:r>
        <w:t>The solution uses a common logical workflow and metadata contract across Databricks, Snowflake and Fabric. The selected target platform owns its metadata tables and all metadata reads and writes. Platform-specific repository adapters implement equivalent atomic operations. Database ingestion is delivered first; later connectors and parsers plug into the same orchestration lifecycle.</w:t>
      </w:r>
    </w:p>
    <w:p>
      <w:pPr>
        <w:spacing w:before="80" w:after="160" w:line="264" w:lineRule="auto"/>
        <w:ind w:left="115" w:right="115"/>
        <w:shd w:fill="E8EEF5"/>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Recommended architecture: </w:t>
      </w:r>
      <w:r>
        <w:rPr>
          <w:rFonts w:ascii="Calibri" w:hAnsi="Calibri"/>
          <w:color w:val="202124"/>
          <w:sz w:val="21"/>
        </w:rPr>
        <w:t>Keep ai_store, kpi_checkpoints, brd_run_registry and hitl_review_queue as design-workflow tables. Materialize only approved execution instructions into cfg_source_system, cfg_connection, cfg_ingestion_object and cfg_mapping. Track actual data work in ctl_ingestion_queue, ctl_run, ctl_error_log and ctl_watermark.</w:t>
      </w:r>
    </w:p>
    <w:p>
      <w:pPr>
        <w:pStyle w:val="Heading2"/>
        <w:keepNext/>
      </w:pPr>
      <w:r>
        <w:t>1.1 Key design decisions</w:t>
      </w:r>
    </w:p>
    <w:p>
      <w:pPr>
        <w:pStyle w:val="ListBullet"/>
      </w:pPr>
      <w:r>
        <w:t>The eight supplied metadata tables are the only ingestion metadata and runtime-control tables; no ninth metadata table is introduced.</w:t>
      </w:r>
    </w:p>
    <w:p>
      <w:pPr>
        <w:pStyle w:val="ListBullet"/>
      </w:pPr>
      <w:r>
        <w:t>Metadata is physically hosted in the selected target platform, and a target-specific repository adapter is selected before the first metadata operation.</w:t>
      </w:r>
    </w:p>
    <w:p>
      <w:pPr>
        <w:pStyle w:val="ListBullet"/>
      </w:pPr>
      <w:r>
        <w:t>Raw LLM output, nomination evidence, profiling metrics and generated artifacts remain application artifacts. Runtime never depends on ai_store.</w:t>
      </w:r>
    </w:p>
    <w:p>
      <w:pPr>
        <w:pStyle w:val="ListBullet"/>
      </w:pPr>
      <w:r>
        <w:t>One cfg_ingestion_object represents one independently executable and retryable stage target. Seven selected source tables initially produce seven SOURCE_TO_BRONZE objects; later Silver and Gold targets receive their own execution objects.</w:t>
      </w:r>
    </w:p>
    <w:p>
      <w:pPr>
        <w:pStyle w:val="ListBullet"/>
      </w:pPr>
      <w:r>
        <w:t>cfg_mapping contains one row per output column per processing stage. Each generated stage consumes only approved, active and version-matched mappings.</w:t>
      </w:r>
    </w:p>
    <w:p>
      <w:pPr>
        <w:pStyle w:val="ListBullet"/>
      </w:pPr>
      <w:r>
        <w:t>LLMs propose mappings and models; deterministic validation and HITL approve them. The recurring execution path is deterministic.</w:t>
      </w:r>
    </w:p>
    <w:p>
      <w:pPr>
        <w:pStyle w:val="ListBullet"/>
      </w:pPr>
      <w:r>
        <w:t>Watermarks advance only after the required target commit and blocking validation have succeeded.</w:t>
      </w:r>
    </w:p>
    <w:p>
      <w:pPr>
        <w:pStyle w:val="Heading1"/>
        <w:keepNext/>
      </w:pPr>
      <w:r>
        <w:t>2. Scope and Boundaries</w:t>
      </w:r>
    </w:p>
    <w:p>
      <w:pPr>
        <w:pStyle w:val="Heading2"/>
        <w:keepNext/>
      </w:pPr>
      <w:r>
        <w:t>2.1 In scope</w:t>
      </w:r>
    </w:p>
    <w:p>
      <w:pPr>
        <w:pStyle w:val="ListBullet"/>
      </w:pPr>
      <w:r>
        <w:t>Database-source onboarding, discovery, mapping design, code generation and runtime control.</w:t>
      </w:r>
    </w:p>
    <w:p>
      <w:pPr>
        <w:pStyle w:val="ListBullet"/>
      </w:pPr>
      <w:r>
        <w:t>Bronze, Silver and Gold configuration and dependency-aware execution.</w:t>
      </w:r>
    </w:p>
    <w:p>
      <w:pPr>
        <w:pStyle w:val="ListBullet"/>
      </w:pPr>
      <w:r>
        <w:t>Portable metadata repositories for Databricks, Snowflake and Fabric.</w:t>
      </w:r>
    </w:p>
    <w:p>
      <w:pPr>
        <w:pStyle w:val="ListBullet"/>
      </w:pPr>
      <w:r>
        <w:t>Future extension points for SFTP, ADLS/S3, REST APIs and CSV, JSON, XML, Parquet, Avro, Excel and archive payloads.</w:t>
      </w:r>
    </w:p>
    <w:p>
      <w:pPr>
        <w:pStyle w:val="ListBullet"/>
      </w:pPr>
      <w:r>
        <w:t>Configuration versioning, queue claims, retries, lineage, idempotency, error handling and watermark recovery.</w:t>
      </w:r>
    </w:p>
    <w:p>
      <w:pPr>
        <w:pStyle w:val="Heading2"/>
        <w:keepNext/>
      </w:pPr>
      <w:r>
        <w:t>2.2 Explicitly outside the eight-table metadata boundary</w:t>
      </w:r>
    </w:p>
    <w:p>
      <w:r>
        <w:t>The following are application/design artifacts and remain in the existing application database or artifact storage:</w:t>
      </w:r>
    </w:p>
    <w:p>
      <w:pPr>
        <w:pStyle w:val="ListBullet"/>
      </w:pPr>
      <w:r>
        <w:t>BRD documents, prompts, full LLM responses and design-workflow checkpoints.</w:t>
      </w:r>
    </w:p>
    <w:p>
      <w:pPr>
        <w:pStyle w:val="ListBullet"/>
      </w:pPr>
      <w:r>
        <w:t>KPI extraction output, table-nomination evidence and human-review queues.</w:t>
      </w:r>
    </w:p>
    <w:p>
      <w:pPr>
        <w:pStyle w:val="ListBullet"/>
      </w:pPr>
      <w:r>
        <w:t>Detailed profiling statistics, sample values and semantic-enrichment evidence.</w:t>
      </w:r>
    </w:p>
    <w:p>
      <w:pPr>
        <w:pStyle w:val="ListBullet"/>
      </w:pPr>
      <w:r>
        <w:t>Generated source files, notebooks, dbt projects, packages or deployment bundles.</w:t>
      </w:r>
    </w:p>
    <w:p>
      <w:pPr>
        <w:spacing w:before="80" w:after="160" w:line="264" w:lineRule="auto"/>
        <w:ind w:left="115" w:right="115"/>
        <w:shd w:fill="FFF4D6"/>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Boundary rule: </w:t>
      </w:r>
      <w:r>
        <w:rPr>
          <w:rFonts w:ascii="Calibri" w:hAnsi="Calibri"/>
          <w:color w:val="202124"/>
          <w:sz w:val="21"/>
        </w:rPr>
        <w:t>Application artifacts may explain how configuration was produced, but the generated pipeline must be executable from the eight target-resident metadata tables plus the registered deployment artifact. ai_store is not an execution dependency.</w:t>
      </w:r>
    </w:p>
    <w:p>
      <w:pPr>
        <w:pStyle w:val="Heading1"/>
        <w:keepNext/>
      </w:pPr>
      <w:r>
        <w:t>3. Current Codebase Baseline</w:t>
      </w:r>
    </w:p>
    <w:tbl>
      <w:tblPr>
        <w:tblStyle w:val="TableGrid"/>
        <w:tblW w:type="dxa" w:w="9360"/>
        <w:tblLayout w:type="fixed"/>
        <w:tblLook w:firstColumn="1" w:firstRow="1" w:lastColumn="0" w:lastRow="0" w:noHBand="0" w:noVBand="1" w:val="04A0"/>
        <w:tblInd w:w="120" w:type="dxa"/>
      </w:tblPr>
      <w:tblGrid>
        <w:gridCol w:w="2200"/>
        <w:gridCol w:w="1200"/>
        <w:gridCol w:w="5960"/>
      </w:tblGrid>
      <w:tr>
        <w:trPr>
          <w:tblHeader w:val="true"/>
        </w:trPr>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Capability</w:t>
            </w:r>
          </w:p>
        </w:tc>
        <w:tc>
          <w:tcPr>
            <w:tcW w:type="dxa" w:w="1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State</w:t>
            </w:r>
          </w:p>
        </w:tc>
        <w:tc>
          <w:tcPr>
            <w:tcW w:type="dxa" w:w="59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Evidence-based assessment</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BRD and AI workflow</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LangGraph stages cover ingestion, requirements, KPI extraction, nomination, discovery, profiling, enrichment and layer generation.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Application persistence</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brd_run_registry, kpi_checkpoints, ai_store and hitl_review_queue support design-workflow state and approvals.</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Database profiling</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Profiles approved discovered columns through SQL pushdown and stores COLUMN_PROFILES in ai_store.</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 merge-key review</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A resolution and review boundary already exists and can be expanded into Bronze-to-Silver mapping resolution.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Eight-table integration</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No current code path treats cfg_* and ctl_* as authoritative configuration and runtime state.</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Portable metadata repository</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Current persistence is tied to existing application/database utilities rather than target-resident metadata adapters.</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Generic data worker</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The codebase is primarily a design/code-generation workflow, not a queue-driven generic ingestion runtime.</w:t>
            </w:r>
          </w:p>
        </w:tc>
      </w:tr>
    </w:tbl>
    <w:p>
      <w:pPr>
        <w:spacing w:after="0"/>
      </w:pPr>
    </w:p>
    <w:p>
      <w:pPr>
        <w:pStyle w:val="Heading2"/>
        <w:keepNext/>
      </w:pPr>
      <w:r>
        <w:t>3.1 Existing profiling behavior</w:t>
      </w:r>
    </w:p>
    <w:p>
      <w:r>
        <w:t>The current database profiling node operates after metadata discovery and only on completed discovered tables. It:</w:t>
      </w:r>
    </w:p>
    <w:p>
      <w:pPr>
        <w:pStyle w:val="ListBullet"/>
      </w:pPr>
      <w:r>
        <w:t>Classifies columns as ID, AUDIT, FLAG, DATE, MEASURE, DIMENSION or DEFAULT using datatype, semantic hints and column-name rules.</w:t>
      </w:r>
    </w:p>
    <w:p>
      <w:pPr>
        <w:pStyle w:val="ListBullet"/>
      </w:pPr>
      <w:r>
        <w:t>Runs a consolidated full-table aggregate for row count, non-null count, null rate, distinct count where supported, and min/max for date and numeric columns.</w:t>
      </w:r>
    </w:p>
    <w:p>
      <w:pPr>
        <w:pStyle w:val="ListBullet"/>
      </w:pPr>
      <w:r>
        <w:t>Runs sampled 25th and 75th percentiles for MEASURE columns.</w:t>
      </w:r>
    </w:p>
    <w:p>
      <w:pPr>
        <w:pStyle w:val="ListBullet"/>
      </w:pPr>
      <w:r>
        <w:t>Falls back to per-column scans if the consolidated table aggregate fails, and records partial or failed profiling status.</w:t>
      </w:r>
    </w:p>
    <w:p>
      <w:pPr>
        <w:pStyle w:val="ListBullet"/>
      </w:pPr>
      <w:r>
        <w:t>Stores COLUMN_PROFILES in ai_store and workflow checkpoints. It does not currently create cfg_mapping rows.</w:t>
      </w:r>
    </w:p>
    <w:p>
      <w:pPr>
        <w:spacing w:before="80" w:after="160" w:line="264" w:lineRule="auto"/>
        <w:ind w:left="115" w:right="115"/>
        <w:shd w:fill="E8EEF5"/>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Design treatment: </w:t>
      </w:r>
      <w:r>
        <w:rPr>
          <w:rFonts w:ascii="Calibri" w:hAnsi="Calibri"/>
          <w:color w:val="202124"/>
          <w:sz w:val="21"/>
        </w:rPr>
        <w:t>Keep detailed profiles in ai_store. Use the approved outcome only to propose source/target types, key participation, transformations and validation rules in cfg_mapping.</w:t>
      </w:r>
    </w:p>
    <w:p>
      <w:pPr>
        <w:pStyle w:val="Heading1"/>
        <w:keepNext/>
      </w:pPr>
      <w:r>
        <w:t>4. Target Architecture</w:t>
      </w:r>
    </w:p>
    <w:p>
      <w:pPr>
        <w:spacing w:after="160"/>
        <w:jc w:val="center"/>
      </w:pPr>
      <w:r>
        <w:drawing>
          <wp:inline xmlns:a="http://schemas.openxmlformats.org/drawingml/2006/main" xmlns:pic="http://schemas.openxmlformats.org/drawingml/2006/picture">
            <wp:extent cx="5897880" cy="3407664"/>
            <wp:docPr id="1" name="Picture 1" descr="Three-lane architecture showing application design, target-resident metadata and data execution control flow." title="Metadata-driven ingestion architecture overview"/>
            <wp:cNvGraphicFramePr>
              <a:graphicFrameLocks noChangeAspect="1"/>
            </wp:cNvGraphicFramePr>
            <a:graphic>
              <a:graphicData uri="http://schemas.openxmlformats.org/drawingml/2006/picture">
                <pic:pic>
                  <pic:nvPicPr>
                    <pic:cNvPr id="0" name="metadata-architecture-overview.png"/>
                    <pic:cNvPicPr/>
                  </pic:nvPicPr>
                  <pic:blipFill>
                    <a:blip r:embed="rId11"/>
                    <a:stretch>
                      <a:fillRect/>
                    </a:stretch>
                  </pic:blipFill>
                  <pic:spPr>
                    <a:xfrm>
                      <a:off x="0" y="0"/>
                      <a:ext cx="5897880" cy="3407664"/>
                    </a:xfrm>
                    <a:prstGeom prst="rect"/>
                  </pic:spPr>
                </pic:pic>
              </a:graphicData>
            </a:graphic>
          </wp:inline>
        </w:drawing>
      </w:r>
    </w:p>
    <w:p>
      <w:pPr>
        <w:spacing w:before="0" w:after="160"/>
        <w:jc w:val="center"/>
      </w:pPr>
      <w:r>
        <w:rPr>
          <w:rFonts w:ascii="Calibri" w:hAnsi="Calibri"/>
          <w:i/>
          <w:color w:val="5F6368"/>
          <w:sz w:val="18"/>
        </w:rPr>
        <w:t>Figure 1. Design-time application flow, target-resident metadata and runtime-control boundary</w:t>
      </w:r>
    </w:p>
    <w:p>
      <w:pPr>
        <w:pStyle w:val="Heading2"/>
        <w:keepNext/>
      </w:pPr>
      <w:r>
        <w:t>4.1 Architectural layers</w:t>
      </w:r>
    </w:p>
    <w:tbl>
      <w:tblPr>
        <w:tblStyle w:val="TableGrid"/>
        <w:tblW w:type="dxa" w:w="9360"/>
        <w:tblLayout w:type="fixed"/>
        <w:tblLook w:firstColumn="1" w:firstRow="1" w:lastColumn="0" w:lastRow="0" w:noHBand="0" w:noVBand="1" w:val="04A0"/>
        <w:tblInd w:w="120" w:type="dxa"/>
      </w:tblPr>
      <w:tblGrid>
        <w:gridCol w:w="1850"/>
        <w:gridCol w:w="4300"/>
        <w:gridCol w:w="3210"/>
      </w:tblGrid>
      <w:tr>
        <w:trPr>
          <w:tblHeader w:val="true"/>
        </w:trPr>
        <w:tc>
          <w:tcPr>
            <w:tcW w:type="dxa" w:w="185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Layer</w:t>
            </w:r>
          </w:p>
        </w:tc>
        <w:tc>
          <w:tcPr>
            <w:tcW w:type="dxa" w:w="4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Responsibility</w:t>
            </w:r>
          </w:p>
        </w:tc>
        <w:tc>
          <w:tcPr>
            <w:tcW w:type="dxa" w:w="321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Persistence</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Application design plane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BRD, KPI, nomination, profiling, enrichment, mapping/model proposal, HITL and code generation.</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Existing application tables and artifact storage.</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Target metadata plane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Approved source, connection, object and mapping configuration; queue, run, error and watermark state.</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Exactly eight tables in the selected target platform.</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Execution plane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Queue-driven workers, source connectors, transformation engine, validators and target writers.</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Packaged jobs/services; no notebook dependency is required.</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Platform edge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Target DDL, transaction semantics, secret provider, compiler and execution adapter.</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Databricks, Snowflake or Fabric implementation selected once per project/run context.</w:t>
            </w:r>
          </w:p>
        </w:tc>
      </w:tr>
    </w:tbl>
    <w:p>
      <w:pPr>
        <w:spacing w:after="0"/>
      </w:pPr>
    </w:p>
    <w:p>
      <w:pPr>
        <w:pStyle w:val="Heading1"/>
        <w:keepNext/>
      </w:pPr>
      <w:r>
        <w:t>5. Authoritative Metadata Model</w:t>
      </w:r>
    </w:p>
    <w:tbl>
      <w:tblPr>
        <w:tblStyle w:val="TableGrid"/>
        <w:tblW w:type="dxa" w:w="9360"/>
        <w:tblLayout w:type="fixed"/>
        <w:tblLook w:firstColumn="1" w:firstRow="1" w:lastColumn="0" w:lastRow="0" w:noHBand="0" w:noVBand="1" w:val="04A0"/>
        <w:tblInd w:w="120" w:type="dxa"/>
      </w:tblPr>
      <w:tblGrid>
        <w:gridCol w:w="2250"/>
        <w:gridCol w:w="2700"/>
        <w:gridCol w:w="4410"/>
      </w:tblGrid>
      <w:tr>
        <w:trPr>
          <w:tblHeader w:val="true"/>
        </w:trPr>
        <w:tc>
          <w:tcPr>
            <w:tcW w:type="dxa" w:w="22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w:t>
            </w:r>
          </w:p>
        </w:tc>
        <w:tc>
          <w:tcPr>
            <w:tcW w:type="dxa" w:w="27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Role</w:t>
            </w:r>
          </w:p>
        </w:tc>
        <w:tc>
          <w:tcPr>
            <w:tcW w:type="dxa" w:w="44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Stored information</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cfg_source_system</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Logical producer and ownership</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Application/vendor name, business domain, owner, description and activation.</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cfg_connection</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Physical connectivity contract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Connector type, endpoint fields, authentication type, secret references, validated config_json, version and hash.</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cfg_ingestion_object</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Executable dataset/stage contract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Source resource, format, stage, load/checkpoint policy, target, write strategy, dependencies, validation and version.</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cfg_mapping</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Column/stage execution rules</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Source path/type, target column/type, key/null/array behavior, controlled transformation, validation and Gold join/aggregation metadata.</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ctl_ingestion_queue</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Bounded logical work request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Scope, idempotency identity, priority, lease, attempts, retries and frozen snapshot reference.</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One execution attempt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Queue lineage, configuration versions, current phase, metrics, target commit, validation and watermark status.</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ctl_error_log</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Safe runtime diagnostics</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Stage, error code/message/detail, severity, retryability and attempt lineage without secrets or payload leakage.</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ctl_watermark</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Committed extraction checkpoint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Committed/candidate position, run ownership, boundary semantics and optimistic version.</w:t>
            </w:r>
          </w:p>
        </w:tc>
      </w:tr>
    </w:tbl>
    <w:p>
      <w:pPr>
        <w:spacing w:after="0"/>
      </w:pPr>
    </w:p>
    <w:p>
      <w:pPr>
        <w:pStyle w:val="Heading2"/>
        <w:keepNext/>
      </w:pPr>
      <w:r>
        <w:t>5.1 Identifier and relationship policy</w:t>
      </w:r>
    </w:p>
    <w:p>
      <w:r>
        <w:t>The supplied identifiers are ordinary BIGINT or STRING columns. The implementation must not use MAX(id)+1. Each target adapter should use a platform-native identity/sequence where safe and return the allocated identifier. If a target cannot provide a suitable primitive, the application may issue collision-checked 63-bit identifiers. Logical uniqueness and foreign-key relationships are validated in the repository service because platform tables may not enforce them.</w:t>
      </w:r>
    </w:p>
    <w:p>
      <w:pPr>
        <w:pStyle w:val="Heading2"/>
        <w:keepNext/>
      </w:pPr>
      <w:r>
        <w:t>5.2 Configuration version lifecycle</w:t>
      </w:r>
    </w:p>
    <w:p>
      <w:pPr>
        <w:pStyle w:val="ListNumber"/>
      </w:pPr>
      <w:r>
        <w:t>Create proposed object and mapping versions with active_flag = false.</w:t>
      </w:r>
    </w:p>
    <w:p>
      <w:pPr>
        <w:pStyle w:val="ListNumber"/>
      </w:pPr>
      <w:r>
        <w:t>Validate required columns, relationship consistency, JSON contracts, target names, transformation allow-list and secret references.</w:t>
      </w:r>
    </w:p>
    <w:p>
      <w:pPr>
        <w:pStyle w:val="ListNumber"/>
      </w:pPr>
      <w:r>
        <w:t>After HITL approval, atomically expire the previous effective version and activate the new object/mapping set.</w:t>
      </w:r>
    </w:p>
    <w:p>
      <w:pPr>
        <w:pStyle w:val="ListNumber"/>
      </w:pPr>
      <w:r>
        <w:t>Queue creation resolves metadata_snapshot_id; ctl_run records connection, object and mapping versions plus metadata_hash.</w:t>
      </w:r>
    </w:p>
    <w:p>
      <w:pPr>
        <w:pStyle w:val="ListNumber"/>
      </w:pPr>
      <w:r>
        <w:t>A running attempt uses one frozen configuration snapshot and never re-reads a newer active mapping halfway through execution.</w:t>
      </w:r>
    </w:p>
    <w:p>
      <w:pPr>
        <w:pStyle w:val="Heading1"/>
        <w:keepNext/>
      </w:pPr>
      <w:r>
        <w:t>6. Configuration and Code-Generation Lifecycle</w:t>
      </w:r>
    </w:p>
    <w:p>
      <w:pPr>
        <w:pStyle w:val="Heading2"/>
        <w:keepNext/>
      </w:pPr>
      <w:r>
        <w:t>6.1 Platform bootstrap and onboarding</w:t>
      </w:r>
    </w:p>
    <w:tbl>
      <w:tblPr>
        <w:tblStyle w:val="TableGrid"/>
        <w:tblW w:type="dxa" w:w="9360"/>
        <w:tblLayout w:type="fixed"/>
        <w:tblLook w:firstColumn="1" w:firstRow="1" w:lastColumn="0" w:lastRow="0" w:noHBand="0" w:noVBand="1" w:val="04A0"/>
        <w:tblInd w:w="120" w:type="dxa"/>
      </w:tblPr>
      <w:tblGrid>
        <w:gridCol w:w="500"/>
        <w:gridCol w:w="2050"/>
        <w:gridCol w:w="4350"/>
        <w:gridCol w:w="2460"/>
      </w:tblGrid>
      <w:tr>
        <w:trPr>
          <w:tblHeader w:val="true"/>
        </w:trPr>
        <w:tc>
          <w:tcPr>
            <w:tcW w:type="dxa" w:w="5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w:t>
            </w:r>
          </w:p>
        </w:tc>
        <w:tc>
          <w:tcPr>
            <w:tcW w:type="dxa" w:w="2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Stage</w:t>
            </w:r>
          </w:p>
        </w:tc>
        <w:tc>
          <w:tcPr>
            <w:tcW w:type="dxa" w:w="435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Configuration action</w:t>
            </w:r>
          </w:p>
        </w:tc>
        <w:tc>
          <w:tcPr>
            <w:tcW w:type="dxa" w:w="24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Tables</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0</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Select target platform</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Resolve Databricks, Snowflake or Fabric context before metadata access.</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Application project configuration</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1</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Bootstrap metadata</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Execute platform-specific DDL implementing the same eight-table logical contract.</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All eight tables - schema only</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2</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Register source system</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Upsert logical producer and ownership information.</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cfg_source_system</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3</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Register connection</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Store endpoint settings and secret references, validate connection contract, then activate.</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cfg_connection</w:t>
            </w:r>
          </w:p>
        </w:tc>
      </w:tr>
    </w:tbl>
    <w:p>
      <w:pPr>
        <w:spacing w:after="0"/>
      </w:pPr>
    </w:p>
    <w:p>
      <w:pPr>
        <w:pStyle w:val="Heading2"/>
        <w:keepNext/>
      </w:pPr>
      <w:r>
        <w:t>6.2 BRD through Source-to-Bronze</w:t>
      </w:r>
    </w:p>
    <w:tbl>
      <w:tblPr>
        <w:tblStyle w:val="TableGrid"/>
        <w:tblW w:type="dxa" w:w="9360"/>
        <w:tblLayout w:type="fixed"/>
        <w:tblLook w:firstColumn="1" w:firstRow="1" w:lastColumn="0" w:lastRow="0" w:noHBand="0" w:noVBand="1" w:val="04A0"/>
        <w:tblInd w:w="120" w:type="dxa"/>
      </w:tblPr>
      <w:tblGrid>
        <w:gridCol w:w="450"/>
        <w:gridCol w:w="2200"/>
        <w:gridCol w:w="4200"/>
        <w:gridCol w:w="2510"/>
      </w:tblGrid>
      <w:tr>
        <w:trPr>
          <w:tblHeader w:val="true"/>
        </w:trPr>
        <w:tc>
          <w:tcPr>
            <w:tcW w:type="dxa" w:w="4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Current/proposed stage</w:t>
            </w:r>
          </w:p>
        </w:tc>
        <w:tc>
          <w:tcPr>
            <w:tcW w:type="dxa" w:w="4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Action</w:t>
            </w:r>
          </w:p>
        </w:tc>
        <w:tc>
          <w:tcPr>
            <w:tcW w:type="dxa" w:w="2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Tables involved</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BRD ingestion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design run; store document and resumable state.</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brd_run_registry, kpi_checkpoints, ai_store</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2</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Requirements and KPI extraction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design artifacts and obtain KPI approval.</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hitl_review_queue, kpi_checkpoints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3</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Table nomination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Produce candidates and evidence; no runtime metadata yet.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TABLE_NOMINATIONS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4</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Table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Persist the approved source-table list.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hitl_review_queue, ai_store: GATE2_CERTIFIED_TABLES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5</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Metadata discovery</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Read database catalog for schema, columns, types, keys and relationships.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ai_store/checkpoint; no active cfg rows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6</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Draft source objects</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one inactive SOURCE_TO_BRONZE object for each approved table or controlled query.</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cfg_ingestion_object</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7</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Column profiling</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Collect evidence; do not copy statistics into mappings.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COLUMN_PROFILES, kpi_checkpoints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8</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Semantic enrichment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Approve meanings, key candidates and target semantics.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hitl_review_queue</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9</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Source-to-Bronze materialization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one mapping row per Bronze output column; validate and atomically activate object plus mappings.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cfg_ingestion_object, cfg_mapping; initialize ctl_watermark only if stateful</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10</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Bronze code generation/review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Generate only from active target-resident configuration; store artifact externally.</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Read cfg_connection/object/mapping; write ai_store and HITL artifacts</w:t>
            </w:r>
          </w:p>
        </w:tc>
      </w:tr>
    </w:tbl>
    <w:p>
      <w:pPr>
        <w:spacing w:after="0"/>
      </w:pPr>
    </w:p>
    <w:p>
      <w:pPr>
        <w:pStyle w:val="Heading2"/>
        <w:keepNext/>
      </w:pPr>
      <w:r>
        <w:t>6.3 Bronze-to-Silver and Silver-to-Gold</w:t>
      </w:r>
    </w:p>
    <w:tbl>
      <w:tblPr>
        <w:tblStyle w:val="TableGrid"/>
        <w:tblW w:type="dxa" w:w="9360"/>
        <w:tblLayout w:type="fixed"/>
        <w:tblLook w:firstColumn="1" w:firstRow="1" w:lastColumn="0" w:lastRow="0" w:noHBand="0" w:noVBand="1" w:val="04A0"/>
        <w:tblInd w:w="120" w:type="dxa"/>
      </w:tblPr>
      <w:tblGrid>
        <w:gridCol w:w="450"/>
        <w:gridCol w:w="2200"/>
        <w:gridCol w:w="4200"/>
        <w:gridCol w:w="2510"/>
      </w:tblGrid>
      <w:tr>
        <w:trPr>
          <w:tblHeader w:val="true"/>
        </w:trPr>
        <w:tc>
          <w:tcPr>
            <w:tcW w:type="dxa" w:w="4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Stage</w:t>
            </w:r>
          </w:p>
        </w:tc>
        <w:tc>
          <w:tcPr>
            <w:tcW w:type="dxa" w:w="4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Action</w:t>
            </w:r>
          </w:p>
        </w:tc>
        <w:tc>
          <w:tcPr>
            <w:tcW w:type="dxa" w:w="2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Tables involved</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11</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Silver Mapping Resolution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Expand the existing merge-key resolver to propose complete Bronze-to-Silver casts, renames, defaults, validations, dedupe and merge keys.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Draft cfg_ingestion_object and BRONZE_TO_SILVER cfg_mapping rows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12</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Silver Mapping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Reuse the current Silver merge-key review boundary to approve the complete mapping contract and activate it.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hitl_review_queue, cfg_ingestion_object, cfg_mapping</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13</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Silver Code Generation/Review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Read the approved mapping and write strategy; generated code may not invent unapproved rules.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Read cfg_*; generated artifact in ai_store</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14</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Model and Mapping Design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Define each fact/dimension target, all required Silver inputs, joins, aggregations, output columns, dependency condition and build order.</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Draft Gold cfg_ingestion_object and SILVER_TO_GOLD cfg_mapping rows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15</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Validate that every required input and output expression is computable. Approve expected facts/dimensions as a complete set.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hitl_review_queue, cfg_ingestion_object, cfg_mapping</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16</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Code Generation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Generate facts/dimensions only from the approved model. Fail visibly if expected outputs are missing or excluded.</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Read cfg_*; generated artifact in ai_store</w:t>
            </w:r>
          </w:p>
        </w:tc>
      </w:tr>
    </w:tbl>
    <w:p>
      <w:pPr>
        <w:spacing w:after="0"/>
      </w:pPr>
    </w:p>
    <w:p>
      <w:pPr>
        <w:spacing w:before="80" w:after="160" w:line="264" w:lineRule="auto"/>
        <w:ind w:left="115" w:right="115"/>
        <w:shd w:fill="EAF4EC"/>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No unnecessary stage proliferation: </w:t>
      </w:r>
      <w:r>
        <w:rPr>
          <w:rFonts w:ascii="Calibri" w:hAnsi="Calibri"/>
          <w:color w:val="202124"/>
          <w:sz w:val="21"/>
        </w:rPr>
        <w:t>Source-to-Bronze metadata materialization is inserted after enrichment approval. Bronze-to-Silver mapping is folded into the existing Silver Merge Key Resolution/Review boundary. Silver-to-Gold mapping is folded into Gold model design and the existing Gold review boundary.</w:t>
      </w:r>
    </w:p>
    <w:p>
      <w:pPr>
        <w:pStyle w:val="Heading1"/>
        <w:keepNext/>
      </w:pPr>
      <w:r>
        <w:t>7. Ingestion Object and Mapping Semantics</w:t>
      </w:r>
    </w:p>
    <w:p>
      <w:pPr>
        <w:pStyle w:val="Heading2"/>
        <w:keepNext/>
      </w:pPr>
      <w:r>
        <w:t>7.1 cfg_ingestion_object granularity</w:t>
      </w:r>
    </w:p>
    <w:p>
      <w:r>
        <w:t>The table stores execution contracts, not physical records. For a source database with seven approved tables, discovery creates seven inactive SOURCE_TO_BRONZE objects, one for each table. As downstream stages become independently executable and retryable, create separate objects for each Silver and Gold target.</w:t>
      </w:r>
    </w:p>
    <w:tbl>
      <w:tblPr>
        <w:tblStyle w:val="TableGrid"/>
        <w:tblW w:type="dxa" w:w="9360"/>
        <w:tblLayout w:type="fixed"/>
        <w:tblLook w:firstColumn="1" w:firstRow="1" w:lastColumn="0" w:lastRow="0" w:noHBand="0" w:noVBand="1" w:val="04A0"/>
        <w:tblInd w:w="120" w:type="dxa"/>
      </w:tblPr>
      <w:tblGrid>
        <w:gridCol w:w="2100"/>
        <w:gridCol w:w="2200"/>
        <w:gridCol w:w="2200"/>
        <w:gridCol w:w="2860"/>
      </w:tblGrid>
      <w:tr>
        <w:trPr>
          <w:tblHeader w:val="true"/>
        </w:trPr>
        <w:tc>
          <w:tcPr>
            <w:tcW w:type="dxa" w:w="21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Processing stage</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Logical input</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Target</w:t>
            </w:r>
          </w:p>
        </w:tc>
        <w:tc>
          <w:tcPr>
            <w:tcW w:type="dxa" w:w="28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Reason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SOURCE_TO_BRONZE</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dbo.claims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bronze.claims</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object for source table extraction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SOURCE_TO_BRONZE</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dbo.policy</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bronze.policy</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object for source table extraction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BRONZE_TO_SILVER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bronze.claims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silver.claims</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Separate write mode, merge keys and retry boundary</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BRONZE_TO_SILVER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bronze.policy</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silver.policy</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Separate stage contract</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SILVER_TO_GOLD</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Multiple Silver inputs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gold.fact_claims</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 fact object with ALL_SUCCESS dependencies</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SILVER_TO_GOLD</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silver.policy + dimensions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gold.dim_policy</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 dimension object</w:t>
            </w:r>
          </w:p>
        </w:tc>
      </w:tr>
    </w:tbl>
    <w:p>
      <w:pPr>
        <w:spacing w:after="0"/>
      </w:pPr>
    </w:p>
    <w:p>
      <w:pPr>
        <w:pStyle w:val="Heading2"/>
        <w:keepNext/>
      </w:pPr>
      <w:r>
        <w:t>7.2 cfg_mapping granularity</w:t>
      </w:r>
    </w:p>
    <w:p>
      <w:r>
        <w:t>cfg_mapping stores one row per output column per processing stage. Profiling results are evidence, not mapping records. The runtime selects mappings using ingestion_object_id plus stage, layers, target, effective version and active flags.</w:t>
      </w:r>
    </w:p>
    <w:tbl>
      <w:tblPr>
        <w:tblStyle w:val="TableGrid"/>
        <w:tblW w:type="dxa" w:w="9360"/>
        <w:tblLayout w:type="fixed"/>
        <w:tblLook w:firstColumn="1" w:firstRow="1" w:lastColumn="0" w:lastRow="0" w:noHBand="0" w:noVBand="1" w:val="04A0"/>
        <w:tblInd w:w="120" w:type="dxa"/>
      </w:tblPr>
      <w:tblGrid>
        <w:gridCol w:w="1550"/>
        <w:gridCol w:w="1300"/>
        <w:gridCol w:w="1250"/>
        <w:gridCol w:w="1450"/>
        <w:gridCol w:w="1250"/>
        <w:gridCol w:w="1050"/>
        <w:gridCol w:w="1510"/>
      </w:tblGrid>
      <w:tr>
        <w:trPr>
          <w:tblHeader w:val="true"/>
        </w:trPr>
        <w:tc>
          <w:tcPr>
            <w:tcW w:type="dxa" w:w="15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Stage</w:t>
            </w:r>
          </w:p>
        </w:tc>
        <w:tc>
          <w:tcPr>
            <w:tcW w:type="dxa" w:w="1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Source path</w:t>
            </w:r>
          </w:p>
        </w:tc>
        <w:tc>
          <w:tcPr>
            <w:tcW w:type="dxa" w:w="12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Source type</w:t>
            </w:r>
          </w:p>
        </w:tc>
        <w:tc>
          <w:tcPr>
            <w:tcW w:type="dxa" w:w="14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Target column</w:t>
            </w:r>
          </w:p>
        </w:tc>
        <w:tc>
          <w:tcPr>
            <w:tcW w:type="dxa" w:w="12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Target type</w:t>
            </w:r>
          </w:p>
        </w:tc>
        <w:tc>
          <w:tcPr>
            <w:tcW w:type="dxa" w:w="1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Rule</w:t>
            </w:r>
          </w:p>
        </w:tc>
        <w:tc>
          <w:tcPr>
            <w:tcW w:type="dxa" w:w="1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Notes</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SOURCE_TO_BRONZE</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claim_id</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BIGINT</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claim_id</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BIGINT</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NONE</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Business key</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SOURCE_TO_BRONZE</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NONE</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Identity mapping</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BRONZE_TO_SILVER</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STRING</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CAST_DECIMAL</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Reject invalid cast</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BRONZE_TO_SILVER</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claim_date</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STRING</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claim_date</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DATE</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PARSE_DATE</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Approved format</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SILVER_TO_GOLD</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total_claim_amount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SUM</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Gold aggregation group</w:t>
            </w:r>
          </w:p>
        </w:tc>
      </w:tr>
    </w:tbl>
    <w:p>
      <w:pPr>
        <w:spacing w:after="0"/>
      </w:pPr>
    </w:p>
    <w:p>
      <w:pPr>
        <w:pStyle w:val="Heading2"/>
        <w:keepNext/>
      </w:pPr>
      <w:r>
        <w:t>7.3 Controlled transformations</w:t>
      </w:r>
    </w:p>
    <w:p>
      <w:r>
        <w:t>transformation_rule and transformation_language must be validated against a controlled expression model. Allowed functions should include casts, trimming, case conversion, date parsing, null replacement, concatenation and bounded JSON/XML extraction. Arbitrary Python, unrestricted SQL and dynamically imported executable code are rejected during activation.</w:t>
      </w:r>
    </w:p>
    <w:p>
      <w:pPr>
        <w:pStyle w:val="Heading2"/>
        <w:keepNext/>
      </w:pPr>
      <w:r>
        <w:t>7.4 Gold completeness</w:t>
      </w:r>
    </w:p>
    <w:p>
      <w:pPr>
        <w:pStyle w:val="ListBullet"/>
      </w:pPr>
      <w:r>
        <w:t>Create one Gold ingestion object for every approved fact or dimension output.</w:t>
      </w:r>
    </w:p>
    <w:p>
      <w:pPr>
        <w:pStyle w:val="ListBullet"/>
      </w:pPr>
      <w:r>
        <w:t>Store all required Silver inputs in input_objects_json and object dependencies in dependency_objects_json with condition ALL_SUCCESS.</w:t>
      </w:r>
    </w:p>
    <w:p>
      <w:pPr>
        <w:pStyle w:val="ListBullet"/>
      </w:pPr>
      <w:r>
        <w:t>Store joins, aggregations and build order in the existing cfg_mapping JSON and build-order columns.</w:t>
      </w:r>
    </w:p>
    <w:p>
      <w:pPr>
        <w:pStyle w:val="ListBullet"/>
      </w:pPr>
      <w:r>
        <w:t>Validate all aliases, columns, datatypes and expressions before activation.</w:t>
      </w:r>
    </w:p>
    <w:p>
      <w:pPr>
        <w:pStyle w:val="ListBullet"/>
      </w:pPr>
      <w:r>
        <w:t>Compare expected versus generated Gold outputs and fail the design/run if any approved table is silently excluded.</w:t>
      </w:r>
    </w:p>
    <w:p>
      <w:pPr>
        <w:pStyle w:val="Heading1"/>
        <w:keepNext/>
      </w:pPr>
      <w:r>
        <w:t>8. Actual Data Runtime</w:t>
      </w:r>
    </w:p>
    <w:p>
      <w:r>
        <w:t>The ctl_* tables track data processing after an approved executable artifact is deployed or invoked. The BRD workflow run_id remains an application run; ctl_run.run_id represents one attempt to execute one ingestion object.</w:t>
      </w:r>
    </w:p>
    <w:tbl>
      <w:tblPr>
        <w:tblStyle w:val="TableGrid"/>
        <w:tblW w:type="dxa" w:w="9360"/>
        <w:tblLayout w:type="fixed"/>
        <w:tblLook w:firstColumn="1" w:firstRow="1" w:lastColumn="0" w:lastRow="0" w:noHBand="0" w:noVBand="1" w:val="04A0"/>
        <w:tblInd w:w="120" w:type="dxa"/>
      </w:tblPr>
      <w:tblGrid>
        <w:gridCol w:w="1900"/>
        <w:gridCol w:w="4900"/>
        <w:gridCol w:w="2560"/>
      </w:tblGrid>
      <w:tr>
        <w:trPr>
          <w:tblHeader w:val="true"/>
        </w:trPr>
        <w:tc>
          <w:tcPr>
            <w:tcW w:type="dxa" w:w="1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Runtime stage</w:t>
            </w:r>
          </w:p>
        </w:tc>
        <w:tc>
          <w:tcPr>
            <w:tcW w:type="dxa" w:w="4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Behavior</w:t>
            </w:r>
          </w:p>
        </w:tc>
        <w:tc>
          <w:tcPr>
            <w:tcW w:type="dxa" w:w="256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1. Submit work</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deterministic logical_work_id and idempotency_key; persist exact scope and metadata snapshot.</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ctl_ingestion_queue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2. Claim work</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Atomically change an eligible row to RUNNING, set worker/lease/heartbeat and increment attempt count.</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ctl_ingestion_queue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3. Start attempt</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a unique run_id linked to queue_id and attempt_number; copy stage, target and config versions.</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4. Resolve configuration</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Load one frozen source, connection, object, mapping and watermark snapshot; validate before source access.</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Four cfg_* tables, ctl_watermark, ctl_run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5. Read and transform</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 extract bounded data, normalize, apply controlled mappings and preserve lineage.</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 phase/metrics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6. Validate and write</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Apply mapping/object gates, perform idempotent target write and verify commit.</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 validation and target commit fields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7. Handle failure</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Immediately log safe diagnostics, leave committed watermark unchanged and classify retryability.</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ctl_error_log, ctl_run, ctl_ingestion_queue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8. Commit checkpoint</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Stage candidate and compare-and-swap watermark_version only after target commit and blocking validation.</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ctl_watermark, ctl_run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9. Finalize</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Mark run SUCCESS, then queue SUCCESS and release ownership. On failure, retry or terminally fail the queue.</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 ctl_ingestion_queue</w:t>
            </w:r>
          </w:p>
        </w:tc>
      </w:tr>
    </w:tbl>
    <w:p>
      <w:pPr>
        <w:spacing w:after="0"/>
      </w:pPr>
    </w:p>
    <w:p>
      <w:pPr>
        <w:pStyle w:val="Heading2"/>
        <w:keepNext/>
      </w:pPr>
      <w:r>
        <w:t>8.1 Queue claim and recovery contract</w:t>
      </w:r>
    </w:p>
    <w:p>
      <w:pPr>
        <w:pStyle w:val="ListBullet"/>
      </w:pPr>
      <w:r>
        <w:t>Claim with one atomic conditional update/MERGE: eligible status and lease state must still match when ownership is written.</w:t>
      </w:r>
    </w:p>
    <w:p>
      <w:pPr>
        <w:pStyle w:val="ListBullet"/>
      </w:pPr>
      <w:r>
        <w:t>Treat affected-row count of one as successful ownership; otherwise the worker did not claim the item.</w:t>
      </w:r>
    </w:p>
    <w:p>
      <w:pPr>
        <w:pStyle w:val="ListBullet"/>
      </w:pPr>
      <w:r>
        <w:t>Renew last_heartbeat_at and lease_expires_at while work is active. Expired leases may be reclaimed only under retry policy.</w:t>
      </w:r>
    </w:p>
    <w:p>
      <w:pPr>
        <w:pStyle w:val="ListBullet"/>
      </w:pPr>
      <w:r>
        <w:t>Each retry creates a new ctl_run row with the same queue_id/logical_work_id and an incremented attempt_number.</w:t>
      </w:r>
    </w:p>
    <w:p>
      <w:pPr>
        <w:pStyle w:val="ListBullet"/>
      </w:pPr>
      <w:r>
        <w:t>ctl_ingestion_queue.run_id is convenience-only; complete attempt history is reconstructed from ctl_run.queue_id.</w:t>
      </w:r>
    </w:p>
    <w:p>
      <w:pPr>
        <w:pStyle w:val="Heading2"/>
        <w:keepNext/>
      </w:pPr>
      <w:r>
        <w:t>8.2 Idempotency contract</w:t>
      </w:r>
    </w:p>
    <w:p>
      <w:r>
        <w:t>queue_id and run_id are identities, not idempotency keys. A stable idempotency_key must represent the logical source boundary, object, stage, target and configuration snapshot. Silver/Gold writes use approved business keys and MERGE/SCD rules. Future file ingestion additionally uses a deterministic source-item identity derived from URI plus stable object metadata such as ETag/checksum, size and modification time.</w:t>
      </w:r>
    </w:p>
    <w:p>
      <w:pPr>
        <w:pStyle w:val="Heading2"/>
        <w:keepNext/>
      </w:pPr>
      <w:r>
        <w:t>8.3 Watermark commit order</w:t>
      </w:r>
    </w:p>
    <w:p>
      <w:pPr>
        <w:spacing w:before="80" w:after="160" w:line="264" w:lineRule="auto"/>
        <w:ind w:left="115" w:right="115"/>
        <w:shd w:fill="EAF4EC"/>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Mandatory sequence: </w:t>
      </w:r>
      <w:r>
        <w:rPr>
          <w:rFonts w:ascii="Calibri" w:hAnsi="Calibri"/>
          <w:color w:val="202124"/>
          <w:sz w:val="21"/>
        </w:rPr>
        <w:t>Target write commits -&gt; blocking validation passes -&gt; candidate watermark commits with watermark_version check -&gt; ctl_run becomes SUCCESS -&gt; ctl_ingestion_queue becomes SUCCESS.</w:t>
      </w:r>
    </w:p>
    <w:p>
      <w:r>
        <w:t>A crash after target commit but before watermark commit can cause replay, which is recoverable through idempotent target writes. Advancing the watermark before target commit can permanently skip data and is prohibited.</w:t>
      </w:r>
    </w:p>
    <w:p>
      <w:pPr>
        <w:pStyle w:val="Heading1"/>
        <w:keepNext/>
      </w:pPr>
      <w:r>
        <w:t>9. Multi-Platform Design</w:t>
      </w:r>
    </w:p>
    <w:p>
      <w:pPr>
        <w:pStyle w:val="Heading2"/>
        <w:keepNext/>
      </w:pPr>
      <w:r>
        <w:t>9.1 Canonical contract and target adapters</w:t>
      </w:r>
    </w:p>
    <w:p>
      <w:r>
        <w:t>The logical metadata model and orchestration service remain common. The target context is selected once and supplies a metadata repository, secret resolver, SQL/compiler implementation and execution adapter.</w:t>
      </w:r>
    </w:p>
    <w:tbl>
      <w:tblPr>
        <w:tblStyle w:val="TableGrid"/>
        <w:tblW w:type="dxa" w:w="9360"/>
        <w:tblLayout w:type="fixed"/>
        <w:tblLook w:firstColumn="1" w:firstRow="1" w:lastColumn="0" w:lastRow="0" w:noHBand="0" w:noVBand="1" w:val="04A0"/>
        <w:tblInd w:w="120" w:type="dxa"/>
      </w:tblPr>
      <w:tblGrid>
        <w:gridCol w:w="1750"/>
        <w:gridCol w:w="3350"/>
        <w:gridCol w:w="1420"/>
        <w:gridCol w:w="1420"/>
        <w:gridCol w:w="1420"/>
      </w:tblGrid>
      <w:tr>
        <w:trPr>
          <w:tblHeader w:val="true"/>
        </w:trPr>
        <w:tc>
          <w:tcPr>
            <w:tcW w:type="dxa" w:w="17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Port</w:t>
            </w:r>
          </w:p>
        </w:tc>
        <w:tc>
          <w:tcPr>
            <w:tcW w:type="dxa" w:w="33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Common responsibility</w:t>
            </w:r>
          </w:p>
        </w:tc>
        <w:tc>
          <w:tcPr>
            <w:tcW w:type="dxa" w:w="142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Databricks</w:t>
            </w:r>
          </w:p>
        </w:tc>
        <w:tc>
          <w:tcPr>
            <w:tcW w:type="dxa" w:w="142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Snowflake</w:t>
            </w:r>
          </w:p>
        </w:tc>
        <w:tc>
          <w:tcPr>
            <w:tcW w:type="dxa" w:w="142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Fabric</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Metadata repository</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Bootstrap DDL; upsert/version configuration; snapshot reads; enqueue/claim/finalize; watermark CAS.</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Databricks Delta</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Snowflake tables</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Fabric Lakehouse/Warehouse</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Secret resolver</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Resolve approved secret references at connection time.</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Databricks secret scope / cloud vault</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External secret integration</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Key Vault / managed identity</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Code compiler</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Compile canonical plan to target execution artifact.</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Spark/SQL packaged job</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Snowpark/dbt/SQL package</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Fabric Spark/SQL pipeline artifact</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Target writer</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Append, overwrite, merge, SCD and commit verification.</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Delta operations</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Snowflake transactions/MERGE</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Delta/Warehouse operations</w:t>
            </w:r>
          </w:p>
        </w:tc>
      </w:tr>
    </w:tbl>
    <w:p>
      <w:pPr>
        <w:spacing w:after="0"/>
      </w:pPr>
    </w:p>
    <w:p>
      <w:pPr>
        <w:pStyle w:val="Heading2"/>
        <w:keepNext/>
      </w:pPr>
      <w:r>
        <w:t>9.2 DDL portability</w:t>
      </w:r>
    </w:p>
    <w:p>
      <w:r>
        <w:t>metadata-README.md currently contains Databricks SQL/Delta syntax. Production delivery should provide one migration module per target platform while preserving the same logical columns, status vocabulary and JSON contracts. JSON may remain STRING or use a native semi-structured type internally, but repository reads must return the same canonical model.</w:t>
      </w:r>
    </w:p>
    <w:p>
      <w:pPr>
        <w:pStyle w:val="Heading1"/>
        <w:keepNext/>
      </w:pPr>
      <w:r>
        <w:t>10. Security and Secret Handling</w:t>
      </w:r>
    </w:p>
    <w:p>
      <w:pPr>
        <w:pStyle w:val="ListBullet"/>
      </w:pPr>
      <w:r>
        <w:t>cfg_connection stores only secret_scope, secret_key or secrets_json references. It never stores usernames, passwords, private keys, tokens or client secrets directly.</w:t>
      </w:r>
    </w:p>
    <w:p>
      <w:pPr>
        <w:pStyle w:val="ListBullet"/>
      </w:pPr>
      <w:r>
        <w:t>Connection JSON and object JSON are validated against versioned schemas before active_flag can become true.</w:t>
      </w:r>
    </w:p>
    <w:p>
      <w:pPr>
        <w:pStyle w:val="ListBullet"/>
      </w:pPr>
      <w:r>
        <w:t>Logs, ctl_error_log and run summaries use redaction at the serialization boundary; authorization headers and raw sensitive payloads are excluded.</w:t>
      </w:r>
    </w:p>
    <w:p>
      <w:pPr>
        <w:pStyle w:val="ListBullet"/>
      </w:pPr>
      <w:r>
        <w:t>Source query text is restricted to approved tables or validated read-only queries. Transformation expressions use an allow-list and parsed representation.</w:t>
      </w:r>
    </w:p>
    <w:p>
      <w:pPr>
        <w:pStyle w:val="ListBullet"/>
      </w:pPr>
      <w:r>
        <w:t>Metadata writers, runtime workers and operators receive separate least-privilege roles. Only the repository service can activate configuration or claim work.</w:t>
      </w:r>
    </w:p>
    <w:p>
      <w:pPr>
        <w:pStyle w:val="ListBullet"/>
      </w:pPr>
      <w:r>
        <w:t>Generated artifacts contain secret references, never resolved secret values. Secrets are resolved only inside the target execution environment.</w:t>
      </w:r>
    </w:p>
    <w:p>
      <w:pPr>
        <w:pStyle w:val="Heading1"/>
        <w:keepNext/>
      </w:pPr>
      <w:r>
        <w:t>11. Connector and Parser Extension Strategy</w:t>
      </w:r>
    </w:p>
    <w:p>
      <w:r>
        <w:t>Database is the first source implementation. The orchestration engine should depend on small stable connector and parser contracts rather than source-specific branches.</w:t>
      </w:r>
    </w:p>
    <w:tbl>
      <w:tblPr>
        <w:tblStyle w:val="TableGrid"/>
        <w:tblW w:type="dxa" w:w="9360"/>
        <w:tblLayout w:type="fixed"/>
        <w:tblLook w:firstColumn="1" w:firstRow="1" w:lastColumn="0" w:lastRow="0" w:noHBand="0" w:noVBand="1" w:val="04A0"/>
        <w:tblInd w:w="120" w:type="dxa"/>
      </w:tblPr>
      <w:tblGrid>
        <w:gridCol w:w="2100"/>
        <w:gridCol w:w="4750"/>
        <w:gridCol w:w="2510"/>
      </w:tblGrid>
      <w:tr>
        <w:trPr>
          <w:tblHeader w:val="true"/>
        </w:trPr>
        <w:tc>
          <w:tcPr>
            <w:tcW w:type="dxa" w:w="21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Extension</w:t>
            </w:r>
          </w:p>
        </w:tc>
        <w:tc>
          <w:tcPr>
            <w:tcW w:type="dxa" w:w="47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Responsibility</w:t>
            </w:r>
          </w:p>
        </w:tc>
        <w:tc>
          <w:tcPr>
            <w:tcW w:type="dxa" w:w="2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Metadata selection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JDBC connector - phase 1</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Validate connectivity, discover tables/queries, extract full/incremental/CDC boundaries, support partitioned reads and candidate checkpoints.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connection_type=JDBC; source_resource_type=TABLE/QUERY</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SFTP connector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List stable files, apply pattern, stream/download safely, validate size/checksum and emit source-item lineage.</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connection_type=SFTP; payload_format independent</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ADLS/S3 connector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List prefix/path, capture ETag/version/size/mtime and process bounded objects.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connection_type=ADLS/S3</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REST connector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Method, headers, parameters, body template, response root and pagination without logging credentials.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connection_type=REST_API</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Parser registry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CSV, JSON, XML, Parquet, Avro, Excel and fixed width selected by payload_format.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parser_options_json at object level</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Container handler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ZIP, GZIP, TAR and related decompression before parser selection.</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container_format independent of transport</w:t>
            </w:r>
          </w:p>
        </w:tc>
      </w:tr>
    </w:tbl>
    <w:p>
      <w:pPr>
        <w:spacing w:after="0"/>
      </w:pPr>
    </w:p>
    <w:p>
      <w:pPr>
        <w:pStyle w:val="Heading1"/>
        <w:keepNext/>
      </w:pPr>
      <w:r>
        <w:t>12. Observability and Failure Semantics</w:t>
      </w:r>
    </w:p>
    <w:p>
      <w:r>
        <w:t>Every caught execution exception is recorded immediately in ctl_error_log with the current run, queue, attempt, object and stage. Error logging alone does not finalize execution. The worker must also update ctl_run and ctl_ingestion_queue.</w:t>
      </w:r>
    </w:p>
    <w:tbl>
      <w:tblPr>
        <w:tblStyle w:val="TableGrid"/>
        <w:tblW w:type="dxa" w:w="9360"/>
        <w:tblLayout w:type="fixed"/>
        <w:tblLook w:firstColumn="1" w:firstRow="1" w:lastColumn="0" w:lastRow="0" w:noHBand="0" w:noVBand="1" w:val="04A0"/>
        <w:tblInd w:w="120" w:type="dxa"/>
      </w:tblPr>
      <w:tblGrid>
        <w:gridCol w:w="1800"/>
        <w:gridCol w:w="3150"/>
        <w:gridCol w:w="4410"/>
      </w:tblGrid>
      <w:tr>
        <w:trPr>
          <w:tblHeader w:val="true"/>
        </w:trPr>
        <w:tc>
          <w:tcPr>
            <w:tcW w:type="dxa" w:w="18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Stage</w:t>
            </w:r>
          </w:p>
        </w:tc>
        <w:tc>
          <w:tcPr>
            <w:tcW w:type="dxa" w:w="31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Examples</w:t>
            </w:r>
          </w:p>
        </w:tc>
        <w:tc>
          <w:tcPr>
            <w:tcW w:type="dxa" w:w="44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Required behavior</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 / READ</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Timeout, authentication failure, source unavailable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Retry transient connectivity; configuration/auth failures are terminal until corrected.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PARSE / VALIDATE</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Schema mismatch, invalid cast, threshold breach</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Apply configured WARN, REJECT_RECORD, QUARANTINE_BATCH or FAIL_RUN action.</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TRANSFORM</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Invalid controlled expression or missing dependency</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Fail configuration/preflight; do not write target or checkpoint.</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WRITE</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Target transaction or merge failure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Leave watermark unchanged; retry under idempotent write contract.</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WATERMARK</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CAS conflict or commit failure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Do not report success. Reconcile committed target using recorded target_write_id.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FINALIZE</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Crash after durable target/checkpoint state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Recover from ctl_run phase and commit fields; avoid blind rewrite.</w:t>
            </w:r>
          </w:p>
        </w:tc>
      </w:tr>
    </w:tbl>
    <w:p>
      <w:pPr>
        <w:spacing w:after="0"/>
      </w:pPr>
    </w:p>
    <w:p>
      <w:pPr>
        <w:pStyle w:val="Heading1"/>
        <w:keepNext/>
      </w:pPr>
      <w:r>
        <w:t>13. Phased Implementation Plan</w:t>
      </w:r>
    </w:p>
    <w:tbl>
      <w:tblPr>
        <w:tblStyle w:val="TableGrid"/>
        <w:tblW w:type="dxa" w:w="9360"/>
        <w:tblLayout w:type="fixed"/>
        <w:tblLook w:firstColumn="1" w:firstRow="1" w:lastColumn="0" w:lastRow="0" w:noHBand="0" w:noVBand="1" w:val="04A0"/>
        <w:tblInd w:w="120" w:type="dxa"/>
      </w:tblPr>
      <w:tblGrid>
        <w:gridCol w:w="1050"/>
        <w:gridCol w:w="1900"/>
        <w:gridCol w:w="4050"/>
        <w:gridCol w:w="2360"/>
      </w:tblGrid>
      <w:tr>
        <w:trPr>
          <w:tblHeader w:val="true"/>
        </w:trPr>
        <w:tc>
          <w:tcPr>
            <w:tcW w:type="dxa" w:w="1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Phase</w:t>
            </w:r>
          </w:p>
        </w:tc>
        <w:tc>
          <w:tcPr>
            <w:tcW w:type="dxa" w:w="1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Milestone</w:t>
            </w:r>
          </w:p>
        </w:tc>
        <w:tc>
          <w:tcPr>
            <w:tcW w:type="dxa" w:w="4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Small deliverable</w:t>
            </w:r>
          </w:p>
        </w:tc>
        <w:tc>
          <w:tcPr>
            <w:tcW w:type="dxa" w:w="236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Exit condition</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0</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Contract hardening</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Freeze statuses, JSON schemas, identifier strategy and per-stage object rule. Produce platform DDL tests.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DDL validates on all targets; no ninth table.</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1</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Target metadata repositories</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Implement bootstrap, configuration CRUD/versioning and transactional activation for Databricks, Snowflake and Fabric.</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Same repository contract passes adapter tests.</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2</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Database onboarding</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Materialize approved source systems, JDBC connections and discovered tables as inactive objects; activate after validation.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Seven approved tables produce seven valid source objects.</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3</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Mapping-driven generation</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Materialize Source-to-Bronze after enrichment review; expand Silver resolver; persist Gold mappings before generation.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Generators read active mappings only.</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4</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Database runtime controls</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Implement queue claim/lease/retry, run attempts, errors, target commit tracking and watermark CAS.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Concurrent workers and crash tests pass.</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5</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dependency execution</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Enforce ALL_SUCCESS inputs, expected-output manifest and fact/dimension completeness.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No silently excluded approved Gold table.</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6</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Additional sources/formats</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Add SFTP, ADLS/S3, REST connectors plus parser/container registries without changing orchestration.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New connector/parser plugins pass shared contract tests.</w:t>
            </w:r>
          </w:p>
        </w:tc>
      </w:tr>
    </w:tbl>
    <w:p>
      <w:pPr>
        <w:spacing w:after="0"/>
      </w:pPr>
    </w:p>
    <w:p>
      <w:pPr>
        <w:pStyle w:val="Heading1"/>
        <w:keepNext/>
      </w:pPr>
      <w:r>
        <w:t>14. Test Strategy</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Test level</w:t>
            </w:r>
          </w:p>
        </w:tc>
        <w:tc>
          <w:tcPr>
            <w:tcW w:type="dxa" w:w="74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Required scenarios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Unit</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JSON contract validation, ID allocation, mapping selector, controlled expressions, key rules, idempotency keys, checkpoint comparison.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Repository contract</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Run the same CRUD/version/activation/queue/watermark tests against Databricks, Snowflake and Fabric adapters.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Connector integration</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JDBC full, incremental, query and partitioned reads; invalid secret reference; timeout; schema drift.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Concurrency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Two workers race for one queue item; lease expiry; heartbeat; retry limit; stale watermark version conflict.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Failure recovery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Crash before write, during write, after target commit, after watermark commit and before final queue status.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Idempotency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Duplicate trigger, same queue retry, new queue for same logical scope and replay after finalization failure.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Mapping</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Stage isolation, version snapshot, rejected draft, mixed-version prevention, controlled-transform rejection.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 one of four required Silver inputs, invalid join alias, build-order cycle, expected-vs-generated fact/dimension count.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Security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Secret scanning across metadata, logs, errors and artifacts; redaction of headers and exception text.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End to end</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BRD -&gt; approved database tables -&gt; mappings -&gt; generated artifacts -&gt; queued execution -&gt; Bronze/Silver/Gold -&gt; committed watermark.</w:t>
            </w:r>
          </w:p>
        </w:tc>
      </w:tr>
    </w:tbl>
    <w:p>
      <w:pPr>
        <w:spacing w:after="0"/>
      </w:pPr>
    </w:p>
    <w:p>
      <w:pPr>
        <w:pStyle w:val="Heading1"/>
        <w:keepNext/>
      </w:pPr>
      <w:r>
        <w:t>15. Acceptance Criteria</w:t>
      </w:r>
    </w:p>
    <w:p>
      <w:pPr>
        <w:pStyle w:val="ListBullet"/>
      </w:pPr>
      <w:r>
        <w:t>A new JDBC source table can be onboarded primarily through approved metadata.</w:t>
      </w:r>
    </w:p>
    <w:p>
      <w:pPr>
        <w:pStyle w:val="ListBullet"/>
      </w:pPr>
      <w:r>
        <w:t>All metadata operations use the repository of the selected target platform.</w:t>
      </w:r>
    </w:p>
    <w:p>
      <w:pPr>
        <w:pStyle w:val="ListBullet"/>
      </w:pPr>
      <w:r>
        <w:t>Bronze, Silver and Gold generators consume approved stage-specific mappings rather than inventing mappings during generation.</w:t>
      </w:r>
    </w:p>
    <w:p>
      <w:pPr>
        <w:pStyle w:val="ListBullet"/>
      </w:pPr>
      <w:r>
        <w:t>Table nomination and profiling remain traceable in application storage but are not runtime dependencies.</w:t>
      </w:r>
    </w:p>
    <w:p>
      <w:pPr>
        <w:pStyle w:val="ListBullet"/>
      </w:pPr>
      <w:r>
        <w:t>Concurrent workers cannot both successfully claim the same queue item.</w:t>
      </w:r>
    </w:p>
    <w:p>
      <w:pPr>
        <w:pStyle w:val="ListBullet"/>
      </w:pPr>
      <w:r>
        <w:t>Retries and duplicate triggers do not create duplicate Silver/Gold business records.</w:t>
      </w:r>
    </w:p>
    <w:p>
      <w:pPr>
        <w:pStyle w:val="ListBullet"/>
      </w:pPr>
      <w:r>
        <w:t>A target commit failure never advances the watermark.</w:t>
      </w:r>
    </w:p>
    <w:p>
      <w:pPr>
        <w:pStyle w:val="ListBullet"/>
      </w:pPr>
      <w:r>
        <w:t>A post-commit crash can be recovered from ctl_run commit/phase state and idempotent target logic.</w:t>
      </w:r>
    </w:p>
    <w:p>
      <w:pPr>
        <w:pStyle w:val="ListBullet"/>
      </w:pPr>
      <w:r>
        <w:t>Every approved Gold fact/dimension is generated or produces an explicit blocking error.</w:t>
      </w:r>
    </w:p>
    <w:p>
      <w:pPr>
        <w:pStyle w:val="ListBullet"/>
      </w:pPr>
      <w:r>
        <w:t>Secrets never appear in metadata, logs, errors, generated code or source control.</w:t>
      </w:r>
    </w:p>
    <w:p>
      <w:pPr>
        <w:pStyle w:val="ListBullet"/>
      </w:pPr>
      <w:r>
        <w:t>Only the eight approved ingestion metadata/control tables are used.</w:t>
      </w:r>
    </w:p>
    <w:p>
      <w:pPr>
        <w:pStyle w:val="ListBullet"/>
      </w:pPr>
      <w:r>
        <w:t>The runtime can execute as a packaged job/service without depending on Databricks notebooks or the prior framework.</w:t>
      </w:r>
    </w:p>
    <w:p>
      <w:pPr>
        <w:pStyle w:val="Heading1"/>
        <w:keepNext/>
      </w:pPr>
      <w:r>
        <w:t>16. DDL Conclusion and Immediate Decisions</w:t>
      </w:r>
    </w:p>
    <w:p>
      <w:r>
        <w:t>The expanded DDL in metadata-README.md is broadly sufficient for the database-first implementation and already contains stage boundaries, write strategies, mapping versions, Gold input/join/aggregation fields, queue scope/lease/retry fields, run phases and target commit state, and candidate/versioned watermarks.</w:t>
      </w:r>
    </w:p>
    <w:p>
      <w:pPr>
        <w:spacing w:before="80" w:after="160" w:line="264" w:lineRule="auto"/>
        <w:ind w:left="115" w:right="115"/>
        <w:shd w:fill="EAF4EC"/>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Recommendation: </w:t>
      </w:r>
      <w:r>
        <w:rPr>
          <w:rFonts w:ascii="Calibri" w:hAnsi="Calibri"/>
          <w:color w:val="202124"/>
          <w:sz w:val="21"/>
        </w:rPr>
        <w:t>Do not add another metadata table. First implement and test the existing contracts, target-specific DDL translations, JSON validation, identifier allocation, atomic activation, queue claim and watermark compare-and-swap. Propose a column change only when a concrete platform implementation cannot meet a production invariant with the current columns.</w:t>
      </w:r>
    </w:p>
    <w:p>
      <w:pPr>
        <w:pStyle w:val="Heading2"/>
        <w:keepNext/>
      </w:pPr>
      <w:r>
        <w:t>16.1 Required implementation clarifications</w:t>
      </w:r>
    </w:p>
    <w:p>
      <w:pPr>
        <w:pStyle w:val="ListBullet"/>
      </w:pPr>
      <w:r>
        <w:t>Treat processing_stage on cfg_ingestion_object as the stage owned by that object; do not overload one object with conflicting per-layer write policies.</w:t>
      </w:r>
    </w:p>
    <w:p>
      <w:pPr>
        <w:pStyle w:val="ListBullet"/>
      </w:pPr>
      <w:r>
        <w:t>Allow internal Bronze-to-Silver and Silver-to-Gold objects to resolve target-platform inputs without pretending that an external connection is read. Validate connection requirements by source_layer/stage.</w:t>
      </w:r>
    </w:p>
    <w:p>
      <w:pPr>
        <w:pStyle w:val="ListBullet"/>
      </w:pPr>
      <w:r>
        <w:t>Document JSON schemas and schema versions for every config_json, secrets_json, parser, pagination, validation, dependency, join, aggregation, SCD and queue-scope contract.</w:t>
      </w:r>
    </w:p>
    <w:p>
      <w:pPr>
        <w:pStyle w:val="ListBullet"/>
      </w:pPr>
      <w:r>
        <w:t>Use a single status vocabulary across queue and run: PENDING, RUNNING, SUCCESS, FAILED, SKIPPED and RETRY_WAIT where applicable.</w:t>
      </w:r>
    </w:p>
    <w:p>
      <w:pPr>
        <w:pStyle w:val="ListBullet"/>
      </w:pPr>
      <w:r>
        <w:t>Define exact expected-output checks for Gold so a model cannot be dropped merely because only some required Silver inputs are available.</w:t>
      </w:r>
    </w:p>
    <w:p>
      <w:pPr>
        <w:pStyle w:val="Heading1"/>
        <w:keepNext/>
      </w:pPr>
      <w:r>
        <w:t>Appendix A. Example: Seven Source Tables</w:t>
      </w:r>
    </w:p>
    <w:p>
      <w:r>
        <w:t>If discovery and Gate 2 approve claims, policy, customer, provider, payment, claim_line and coverage, the first configuration materialization creates:</w:t>
      </w:r>
    </w:p>
    <w:tbl>
      <w:tblPr>
        <w:tblStyle w:val="TableGrid"/>
        <w:tblW w:type="dxa" w:w="9360"/>
        <w:tblLayout w:type="fixed"/>
        <w:tblLook w:firstColumn="1" w:firstRow="1" w:lastColumn="0" w:lastRow="0" w:noHBand="0" w:noVBand="1" w:val="04A0"/>
        <w:tblInd w:w="120" w:type="dxa"/>
      </w:tblPr>
      <w:tblGrid>
        <w:gridCol w:w="2300"/>
        <w:gridCol w:w="1800"/>
        <w:gridCol w:w="5260"/>
      </w:tblGrid>
      <w:tr>
        <w:trPr>
          <w:tblHeader w:val="true"/>
        </w:trPr>
        <w:tc>
          <w:tcPr>
            <w:tcW w:type="dxa" w:w="2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Table/object type</w:t>
            </w:r>
          </w:p>
        </w:tc>
        <w:tc>
          <w:tcPr>
            <w:tcW w:type="dxa" w:w="18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Illustrative count</w:t>
            </w:r>
          </w:p>
        </w:tc>
        <w:tc>
          <w:tcPr>
            <w:tcW w:type="dxa" w:w="52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Meaning</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cfg_source_system</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1</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Logical claims platform or vendor</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cfg_connection</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1 or more</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JDBC endpoint per environment/physical connection</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cfg_ingestion_object</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7 initially</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inactive then approved SOURCE_TO_BRONZE object per selected table</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cfg_mapping</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Sum of approved source columns</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Source-to-Bronze output-column mapping per table column</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ctl_watermark</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Only stateful objects</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No row for FULL-only objects; one row per incremental/CDC object</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Later Silver objects</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Usually 7, design-dependent</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independently executable Silver target per approved curated dataset</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Later Gold objects</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per approved fact/dimension</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For example fact_claims, dim_policy, dim_customer and dim_provider</w:t>
            </w:r>
          </w:p>
        </w:tc>
      </w:tr>
    </w:tbl>
    <w:p>
      <w:pPr>
        <w:spacing w:after="0"/>
      </w:pPr>
    </w:p>
    <w:p>
      <w:pPr>
        <w:pStyle w:val="Heading1"/>
        <w:keepNext/>
      </w:pPr>
      <w:r>
        <w:t>Appendix B. Basis of Design</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Evidence</w:t>
            </w:r>
          </w:p>
        </w:tc>
        <w:tc>
          <w:tcPr>
            <w:tcW w:type="dxa" w:w="60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Design use</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metadata-README.md</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Supplied eight-table DDL, JSON contracts and runtime semantics.</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apps/backend/graph.py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Current BRD-to-generation stage sequence.</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apps/backend/nodes/column_profiling.py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Current deterministic profiling logic and ai_store persistence.</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apps/backend/nodes/table_nomination.py and nodes/hitl.py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Nomination and certified-table artifact behavior.</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apps/backend/services/pipeline_runtime.py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Existing review boundaries, checkpoint usage and Silver merge-key resolution position.</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Databricks QA read-only review</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Operational lessons on configuration gates, manifests, checkpoint ordering, Gold completeness and notebook coupling; no QA implementation is copied.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7"/>
      </w:rPr>
      <w:t>Metadata-Driven Ingestion Framework</w:t>
    </w:r>
    <w:r>
      <w:t xml:space="preserve">        </w:t>
    </w:r>
    <w:r>
      <w:rPr>
        <w:rFonts w:ascii="Calibri" w:hAnsi="Calibri"/>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368"/>
        <w:sz w:val="17"/>
      </w:rPr>
      <w:t>ASTRADATA V3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Metadata-Driven Data Lake Ingestion Framework - Technical Design</dc:title>
  <dc:subject>Database-first metadata-driven ingestion design for Databricks, Snowflake and Fabric</dc:subject>
  <dc:creator>AstraDataV3 Architecture</dc:creator>
  <cp:keywords>metadata, ingestion, bronze, silver, gold, Databricks, Snowflake, Fabric</cp:keywords>
  <dc:description>Generated from repository and DDL analysis; no application code changes.</dc:description>
  <cp:lastModifiedBy/>
  <cp:revision>1</cp:revision>
  <dcterms:created xsi:type="dcterms:W3CDTF">2013-12-23T23:15:00Z</dcterms:created>
  <dcterms:modified xsi:type="dcterms:W3CDTF">2013-12-23T23:15:00Z</dcterms:modified>
  <cp:category/>
</cp:coreProperties>
</file>