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Metro Network Operations: Service Overview</w:t>
      </w:r>
    </w:p>
    <w:p>
      <w:r>
        <w:t>Domain: Urban public transportation | Reference period: FY 2025–26</w:t>
      </w:r>
    </w:p>
    <w:p>
      <w:pPr>
        <w:pStyle w:val="Heading1"/>
      </w:pPr>
      <w:r>
        <w:t>1. Network Profile</w:t>
      </w:r>
    </w:p>
    <w:p>
      <w:r>
        <w:t>The fictional Metrovale Metro operates three lines—Blue, Green, and Orange—across 42 stations. The network covers 68 route-kilometres and runs from 05:30 to 23:30 on weekdays. Trains operate every 6 minutes during peak periods and every 10 minutes off-peak.</w:t>
      </w:r>
    </w:p>
    <w:p>
      <w:pPr>
        <w:pStyle w:val="Heading1"/>
      </w:pPr>
      <w:r>
        <w:t>2. Ridership and Reliability</w:t>
      </w:r>
    </w:p>
    <w:p>
      <w:r>
        <w:t>Average weekday ridership is 312,000 passenger journeys. The Blue Line carries 46% of journeys, the Green Line 34%, and the Orange Line 20%. The network's on-time performance target is 95%; the reported FY 2025–26 result is 92.8%.</w:t>
      </w:r>
    </w:p>
    <w:p>
      <w:pPr>
        <w:pStyle w:val="Heading1"/>
      </w:pPr>
      <w:r>
        <w:t>3. Fare Policy</w:t>
      </w:r>
    </w:p>
    <w:p>
      <w:r>
        <w:t>A single journey costs 2.50 credits for trips up to 5 km, 3.25 credits for trips over 5 km and up to 12 km, and 4.00 credits for trips over 12 km. Children under 6 travel free when accompanied by a fare-paying adult. A monthly pass costs 78 credits and provides unlimited travel on all three lines.</w:t>
      </w:r>
    </w:p>
    <w:p>
      <w:pPr>
        <w:pStyle w:val="Heading1"/>
      </w:pPr>
      <w:r>
        <w:t>4. Accessibility and Passenger Support</w:t>
      </w:r>
    </w:p>
    <w:p>
      <w:r>
        <w:t>All 42 stations have step-free access from street level to the platform. Tactile paving is installed at all platform edges. Help points are available at every station. Elevators are inspected weekly; defects classified as safety-critical require immediate isolation and a target repair time of 4 hours.</w:t>
      </w:r>
    </w:p>
    <w:p>
      <w:pPr>
        <w:pStyle w:val="Heading1"/>
      </w:pPr>
      <w:r>
        <w:t>5. Service Disruption Procedure</w:t>
      </w:r>
    </w:p>
    <w:p>
      <w:r>
        <w:t>For a disruption expected to exceed 10 minutes, the control centre must publish an initial passenger notice within 5 minutes of confirmation. If a line is blocked for more than 20 minutes, the duty manager evaluates replacement buses and cross-platform transfers. Incident reports are due within 24 hours after service recovery.</w:t>
      </w:r>
    </w:p>
    <w:p>
      <w:pPr>
        <w:pStyle w:val="Heading1"/>
      </w:pPr>
      <w:r>
        <w:t>6. Key Contacts and Escalation</w:t>
      </w:r>
    </w:p>
    <w:p>
      <w:r>
        <w:t>The Network Control Centre coordinates train movements and incident communications. Station supervisors handle local passenger assistance. The Operations Duty Manager approves service suspensions and replacement transport. These roles are fictional and intended for document-retrieval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