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56"/>
        </w:rPr>
        <w:t>Cybersecurity SLM Data Pipeline</w:t>
      </w:r>
    </w:p>
    <w:p>
      <w:pPr>
        <w:jc w:val="center"/>
      </w:pPr>
      <w:r>
        <w:rPr>
          <w:color w:val="444444"/>
          <w:sz w:val="30"/>
        </w:rPr>
        <w:t>Complete Technical Documentation</w:t>
      </w:r>
    </w:p>
    <w:p/>
    <w:p>
      <w:pPr>
        <w:jc w:val="center"/>
      </w:pPr>
      <w:r>
        <w:rPr>
          <w:color w:val="000000"/>
          <w:sz w:val="22"/>
        </w:rPr>
        <w:t>An end-to-end pipeline that collects, cleans, and consolidates scattered</w:t>
        <w:br/>
        <w:t>cybersecurity text into a single clean, schema-standardized, training-ready</w:t>
        <w:br/>
        <w:t>corpus for a small cybersecurity language model — plus a read-only monitoring</w:t>
        <w:br/>
        <w:t>dashboard with an integrated question-and-answer agent.</w:t>
      </w:r>
    </w:p>
    <w:p/>
    <w:p/>
    <w:p>
      <w:pPr>
        <w:jc w:val="center"/>
      </w:pPr>
      <w:r>
        <w:rPr>
          <w:color w:val="444444"/>
          <w:sz w:val="20"/>
        </w:rPr>
        <w:t>Package: cybersec_slm   ·   CLI: cybersec-slm   ·   Python 3.13+</w:t>
        <w:br/>
        <w:t>Document generated: 2026-07-03</w:t>
      </w:r>
    </w:p>
    <w:p>
      <w:r>
        <w:br w:type="page"/>
      </w:r>
    </w:p>
    <w:p>
      <w:pPr>
        <w:pStyle w:val="Heading1"/>
      </w:pPr>
      <w:r>
        <w:t>1. Introduction</w:t>
      </w:r>
    </w:p>
    <w:p>
      <w:r>
        <w:t>This project builds the training data for a small cybersecurity language model (SLM). There is no shortage of good cybersecurity material on the internet — CVE feeds, NIST publications, MITRE catalogs, research datasets, security blogs — but it is scattered across dozens of formats and sites, tangled up with noise, duplicates, and personal data, and none of it arrives in the shape a model wants to read. This pipeline handles that unglamorous middle work: it gathers vetted material and turns it into one clean, consistent, training-ready corpus that is trustworthy and traceable.</w:t>
      </w:r>
    </w:p>
    <w:p>
      <w:r>
        <w:t>It ships as an installable Python package (cybersec_slm) driven by a single command, cybersec-slm. You can run the whole thing end to end, or one stage at a time.</w:t>
      </w:r>
    </w:p>
    <w:p>
      <w:pPr>
        <w:pStyle w:val="Heading2"/>
      </w:pPr>
      <w:r>
        <w:t>1.1 Design principles</w:t>
      </w:r>
    </w:p>
    <w:p>
      <w:pPr>
        <w:pStyle w:val="ListBullet"/>
      </w:pPr>
      <w:r>
        <w:t>One vetted source list. A source is fetched only if it is marked approved in sources/allowlist.yaml, so a compromised or swapped-out upstream cannot enter the corpus under a trusted name.</w:t>
      </w:r>
    </w:p>
    <w:p>
      <w:pPr>
        <w:pStyle w:val="ListBullet"/>
      </w:pPr>
      <w:r>
        <w:t>Nothing is thrown away quietly. Removed records go to data/dropped/ with a reason; records that need a human eye go to data/flagged/. Everything stays auditable.</w:t>
      </w:r>
    </w:p>
    <w:p>
      <w:pPr>
        <w:pStyle w:val="ListBullet"/>
      </w:pPr>
      <w:r>
        <w:t>Every release is traceable. The final dataset ships with a content-hashed manifest — a datasheet that records where each record came from, under what license, and from which pipeline version — which is what lets a bad batch be scoped and rolled back.</w:t>
      </w:r>
    </w:p>
    <w:p>
      <w:pPr>
        <w:pStyle w:val="ListBullet"/>
      </w:pPr>
      <w:r>
        <w:t>Security is part of the flow, not a layer on top. Each stage assumes its input could be hostile or low quality and pushes the response toward something traceable, reversible, and auditable.</w:t>
      </w:r>
    </w:p>
    <w:p>
      <w:pPr>
        <w:pStyle w:val="ListBullet"/>
      </w:pPr>
      <w:r>
        <w:t>Everything resolves around a data root. All working folders are defined relative to the CYBERSEC_SLM_DATA_ROOT environment variable (defaulting to the current directory), which keeps the repository code-only and makes the whole system portable and hosted-ready.</w:t>
      </w:r>
    </w:p>
    <w:p>
      <w:pPr>
        <w:pStyle w:val="Heading1"/>
      </w:pPr>
      <w:r>
        <w:t>2. Architecture Overview</w:t>
      </w:r>
    </w:p>
    <w:p>
      <w:r>
        <w:t>The work happens in five stages. Each hands its output to the next, and each treats its input as possibly messy or untrustworthy, so problems get flagged, dropped, or quarantined instead of slipping downstream unnoticed.</w:t>
      </w:r>
    </w:p>
    <w:p>
      <w:pPr>
        <w:spacing w:before="80" w:after="160"/>
        <w:shd w:val="clear" w:color="auto" w:fill="F2F2F2"/>
      </w:pPr>
      <w:r>
        <w:rPr>
          <w:rFonts w:ascii="Consolas" w:hAnsi="Consolas"/>
          <w:color w:val="000000"/>
          <w:sz w:val="19"/>
        </w:rPr>
        <w:t>Sourcing  -&gt;  Ingestion   -&gt;  Cleaning   -&gt;  EDA gate  -&gt;  Normalization  -&gt;  dataset.jsonl</w:t>
        <w:br/>
        <w:t>(optional)    data/raw/     data/clean/   (pass?)       data/final/        + manifest.json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000000"/>
                <w:sz w:val="20"/>
              </w:rPr>
              <w:t>Stage</w:t>
            </w:r>
          </w:p>
        </w:tc>
        <w:tc>
          <w:tcPr>
            <w:tcW w:type="dxa" w:w="2880"/>
          </w:tcPr>
          <w:p>
            <w:r/>
            <w:r>
              <w:rPr>
                <w:b/>
                <w:color w:val="000000"/>
                <w:sz w:val="20"/>
              </w:rPr>
              <w:t>What it does</w:t>
            </w:r>
          </w:p>
        </w:tc>
        <w:tc>
          <w:tcPr>
            <w:tcW w:type="dxa" w:w="2880"/>
          </w:tcPr>
          <w:p>
            <w:r/>
            <w:r>
              <w:rPr>
                <w:b/>
                <w:color w:val="000000"/>
                <w:sz w:val="20"/>
              </w:rPr>
              <w:t>Output</w:t>
            </w:r>
          </w:p>
        </w:tc>
      </w:tr>
      <w:tr>
        <w:tc>
          <w:tcPr>
            <w:tcW w:type="dxa" w:w="2880"/>
          </w:tcPr>
          <w:p>
            <w:r/>
            <w:r>
              <w:rPr>
                <w:color w:val="000000"/>
                <w:sz w:val="19"/>
              </w:rPr>
              <w:t>Sourcing (optional)</w:t>
            </w:r>
          </w:p>
        </w:tc>
        <w:tc>
          <w:tcPr>
            <w:tcW w:type="dxa" w:w="2880"/>
          </w:tcPr>
          <w:p>
            <w:r/>
            <w:r>
              <w:rPr>
                <w:color w:val="000000"/>
                <w:sz w:val="19"/>
              </w:rPr>
              <w:t>Searches the web for new candidate sources and appends them to the catalog for human review. Nothing is trusted automatically.</w:t>
            </w:r>
          </w:p>
        </w:tc>
        <w:tc>
          <w:tcPr>
            <w:tcW w:type="dxa" w:w="2880"/>
          </w:tcPr>
          <w:p>
            <w:r/>
            <w:r>
              <w:rPr>
                <w:color w:val="000000"/>
                <w:sz w:val="19"/>
              </w:rPr>
              <w:t>sources/Sources.csv</w:t>
            </w:r>
          </w:p>
        </w:tc>
      </w:tr>
      <w:tr>
        <w:tc>
          <w:tcPr>
            <w:tcW w:type="dxa" w:w="2880"/>
          </w:tcPr>
          <w:p>
            <w:r/>
            <w:r>
              <w:rPr>
                <w:color w:val="000000"/>
                <w:sz w:val="19"/>
              </w:rPr>
              <w:t>Ingestion</w:t>
            </w:r>
          </w:p>
        </w:tc>
        <w:tc>
          <w:tcPr>
            <w:tcW w:type="dxa" w:w="2880"/>
          </w:tcPr>
          <w:p>
            <w:r/>
            <w:r>
              <w:rPr>
                <w:color w:val="000000"/>
                <w:sz w:val="19"/>
              </w:rPr>
              <w:t>Downloads each approved source (datasets, PDFs, feeds, crawlable sites) and converts everything to one line-per-record JSONL format.</w:t>
            </w:r>
          </w:p>
        </w:tc>
        <w:tc>
          <w:tcPr>
            <w:tcW w:type="dxa" w:w="2880"/>
          </w:tcPr>
          <w:p>
            <w:r/>
            <w:r>
              <w:rPr>
                <w:color w:val="000000"/>
                <w:sz w:val="19"/>
              </w:rPr>
              <w:t>data/raw/</w:t>
            </w:r>
          </w:p>
        </w:tc>
      </w:tr>
      <w:tr>
        <w:tc>
          <w:tcPr>
            <w:tcW w:type="dxa" w:w="2880"/>
          </w:tcPr>
          <w:p>
            <w:r/>
            <w:r>
              <w:rPr>
                <w:color w:val="000000"/>
                <w:sz w:val="19"/>
              </w:rPr>
              <w:t>Cleaning</w:t>
            </w:r>
          </w:p>
        </w:tc>
        <w:tc>
          <w:tcPr>
            <w:tcW w:type="dxa" w:w="2880"/>
          </w:tcPr>
          <w:p>
            <w:r/>
            <w:r>
              <w:rPr>
                <w:color w:val="000000"/>
                <w:sz w:val="19"/>
              </w:rPr>
              <w:t>Tidies text, flags suspicious records, removes duplicates, redacts PII, and translates non-English text to English.</w:t>
            </w:r>
          </w:p>
        </w:tc>
        <w:tc>
          <w:tcPr>
            <w:tcW w:type="dxa" w:w="2880"/>
          </w:tcPr>
          <w:p>
            <w:r/>
            <w:r>
              <w:rPr>
                <w:color w:val="000000"/>
                <w:sz w:val="19"/>
              </w:rPr>
              <w:t>data/clean/ (+ flagged/, dropped/)</w:t>
            </w:r>
          </w:p>
        </w:tc>
      </w:tr>
      <w:tr>
        <w:tc>
          <w:tcPr>
            <w:tcW w:type="dxa" w:w="2880"/>
          </w:tcPr>
          <w:p>
            <w:r/>
            <w:r>
              <w:rPr>
                <w:color w:val="000000"/>
                <w:sz w:val="19"/>
              </w:rPr>
              <w:t>EDA gate</w:t>
            </w:r>
          </w:p>
        </w:tc>
        <w:tc>
          <w:tcPr>
            <w:tcW w:type="dxa" w:w="2880"/>
          </w:tcPr>
          <w:p>
            <w:r/>
            <w:r>
              <w:rPr>
                <w:color w:val="000000"/>
                <w:sz w:val="19"/>
              </w:rPr>
              <w:t>Checks whether the corpus is good enough: enough volume, balanced across topics, not dominated by a single source. If not, the run stops.</w:t>
            </w:r>
          </w:p>
        </w:tc>
        <w:tc>
          <w:tcPr>
            <w:tcW w:type="dxa" w:w="2880"/>
          </w:tcPr>
          <w:p>
            <w:r/>
            <w:r>
              <w:rPr>
                <w:color w:val="000000"/>
                <w:sz w:val="19"/>
              </w:rPr>
              <w:t>logs/eda/</w:t>
            </w:r>
          </w:p>
        </w:tc>
      </w:tr>
      <w:tr>
        <w:tc>
          <w:tcPr>
            <w:tcW w:type="dxa" w:w="2880"/>
          </w:tcPr>
          <w:p>
            <w:r/>
            <w:r>
              <w:rPr>
                <w:color w:val="000000"/>
                <w:sz w:val="19"/>
              </w:rPr>
              <w:t>Normalization</w:t>
            </w:r>
          </w:p>
        </w:tc>
        <w:tc>
          <w:tcPr>
            <w:tcW w:type="dxa" w:w="2880"/>
          </w:tcPr>
          <w:p>
            <w:r/>
            <w:r>
              <w:rPr>
                <w:color w:val="000000"/>
                <w:sz w:val="19"/>
              </w:rPr>
              <w:t>Maps every record onto one canonical 22-field schema, removes near-duplicates, and writes the final dataset plus a provenance manifest.</w:t>
            </w:r>
          </w:p>
        </w:tc>
        <w:tc>
          <w:tcPr>
            <w:tcW w:type="dxa" w:w="2880"/>
          </w:tcPr>
          <w:p>
            <w:r/>
            <w:r>
              <w:rPr>
                <w:color w:val="000000"/>
                <w:sz w:val="19"/>
              </w:rPr>
              <w:t>data/final/dataset.jsonl</w:t>
            </w:r>
          </w:p>
        </w:tc>
      </w:tr>
    </w:tbl>
    <w:p>
      <w:r>
        <w:t>Two run modes drive the same per-source function: cybersec-slm run and cybersec-slm all both call ingestion/parallel.py::run_streaming; the Prefect flow wraps the same per-source work. Ingestion and cleaning are fused and run in parallel — one worker process per source does fetch -&gt; clean -&gt; delete raw — and after the pool drains, a single cross-source dedup pass runs over data/clean/. run stops there; all and flow continue into the EDA gate and normalizer.</w:t>
      </w:r>
    </w:p>
    <w:p>
      <w:pPr>
        <w:pStyle w:val="Heading2"/>
      </w:pPr>
      <w:r>
        <w:t>2.1 The data root</w:t>
      </w:r>
    </w:p>
    <w:p>
      <w:r>
        <w:t>core.py defines the working folders relative to CYBERSEC_SLM_DATA_ROOT (falling back to the current directory). Every generated corpus artifact lives under a single data/ folder (data/raw/, data/clean/, data/final/, data/flagged/, data/dropped/), with run logs in logs/ alongside it. These are generated and git-ignored, so the repository stays code-only. core.py also holds the shared logger and the JSONL read/write and hashing helpers used by every stage.</w:t>
      </w:r>
    </w:p>
    <w:p>
      <w:pPr>
        <w:pStyle w:val="Heading1"/>
      </w:pPr>
      <w:r>
        <w:t>3. Stage 0: Sourcing (optional)</w:t>
      </w:r>
    </w:p>
    <w:p>
      <w:r>
        <w:t>cybersec-slm source (sourcing/run.py) proposes new candidate sources. For each cybersecurity sub-domain it runs keyword searches through Google Programmable Search, builds a candidate row per hit, drops any URL already in the catalog (or seen earlier in the run), writes the survivors to a CSV under logs/discovered/, and — unless --dry-run — appends them to the local catalog (sources/Sources.csv).</w:t>
      </w:r>
    </w:p>
    <w:p>
      <w:r>
        <w:t>This stage only proposes sources for a human to review. Nothing here reaches ingestion directly; the gate between discovered and fetched is the allowlist.</w:t>
      </w:r>
    </w:p>
    <w:p>
      <w:pPr>
        <w:pStyle w:val="Heading1"/>
      </w:pPr>
      <w:r>
        <w:t>4. Stage 1: Ingestion  -&gt;  data/raw/</w:t>
      </w:r>
    </w:p>
    <w:p>
      <w:r>
        <w:t>Ingestion (ingestion/parallel.py, driven by cybersec-slm run / all) pulls each source through its handler and normalizes everything to JSONL:</w:t>
      </w:r>
    </w:p>
    <w:p>
      <w:pPr>
        <w:pStyle w:val="ListBullet"/>
      </w:pPr>
      <w:r>
        <w:t>fetch: dataset platforms (HuggingFace, Kaggle, raw URLs, GitHub)</w:t>
      </w:r>
    </w:p>
    <w:p>
      <w:pPr>
        <w:pStyle w:val="ListBullet"/>
      </w:pPr>
      <w:r>
        <w:t>scrape: PDFs (PyMuPDF, one record per page) and JSON feeds</w:t>
      </w:r>
    </w:p>
    <w:p>
      <w:pPr>
        <w:pStyle w:val="ListBullet"/>
      </w:pPr>
      <w:r>
        <w:t>html: crawlable sites, robots.txt-permitted (selectolax; Playwright for JS pages)</w:t>
      </w:r>
    </w:p>
    <w:p>
      <w:pPr>
        <w:pStyle w:val="ListBullet"/>
      </w:pPr>
      <w:r>
        <w:t>nvd: the NVD CVE feed (optional NVD_API_KEY for higher rate limits)</w:t>
      </w:r>
    </w:p>
    <w:p>
      <w:pPr>
        <w:pStyle w:val="Heading2"/>
      </w:pPr>
      <w:r>
        <w:t>4.1 The source allowlist (anti-poisoning gate)</w:t>
      </w:r>
    </w:p>
    <w:p>
      <w:r>
        <w:t>The source allowlist (ingestion/allowlist.py) is the key control here. Only sources marked status: approved in sources/allowlist.yaml are fetched; everything else is skipped and logged. This is the anti-poisoning gate: a substituted or compromised upstream cannot enter the corpus under a trusted name. It fails open (allow-all, with a warning) when the file is absent so a fresh checkout still runs, and CYBERSEC_SLM_ENFORCE_ALLOWLIST=1 forces enforcement (the Docker image sets this).</w:t>
      </w:r>
    </w:p>
    <w:p>
      <w:pPr>
        <w:pStyle w:val="Heading2"/>
      </w:pPr>
      <w:r>
        <w:t>4.2 The commercial-license gate (default-deny)</w:t>
      </w:r>
    </w:p>
    <w:p>
      <w:r>
        <w:t>A second gate, the license gate (ingestion/license_gate.py), runs immediately after the allowlist in the worker: a source is fetched only if its Sources.csv license clearly permits unencumbered commercial use. Where the allowlist answers "did we vet this exact source?", the license gate answers "are we legally allowed to train commercially on it?".</w:t>
      </w:r>
    </w:p>
    <w:p>
      <w:r>
        <w:t>The catalog's License column is free text and wildly inconsistent (SPDX ids, plain English, named-entity terms, blanks), so classification is keyword-based over the lowercased, whitespace-collapsed string, and default-deny: anything not recognised as clearly commercial is blocked until a human either fixes the license text or extends the allow set. Copyleft (GPL/LGPL/AGPL), share-alike, and non-commercial licenses are blocked deliberately — they permit commercial use only under obligations (such as releasing derivatives under the same terms) the project does not want to inherit.</w:t>
      </w:r>
    </w:p>
    <w:p>
      <w:r>
        <w:t>Check order matters: deny patterns are tested before allow patterns, so a compound string like "CC BY-NC-SA 4.0" (which also contains an allow substring) is correctly blocked. Skips are logged with a distinct license: reason, separate from the allowlist's allowlist: skip. CYBERSEC_SLM_ENFORCE_LICENSE_GATE=0 disables the gate for local dev/testing.</w:t>
      </w:r>
    </w:p>
    <w:p>
      <w:r>
        <w:t>The gate exposes two functions:</w:t>
      </w:r>
    </w:p>
    <w:p>
      <w:pPr>
        <w:pStyle w:val="ListBullet"/>
      </w:pPr>
      <w:r>
        <w:t>classify_license(raw) -&gt; (commercial_ok, reason): the pure keyword classifier.</w:t>
      </w:r>
    </w:p>
    <w:p>
      <w:pPr>
        <w:pStyle w:val="ListBullet"/>
      </w:pPr>
      <w:r>
        <w:t>is_license_ok(descriptor) -&gt; (allowed, reason): reads the descriptor's live license (from the Sources.csv License column, not the point-in-time copy in allowlist.yaml) and honours the env kill switch.</w:t>
      </w:r>
    </w:p>
    <w:p>
      <w:pPr>
        <w:pStyle w:val="Heading2"/>
      </w:pPr>
      <w:r>
        <w:t>4.3 Provenance and isolation</w:t>
      </w:r>
    </w:p>
    <w:p>
      <w:r>
        <w:t>Ingestion maintains a SQLite ingest log, a provenance ledger (logs/provenance/ledger.csv), and a summary table of every source's size, row count, and license. ingestion/worker.py handles one source per process; a bad source returns status="failed" instead of crashing the pool. The parent appends each completed source to logs/completed_sources.txt — the ledger that --resume reads to skip already-finished work, so an interrupted build never re-downloads multi-gigabyte sources.</w:t>
      </w:r>
    </w:p>
    <w:p>
      <w:pPr>
        <w:pStyle w:val="Heading1"/>
      </w:pPr>
      <w:r>
        <w:t>5. Stage 2: Cleaning  -&gt;  data/clean/ (+ flagged/, dropped/)</w:t>
      </w:r>
    </w:p>
    <w:p>
      <w:r>
        <w:t>Cleaning (cleaning/pipeline.py, run per source inside the worker) runs each record through a fixed order:</w:t>
      </w:r>
    </w:p>
    <w:p>
      <w:pPr>
        <w:pStyle w:val="ListNumber"/>
      </w:pPr>
      <w:r>
        <w:t>Text mapping: build a text field from prose columns; feature-table rows with no prose are excluded from the text corpus.</w:t>
      </w:r>
    </w:p>
    <w:p>
      <w:pPr>
        <w:pStyle w:val="ListNumber"/>
      </w:pPr>
      <w:r>
        <w:t>Anomaly classification + sanitize: structural problems -&gt; data/dropped/; behavioral anomalies -&gt; data/flagged/ for human review; sanitize can rescue a record.</w:t>
      </w:r>
    </w:p>
    <w:p>
      <w:pPr>
        <w:pStyle w:val="ListNumber"/>
      </w:pPr>
      <w:r>
        <w:t>Dedup: exact and near-duplicate detection; duplicates -&gt; data/dropped/.</w:t>
      </w:r>
    </w:p>
    <w:p>
      <w:pPr>
        <w:pStyle w:val="ListNumber"/>
      </w:pPr>
      <w:r>
        <w:t>PII redaction: Presidio (with a regex fallback) redacts PII in place.</w:t>
      </w:r>
    </w:p>
    <w:p>
      <w:pPr>
        <w:pStyle w:val="ListNumber"/>
      </w:pPr>
      <w:r>
        <w:t>Language: non-English text is translated into English and kept; only untranslatable text is dropped.</w:t>
      </w:r>
    </w:p>
    <w:p>
      <w:r>
        <w:t>Survivors land in data/clean/, mirroring the data/raw/ layout. Drops and flags are annotated with _stage and _reason, and a per-file report is written to logs/clean_report.csv. Every step degrades gracefully: if an optional tool is missing it falls back to a standard-library heuristic and logs which backend it used.</w:t>
      </w:r>
    </w:p>
    <w:p>
      <w:r>
        <w:t>Per-source workers run with dedup disabled; after the pool drains, final_global_dedup() makes one pass over data/clean/ to catch duplicates shared across sources. That pass is deterministic (files processed in sorted order, so which of two cross-source duplicates survives is stable) and checkpointed: the exact-hash set (logs/dedup_checkpoint.json) and the list of finished files (logs/dedup_done.json) are written after each file, so --resume restarts an interrupted dedup where it stopped.</w:t>
      </w:r>
    </w:p>
    <w:p>
      <w:pPr>
        <w:pStyle w:val="Heading1"/>
      </w:pPr>
      <w:r>
        <w:t>6. Stage 3: EDA Sufficiency Gate  -&gt;  logs/eda/</w:t>
      </w:r>
    </w:p>
    <w:p>
      <w:r>
        <w:t>cybersec-slm eda (eda/pipeline.py) turns analysis into an enforcement point:</w:t>
      </w:r>
    </w:p>
    <w:p>
      <w:pPr>
        <w:pStyle w:val="ListNumber"/>
      </w:pPr>
      <w:r>
        <w:t>Compute metrics over data/clean/: volume, per-subdomain balance, source concentration, text quality, duplicate rate.</w:t>
      </w:r>
    </w:p>
    <w:p>
      <w:pPr>
        <w:pStyle w:val="ListNumber"/>
      </w:pPr>
      <w:r>
        <w:t>Compute drift versus the previous run (max change in subdomain distribution).</w:t>
      </w:r>
    </w:p>
    <w:p>
      <w:pPr>
        <w:pStyle w:val="ListNumber"/>
      </w:pPr>
      <w:r>
        <w:t>Evaluate the gate against thresholds in eda/config.py (all env-overridable). Violations are blocker or warning.</w:t>
      </w:r>
    </w:p>
    <w:p>
      <w:pPr>
        <w:pStyle w:val="ListNumber"/>
      </w:pPr>
      <w:r>
        <w:t>Persist a versioned logs/eda/run-&lt;ts&gt;.json (append-only history) plus latest.json.</w:t>
      </w:r>
    </w:p>
    <w:p>
      <w:r>
        <w:t>The two severities:</w:t>
      </w:r>
    </w:p>
    <w:p>
      <w:pPr>
        <w:pStyle w:val="ListBullet"/>
      </w:pPr>
      <w:r>
        <w:t>Blockers: too few total records, or one source dominating a subdomain (concentration ceiling). A blocker raises SufficiencyError, which halts the pipeline so you loop back to ingestion instead of advancing.</w:t>
      </w:r>
    </w:p>
    <w:p>
      <w:pPr>
        <w:pStyle w:val="ListBullet"/>
      </w:pPr>
      <w:r>
        <w:t>Warnings: thin subdomains, high duplicate rate, low average tokens, drift. These are logged and tracked but do not stop the run.</w:t>
      </w:r>
    </w:p>
    <w:p>
      <w:r>
        <w:t>--no-enforce makes the gate report-only.</w:t>
      </w:r>
    </w:p>
    <w:p>
      <w:pPr>
        <w:pStyle w:val="Heading1"/>
      </w:pPr>
      <w:r>
        <w:t>7. Stage 4: Normalization  -&gt;  data/final/dataset.jsonl</w:t>
      </w:r>
    </w:p>
    <w:p>
      <w:r>
        <w:t>cybersec-slm normalize (normalize/pipeline.py) maps every surviving record onto the canonical 22-field schema and produces the release. Each record flows through:</w:t>
      </w:r>
    </w:p>
    <w:p>
      <w:pPr>
        <w:pStyle w:val="ListNumber"/>
      </w:pPr>
      <w:r>
        <w:t>Source mapper + registry dispatch (normalize/mappers.py): a ProseMapper for natural-language records, a StructuredMapper that renders table rows into readable "key: value" sentences. Unknown sources dispatch by record shape and raise a first-sight alert.</w:t>
      </w:r>
    </w:p>
    <w:p>
      <w:pPr>
        <w:pStyle w:val="ListNumber"/>
      </w:pPr>
      <w:r>
        <w:t>Enrichment (normalize/enrich.py): fills everything the mapper cannot — a uuid4 id, the content_hash, auto-computed lang / token_count / char_count, pipeline version and timestamp, the resolved domain_name / subdomain_name, and placeholders for downstream-owned fields (snorkel labels -&gt; -1 ABSTAIN; human-annotation fields -&gt; null).</w:t>
      </w:r>
    </w:p>
    <w:p>
      <w:pPr>
        <w:pStyle w:val="ListNumber"/>
      </w:pPr>
      <w:r>
        <w:t>Validation against CanonicalRecord (normalize/schema.py, Pydantic with extra="forbid" and closed enums). Invalid records go to metadata-only rejected.jsonl; raw text is gated behind CYBERSEC_SLM_DEBUG_REJECTS=1. A FailureTracker counts rejects per source, warns at 5, and hard-pauses a source at 20.</w:t>
      </w:r>
    </w:p>
    <w:p>
      <w:pPr>
        <w:pStyle w:val="ListNumber"/>
      </w:pPr>
      <w:r>
        <w:t>Near-duplicate check (normalize/dedup.py): MinHash/LSH at Jaccard 0.65, with every record's best-match score logged to dedup_scores.jsonl. Duplicates go to duplicates.jsonl.</w:t>
      </w:r>
    </w:p>
    <w:p>
      <w:pPr>
        <w:pStyle w:val="ListNumber"/>
      </w:pPr>
      <w:r>
        <w:t>Output: survivors are appended to dataset.jsonl and the hash index is updated. State is rebuilt from any existing dataset.jsonl, so runs are resumable.</w:t>
      </w:r>
    </w:p>
    <w:p>
      <w:r>
        <w:t>Finally, the run writes the provenance manifest (normalize/manifest.py), a "datasheet for datasets": record counts by domain / source / license / format / language, the EDA snapshot, pipeline version, git commit, and a sha256 of the dataset file.</w:t>
      </w:r>
    </w:p>
    <w:p>
      <w:pPr>
        <w:pStyle w:val="Heading1"/>
      </w:pPr>
      <w:r>
        <w:t>8. The Canonical 22-Field Schema</w:t>
      </w:r>
    </w:p>
    <w:p>
      <w:r>
        <w:t>The normalization stage emits one JSON object per line against a 22-field contract (normalize/schema.py::CanonicalRecord, Pydantic v2, extra="forbid"). The collection pipeline fills every field it can know and stamps explicit placeholders for fields owned by the downstream labeling and annotation pipelines, so the record shape is fixed end to end.</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
              <w:rPr>
                <w:b/>
                <w:color w:val="000000"/>
                <w:sz w:val="20"/>
              </w:rPr>
              <w:t>Group</w:t>
            </w:r>
          </w:p>
        </w:tc>
        <w:tc>
          <w:tcPr>
            <w:tcW w:type="dxa" w:w="2160"/>
          </w:tcPr>
          <w:p>
            <w:r/>
            <w:r>
              <w:rPr>
                <w:b/>
                <w:color w:val="000000"/>
                <w:sz w:val="20"/>
              </w:rPr>
              <w:t>Field</w:t>
            </w:r>
          </w:p>
        </w:tc>
        <w:tc>
          <w:tcPr>
            <w:tcW w:type="dxa" w:w="2160"/>
          </w:tcPr>
          <w:p>
            <w:r/>
            <w:r>
              <w:rPr>
                <w:b/>
                <w:color w:val="000000"/>
                <w:sz w:val="20"/>
              </w:rPr>
              <w:t>Type</w:t>
            </w:r>
          </w:p>
        </w:tc>
        <w:tc>
          <w:tcPr>
            <w:tcW w:type="dxa" w:w="2160"/>
          </w:tcPr>
          <w:p>
            <w:r/>
            <w:r>
              <w:rPr>
                <w:b/>
                <w:color w:val="000000"/>
                <w:sz w:val="20"/>
              </w:rPr>
              <w:t>Filled by</w:t>
            </w:r>
          </w:p>
        </w:tc>
      </w:tr>
      <w:tr>
        <w:tc>
          <w:tcPr>
            <w:tcW w:type="dxa" w:w="2160"/>
          </w:tcPr>
          <w:p>
            <w:r/>
            <w:r>
              <w:rPr>
                <w:color w:val="000000"/>
                <w:sz w:val="19"/>
              </w:rPr>
              <w:t>Identity</w:t>
            </w:r>
          </w:p>
        </w:tc>
        <w:tc>
          <w:tcPr>
            <w:tcW w:type="dxa" w:w="2160"/>
          </w:tcPr>
          <w:p>
            <w:r/>
            <w:r>
              <w:rPr>
                <w:color w:val="000000"/>
                <w:sz w:val="19"/>
              </w:rPr>
              <w:t>id</w:t>
            </w:r>
          </w:p>
        </w:tc>
        <w:tc>
          <w:tcPr>
            <w:tcW w:type="dxa" w:w="2160"/>
          </w:tcPr>
          <w:p>
            <w:r/>
            <w:r>
              <w:rPr>
                <w:color w:val="000000"/>
                <w:sz w:val="19"/>
              </w:rPr>
              <w:t>str (uuid4)</w:t>
            </w:r>
          </w:p>
        </w:tc>
        <w:tc>
          <w:tcPr>
            <w:tcW w:type="dxa" w:w="2160"/>
          </w:tcPr>
          <w:p>
            <w:r/>
            <w:r>
              <w:rPr>
                <w:color w:val="000000"/>
                <w:sz w:val="19"/>
              </w:rPr>
              <w:t>normalize</w:t>
            </w:r>
          </w:p>
        </w:tc>
      </w:tr>
      <w:tr>
        <w:tc>
          <w:tcPr>
            <w:tcW w:type="dxa" w:w="2160"/>
          </w:tcPr>
          <w:p>
            <w:r/>
            <w:r>
              <w:rPr>
                <w:color w:val="000000"/>
                <w:sz w:val="19"/>
              </w:rPr>
            </w:r>
          </w:p>
        </w:tc>
        <w:tc>
          <w:tcPr>
            <w:tcW w:type="dxa" w:w="2160"/>
          </w:tcPr>
          <w:p>
            <w:r/>
            <w:r>
              <w:rPr>
                <w:color w:val="000000"/>
                <w:sz w:val="19"/>
              </w:rPr>
              <w:t>content_hash</w:t>
            </w:r>
          </w:p>
        </w:tc>
        <w:tc>
          <w:tcPr>
            <w:tcW w:type="dxa" w:w="2160"/>
          </w:tcPr>
          <w:p>
            <w:r/>
            <w:r>
              <w:rPr>
                <w:color w:val="000000"/>
                <w:sz w:val="19"/>
              </w:rPr>
              <w:t>str (sha256 of text)</w:t>
            </w:r>
          </w:p>
        </w:tc>
        <w:tc>
          <w:tcPr>
            <w:tcW w:type="dxa" w:w="2160"/>
          </w:tcPr>
          <w:p>
            <w:r/>
            <w:r>
              <w:rPr>
                <w:color w:val="000000"/>
                <w:sz w:val="19"/>
              </w:rPr>
              <w:t>normalize</w:t>
            </w:r>
          </w:p>
        </w:tc>
      </w:tr>
      <w:tr>
        <w:tc>
          <w:tcPr>
            <w:tcW w:type="dxa" w:w="2160"/>
          </w:tcPr>
          <w:p>
            <w:r/>
            <w:r>
              <w:rPr>
                <w:color w:val="000000"/>
                <w:sz w:val="19"/>
              </w:rPr>
              <w:t>Content</w:t>
            </w:r>
          </w:p>
        </w:tc>
        <w:tc>
          <w:tcPr>
            <w:tcW w:type="dxa" w:w="2160"/>
          </w:tcPr>
          <w:p>
            <w:r/>
            <w:r>
              <w:rPr>
                <w:color w:val="000000"/>
                <w:sz w:val="19"/>
              </w:rPr>
              <w:t>text</w:t>
            </w:r>
          </w:p>
        </w:tc>
        <w:tc>
          <w:tcPr>
            <w:tcW w:type="dxa" w:w="2160"/>
          </w:tcPr>
          <w:p>
            <w:r/>
            <w:r>
              <w:rPr>
                <w:color w:val="000000"/>
                <w:sz w:val="19"/>
              </w:rPr>
              <w:t>str</w:t>
            </w:r>
          </w:p>
        </w:tc>
        <w:tc>
          <w:tcPr>
            <w:tcW w:type="dxa" w:w="2160"/>
          </w:tcPr>
          <w:p>
            <w:r/>
            <w:r>
              <w:rPr>
                <w:color w:val="000000"/>
                <w:sz w:val="19"/>
              </w:rPr>
              <w:t>cleaning -&gt; normalize</w:t>
            </w:r>
          </w:p>
        </w:tc>
      </w:tr>
      <w:tr>
        <w:tc>
          <w:tcPr>
            <w:tcW w:type="dxa" w:w="2160"/>
          </w:tcPr>
          <w:p>
            <w:r/>
            <w:r>
              <w:rPr>
                <w:color w:val="000000"/>
                <w:sz w:val="19"/>
              </w:rPr>
              <w:t>Provenance</w:t>
            </w:r>
          </w:p>
        </w:tc>
        <w:tc>
          <w:tcPr>
            <w:tcW w:type="dxa" w:w="2160"/>
          </w:tcPr>
          <w:p>
            <w:r/>
            <w:r>
              <w:rPr>
                <w:color w:val="000000"/>
                <w:sz w:val="19"/>
              </w:rPr>
              <w:t>source</w:t>
            </w:r>
          </w:p>
        </w:tc>
        <w:tc>
          <w:tcPr>
            <w:tcW w:type="dxa" w:w="2160"/>
          </w:tcPr>
          <w:p>
            <w:r/>
            <w:r>
              <w:rPr>
                <w:color w:val="000000"/>
                <w:sz w:val="19"/>
              </w:rPr>
              <w:t>str</w:t>
            </w:r>
          </w:p>
        </w:tc>
        <w:tc>
          <w:tcPr>
            <w:tcW w:type="dxa" w:w="2160"/>
          </w:tcPr>
          <w:p>
            <w:r/>
            <w:r>
              <w:rPr>
                <w:color w:val="000000"/>
                <w:sz w:val="19"/>
              </w:rPr>
              <w:t>ingestion</w:t>
            </w:r>
          </w:p>
        </w:tc>
      </w:tr>
      <w:tr>
        <w:tc>
          <w:tcPr>
            <w:tcW w:type="dxa" w:w="2160"/>
          </w:tcPr>
          <w:p>
            <w:r/>
            <w:r>
              <w:rPr>
                <w:color w:val="000000"/>
                <w:sz w:val="19"/>
              </w:rPr>
            </w:r>
          </w:p>
        </w:tc>
        <w:tc>
          <w:tcPr>
            <w:tcW w:type="dxa" w:w="2160"/>
          </w:tcPr>
          <w:p>
            <w:r/>
            <w:r>
              <w:rPr>
                <w:color w:val="000000"/>
                <w:sz w:val="19"/>
              </w:rPr>
              <w:t>source_url</w:t>
            </w:r>
          </w:p>
        </w:tc>
        <w:tc>
          <w:tcPr>
            <w:tcW w:type="dxa" w:w="2160"/>
          </w:tcPr>
          <w:p>
            <w:r/>
            <w:r>
              <w:rPr>
                <w:color w:val="000000"/>
                <w:sz w:val="19"/>
              </w:rPr>
              <w:t>str | null</w:t>
            </w:r>
          </w:p>
        </w:tc>
        <w:tc>
          <w:tcPr>
            <w:tcW w:type="dxa" w:w="2160"/>
          </w:tcPr>
          <w:p>
            <w:r/>
            <w:r>
              <w:rPr>
                <w:color w:val="000000"/>
                <w:sz w:val="19"/>
              </w:rPr>
              <w:t>ingestion</w:t>
            </w:r>
          </w:p>
        </w:tc>
      </w:tr>
      <w:tr>
        <w:tc>
          <w:tcPr>
            <w:tcW w:type="dxa" w:w="2160"/>
          </w:tcPr>
          <w:p>
            <w:r/>
            <w:r>
              <w:rPr>
                <w:color w:val="000000"/>
                <w:sz w:val="19"/>
              </w:rPr>
            </w:r>
          </w:p>
        </w:tc>
        <w:tc>
          <w:tcPr>
            <w:tcW w:type="dxa" w:w="2160"/>
          </w:tcPr>
          <w:p>
            <w:r/>
            <w:r>
              <w:rPr>
                <w:color w:val="000000"/>
                <w:sz w:val="19"/>
              </w:rPr>
              <w:t>license</w:t>
            </w:r>
          </w:p>
        </w:tc>
        <w:tc>
          <w:tcPr>
            <w:tcW w:type="dxa" w:w="2160"/>
          </w:tcPr>
          <w:p>
            <w:r/>
            <w:r>
              <w:rPr>
                <w:color w:val="000000"/>
                <w:sz w:val="19"/>
              </w:rPr>
              <w:t>str (SPDX/best-effort)</w:t>
            </w:r>
          </w:p>
        </w:tc>
        <w:tc>
          <w:tcPr>
            <w:tcW w:type="dxa" w:w="2160"/>
          </w:tcPr>
          <w:p>
            <w:r/>
            <w:r>
              <w:rPr>
                <w:color w:val="000000"/>
                <w:sz w:val="19"/>
              </w:rPr>
              <w:t>ingestion</w:t>
            </w:r>
          </w:p>
        </w:tc>
      </w:tr>
      <w:tr>
        <w:tc>
          <w:tcPr>
            <w:tcW w:type="dxa" w:w="2160"/>
          </w:tcPr>
          <w:p>
            <w:r/>
            <w:r>
              <w:rPr>
                <w:color w:val="000000"/>
                <w:sz w:val="19"/>
              </w:rPr>
            </w:r>
          </w:p>
        </w:tc>
        <w:tc>
          <w:tcPr>
            <w:tcW w:type="dxa" w:w="2160"/>
          </w:tcPr>
          <w:p>
            <w:r/>
            <w:r>
              <w:rPr>
                <w:color w:val="000000"/>
                <w:sz w:val="19"/>
              </w:rPr>
              <w:t>origin_format</w:t>
            </w:r>
          </w:p>
        </w:tc>
        <w:tc>
          <w:tcPr>
            <w:tcW w:type="dxa" w:w="2160"/>
          </w:tcPr>
          <w:p>
            <w:r/>
            <w:r>
              <w:rPr>
                <w:color w:val="000000"/>
                <w:sz w:val="19"/>
              </w:rPr>
              <w:t>str (jsonl/csv/pdf/...)</w:t>
            </w:r>
          </w:p>
        </w:tc>
        <w:tc>
          <w:tcPr>
            <w:tcW w:type="dxa" w:w="2160"/>
          </w:tcPr>
          <w:p>
            <w:r/>
            <w:r>
              <w:rPr>
                <w:color w:val="000000"/>
                <w:sz w:val="19"/>
              </w:rPr>
              <w:t>ingestion</w:t>
            </w:r>
          </w:p>
        </w:tc>
      </w:tr>
      <w:tr>
        <w:tc>
          <w:tcPr>
            <w:tcW w:type="dxa" w:w="2160"/>
          </w:tcPr>
          <w:p>
            <w:r/>
            <w:r>
              <w:rPr>
                <w:color w:val="000000"/>
                <w:sz w:val="19"/>
              </w:rPr>
              <w:t>Auto-computed</w:t>
            </w:r>
          </w:p>
        </w:tc>
        <w:tc>
          <w:tcPr>
            <w:tcW w:type="dxa" w:w="2160"/>
          </w:tcPr>
          <w:p>
            <w:r/>
            <w:r>
              <w:rPr>
                <w:color w:val="000000"/>
                <w:sz w:val="19"/>
              </w:rPr>
              <w:t>lang</w:t>
            </w:r>
          </w:p>
        </w:tc>
        <w:tc>
          <w:tcPr>
            <w:tcW w:type="dxa" w:w="2160"/>
          </w:tcPr>
          <w:p>
            <w:r/>
            <w:r>
              <w:rPr>
                <w:color w:val="000000"/>
                <w:sz w:val="19"/>
              </w:rPr>
              <w:t>str (ISO 639-1)</w:t>
            </w:r>
          </w:p>
        </w:tc>
        <w:tc>
          <w:tcPr>
            <w:tcW w:type="dxa" w:w="2160"/>
          </w:tcPr>
          <w:p>
            <w:r/>
            <w:r>
              <w:rPr>
                <w:color w:val="000000"/>
                <w:sz w:val="19"/>
              </w:rPr>
              <w:t>normalize</w:t>
            </w:r>
          </w:p>
        </w:tc>
      </w:tr>
      <w:tr>
        <w:tc>
          <w:tcPr>
            <w:tcW w:type="dxa" w:w="2160"/>
          </w:tcPr>
          <w:p>
            <w:r/>
            <w:r>
              <w:rPr>
                <w:color w:val="000000"/>
                <w:sz w:val="19"/>
              </w:rPr>
            </w:r>
          </w:p>
        </w:tc>
        <w:tc>
          <w:tcPr>
            <w:tcW w:type="dxa" w:w="2160"/>
          </w:tcPr>
          <w:p>
            <w:r/>
            <w:r>
              <w:rPr>
                <w:color w:val="000000"/>
                <w:sz w:val="19"/>
              </w:rPr>
              <w:t>token_count</w:t>
            </w:r>
          </w:p>
        </w:tc>
        <w:tc>
          <w:tcPr>
            <w:tcW w:type="dxa" w:w="2160"/>
          </w:tcPr>
          <w:p>
            <w:r/>
            <w:r>
              <w:rPr>
                <w:color w:val="000000"/>
                <w:sz w:val="19"/>
              </w:rPr>
              <w:t>int</w:t>
            </w:r>
          </w:p>
        </w:tc>
        <w:tc>
          <w:tcPr>
            <w:tcW w:type="dxa" w:w="2160"/>
          </w:tcPr>
          <w:p>
            <w:r/>
            <w:r>
              <w:rPr>
                <w:color w:val="000000"/>
                <w:sz w:val="19"/>
              </w:rPr>
              <w:t>normalize</w:t>
            </w:r>
          </w:p>
        </w:tc>
      </w:tr>
      <w:tr>
        <w:tc>
          <w:tcPr>
            <w:tcW w:type="dxa" w:w="2160"/>
          </w:tcPr>
          <w:p>
            <w:r/>
            <w:r>
              <w:rPr>
                <w:color w:val="000000"/>
                <w:sz w:val="19"/>
              </w:rPr>
            </w:r>
          </w:p>
        </w:tc>
        <w:tc>
          <w:tcPr>
            <w:tcW w:type="dxa" w:w="2160"/>
          </w:tcPr>
          <w:p>
            <w:r/>
            <w:r>
              <w:rPr>
                <w:color w:val="000000"/>
                <w:sz w:val="19"/>
              </w:rPr>
              <w:t>char_count</w:t>
            </w:r>
          </w:p>
        </w:tc>
        <w:tc>
          <w:tcPr>
            <w:tcW w:type="dxa" w:w="2160"/>
          </w:tcPr>
          <w:p>
            <w:r/>
            <w:r>
              <w:rPr>
                <w:color w:val="000000"/>
                <w:sz w:val="19"/>
              </w:rPr>
              <w:t>int</w:t>
            </w:r>
          </w:p>
        </w:tc>
        <w:tc>
          <w:tcPr>
            <w:tcW w:type="dxa" w:w="2160"/>
          </w:tcPr>
          <w:p>
            <w:r/>
            <w:r>
              <w:rPr>
                <w:color w:val="000000"/>
                <w:sz w:val="19"/>
              </w:rPr>
              <w:t>normalize</w:t>
            </w:r>
          </w:p>
        </w:tc>
      </w:tr>
      <w:tr>
        <w:tc>
          <w:tcPr>
            <w:tcW w:type="dxa" w:w="2160"/>
          </w:tcPr>
          <w:p>
            <w:r/>
            <w:r>
              <w:rPr>
                <w:color w:val="000000"/>
                <w:sz w:val="19"/>
              </w:rPr>
              <w:t>Pipeline meta</w:t>
            </w:r>
          </w:p>
        </w:tc>
        <w:tc>
          <w:tcPr>
            <w:tcW w:type="dxa" w:w="2160"/>
          </w:tcPr>
          <w:p>
            <w:r/>
            <w:r>
              <w:rPr>
                <w:color w:val="000000"/>
                <w:sz w:val="19"/>
              </w:rPr>
              <w:t>pipeline_version</w:t>
            </w:r>
          </w:p>
        </w:tc>
        <w:tc>
          <w:tcPr>
            <w:tcW w:type="dxa" w:w="2160"/>
          </w:tcPr>
          <w:p>
            <w:r/>
            <w:r>
              <w:rPr>
                <w:color w:val="000000"/>
                <w:sz w:val="19"/>
              </w:rPr>
              <w:t>str (semver)</w:t>
            </w:r>
          </w:p>
        </w:tc>
        <w:tc>
          <w:tcPr>
            <w:tcW w:type="dxa" w:w="2160"/>
          </w:tcPr>
          <w:p>
            <w:r/>
            <w:r>
              <w:rPr>
                <w:color w:val="000000"/>
                <w:sz w:val="19"/>
              </w:rPr>
              <w:t>normalize</w:t>
            </w:r>
          </w:p>
        </w:tc>
      </w:tr>
      <w:tr>
        <w:tc>
          <w:tcPr>
            <w:tcW w:type="dxa" w:w="2160"/>
          </w:tcPr>
          <w:p>
            <w:r/>
            <w:r>
              <w:rPr>
                <w:color w:val="000000"/>
                <w:sz w:val="19"/>
              </w:rPr>
            </w:r>
          </w:p>
        </w:tc>
        <w:tc>
          <w:tcPr>
            <w:tcW w:type="dxa" w:w="2160"/>
          </w:tcPr>
          <w:p>
            <w:r/>
            <w:r>
              <w:rPr>
                <w:color w:val="000000"/>
                <w:sz w:val="19"/>
              </w:rPr>
              <w:t>collected_at</w:t>
            </w:r>
          </w:p>
        </w:tc>
        <w:tc>
          <w:tcPr>
            <w:tcW w:type="dxa" w:w="2160"/>
          </w:tcPr>
          <w:p>
            <w:r/>
            <w:r>
              <w:rPr>
                <w:color w:val="000000"/>
                <w:sz w:val="19"/>
              </w:rPr>
              <w:t>str (ISO 8601 UTC)</w:t>
            </w:r>
          </w:p>
        </w:tc>
        <w:tc>
          <w:tcPr>
            <w:tcW w:type="dxa" w:w="2160"/>
          </w:tcPr>
          <w:p>
            <w:r/>
            <w:r>
              <w:rPr>
                <w:color w:val="000000"/>
                <w:sz w:val="19"/>
              </w:rPr>
              <w:t>normalize</w:t>
            </w:r>
          </w:p>
        </w:tc>
      </w:tr>
      <w:tr>
        <w:tc>
          <w:tcPr>
            <w:tcW w:type="dxa" w:w="2160"/>
          </w:tcPr>
          <w:p>
            <w:r/>
            <w:r>
              <w:rPr>
                <w:color w:val="000000"/>
                <w:sz w:val="19"/>
              </w:rPr>
              <w:t>Labels</w:t>
            </w:r>
          </w:p>
        </w:tc>
        <w:tc>
          <w:tcPr>
            <w:tcW w:type="dxa" w:w="2160"/>
          </w:tcPr>
          <w:p>
            <w:r/>
            <w:r>
              <w:rPr>
                <w:color w:val="000000"/>
                <w:sz w:val="19"/>
              </w:rPr>
              <w:t>source_file</w:t>
            </w:r>
          </w:p>
        </w:tc>
        <w:tc>
          <w:tcPr>
            <w:tcW w:type="dxa" w:w="2160"/>
          </w:tcPr>
          <w:p>
            <w:r/>
            <w:r>
              <w:rPr>
                <w:color w:val="000000"/>
                <w:sz w:val="19"/>
              </w:rPr>
              <w:t>str (routing key)</w:t>
            </w:r>
          </w:p>
        </w:tc>
        <w:tc>
          <w:tcPr>
            <w:tcW w:type="dxa" w:w="2160"/>
          </w:tcPr>
          <w:p>
            <w:r/>
            <w:r>
              <w:rPr>
                <w:color w:val="000000"/>
                <w:sz w:val="19"/>
              </w:rPr>
              <w:t>normalize</w:t>
            </w:r>
          </w:p>
        </w:tc>
      </w:tr>
      <w:tr>
        <w:tc>
          <w:tcPr>
            <w:tcW w:type="dxa" w:w="2160"/>
          </w:tcPr>
          <w:p>
            <w:r/>
            <w:r>
              <w:rPr>
                <w:color w:val="000000"/>
                <w:sz w:val="19"/>
              </w:rPr>
            </w:r>
          </w:p>
        </w:tc>
        <w:tc>
          <w:tcPr>
            <w:tcW w:type="dxa" w:w="2160"/>
          </w:tcPr>
          <w:p>
            <w:r/>
            <w:r>
              <w:rPr>
                <w:color w:val="000000"/>
                <w:sz w:val="19"/>
              </w:rPr>
              <w:t>record_type</w:t>
            </w:r>
          </w:p>
        </w:tc>
        <w:tc>
          <w:tcPr>
            <w:tcW w:type="dxa" w:w="2160"/>
          </w:tcPr>
          <w:p>
            <w:r/>
            <w:r>
              <w:rPr>
                <w:color w:val="000000"/>
                <w:sz w:val="19"/>
              </w:rPr>
              <w:t>str (cve/article/log/...)</w:t>
            </w:r>
          </w:p>
        </w:tc>
        <w:tc>
          <w:tcPr>
            <w:tcW w:type="dxa" w:w="2160"/>
          </w:tcPr>
          <w:p>
            <w:r/>
            <w:r>
              <w:rPr>
                <w:color w:val="000000"/>
                <w:sz w:val="19"/>
              </w:rPr>
              <w:t>normalize (heuristic)</w:t>
            </w:r>
          </w:p>
        </w:tc>
      </w:tr>
      <w:tr>
        <w:tc>
          <w:tcPr>
            <w:tcW w:type="dxa" w:w="2160"/>
          </w:tcPr>
          <w:p>
            <w:r/>
            <w:r>
              <w:rPr>
                <w:color w:val="000000"/>
                <w:sz w:val="19"/>
              </w:rPr>
            </w:r>
          </w:p>
        </w:tc>
        <w:tc>
          <w:tcPr>
            <w:tcW w:type="dxa" w:w="2160"/>
          </w:tcPr>
          <w:p>
            <w:r/>
            <w:r>
              <w:rPr>
                <w:color w:val="000000"/>
                <w:sz w:val="19"/>
              </w:rPr>
              <w:t>domain_name</w:t>
            </w:r>
          </w:p>
        </w:tc>
        <w:tc>
          <w:tcPr>
            <w:tcW w:type="dxa" w:w="2160"/>
          </w:tcPr>
          <w:p>
            <w:r/>
            <w:r>
              <w:rPr>
                <w:color w:val="000000"/>
                <w:sz w:val="19"/>
              </w:rPr>
              <w:t>str (CYBERSEC | QUANTUM_SEC)</w:t>
            </w:r>
          </w:p>
        </w:tc>
        <w:tc>
          <w:tcPr>
            <w:tcW w:type="dxa" w:w="2160"/>
          </w:tcPr>
          <w:p>
            <w:r/>
            <w:r>
              <w:rPr>
                <w:color w:val="000000"/>
                <w:sz w:val="19"/>
              </w:rPr>
              <w:t>normalize</w:t>
            </w:r>
          </w:p>
        </w:tc>
      </w:tr>
      <w:tr>
        <w:tc>
          <w:tcPr>
            <w:tcW w:type="dxa" w:w="2160"/>
          </w:tcPr>
          <w:p>
            <w:r/>
            <w:r>
              <w:rPr>
                <w:color w:val="000000"/>
                <w:sz w:val="19"/>
              </w:rPr>
            </w:r>
          </w:p>
        </w:tc>
        <w:tc>
          <w:tcPr>
            <w:tcW w:type="dxa" w:w="2160"/>
          </w:tcPr>
          <w:p>
            <w:r/>
            <w:r>
              <w:rPr>
                <w:color w:val="000000"/>
                <w:sz w:val="19"/>
              </w:rPr>
              <w:t>subdomain_name</w:t>
            </w:r>
          </w:p>
        </w:tc>
        <w:tc>
          <w:tcPr>
            <w:tcW w:type="dxa" w:w="2160"/>
          </w:tcPr>
          <w:p>
            <w:r/>
            <w:r>
              <w:rPr>
                <w:color w:val="000000"/>
                <w:sz w:val="19"/>
              </w:rPr>
              <w:t>str (12 values)</w:t>
            </w:r>
          </w:p>
        </w:tc>
        <w:tc>
          <w:tcPr>
            <w:tcW w:type="dxa" w:w="2160"/>
          </w:tcPr>
          <w:p>
            <w:r/>
            <w:r>
              <w:rPr>
                <w:color w:val="000000"/>
                <w:sz w:val="19"/>
              </w:rPr>
              <w:t>normalize</w:t>
            </w:r>
          </w:p>
        </w:tc>
      </w:tr>
      <w:tr>
        <w:tc>
          <w:tcPr>
            <w:tcW w:type="dxa" w:w="2160"/>
          </w:tcPr>
          <w:p>
            <w:r/>
            <w:r>
              <w:rPr>
                <w:color w:val="000000"/>
                <w:sz w:val="19"/>
              </w:rPr>
            </w:r>
          </w:p>
        </w:tc>
        <w:tc>
          <w:tcPr>
            <w:tcW w:type="dxa" w:w="2160"/>
          </w:tcPr>
          <w:p>
            <w:r/>
            <w:r>
              <w:rPr>
                <w:color w:val="000000"/>
                <w:sz w:val="19"/>
              </w:rPr>
              <w:t>domain_label</w:t>
            </w:r>
          </w:p>
        </w:tc>
        <w:tc>
          <w:tcPr>
            <w:tcW w:type="dxa" w:w="2160"/>
          </w:tcPr>
          <w:p>
            <w:r/>
            <w:r>
              <w:rPr>
                <w:color w:val="000000"/>
                <w:sz w:val="19"/>
              </w:rPr>
              <w:t>int</w:t>
            </w:r>
          </w:p>
        </w:tc>
        <w:tc>
          <w:tcPr>
            <w:tcW w:type="dxa" w:w="2160"/>
          </w:tcPr>
          <w:p>
            <w:r/>
            <w:r>
              <w:rPr>
                <w:color w:val="000000"/>
                <w:sz w:val="19"/>
              </w:rPr>
              <w:t>placeholder -1 -&gt; snorkel</w:t>
            </w:r>
          </w:p>
        </w:tc>
      </w:tr>
      <w:tr>
        <w:tc>
          <w:tcPr>
            <w:tcW w:type="dxa" w:w="2160"/>
          </w:tcPr>
          <w:p>
            <w:r/>
            <w:r>
              <w:rPr>
                <w:color w:val="000000"/>
                <w:sz w:val="19"/>
              </w:rPr>
            </w:r>
          </w:p>
        </w:tc>
        <w:tc>
          <w:tcPr>
            <w:tcW w:type="dxa" w:w="2160"/>
          </w:tcPr>
          <w:p>
            <w:r/>
            <w:r>
              <w:rPr>
                <w:color w:val="000000"/>
                <w:sz w:val="19"/>
              </w:rPr>
              <w:t>subdomain_label</w:t>
            </w:r>
          </w:p>
        </w:tc>
        <w:tc>
          <w:tcPr>
            <w:tcW w:type="dxa" w:w="2160"/>
          </w:tcPr>
          <w:p>
            <w:r/>
            <w:r>
              <w:rPr>
                <w:color w:val="000000"/>
                <w:sz w:val="19"/>
              </w:rPr>
              <w:t>int</w:t>
            </w:r>
          </w:p>
        </w:tc>
        <w:tc>
          <w:tcPr>
            <w:tcW w:type="dxa" w:w="2160"/>
          </w:tcPr>
          <w:p>
            <w:r/>
            <w:r>
              <w:rPr>
                <w:color w:val="000000"/>
                <w:sz w:val="19"/>
              </w:rPr>
              <w:t>placeholder -1 -&gt; snorkel</w:t>
            </w:r>
          </w:p>
        </w:tc>
      </w:tr>
      <w:tr>
        <w:tc>
          <w:tcPr>
            <w:tcW w:type="dxa" w:w="2160"/>
          </w:tcPr>
          <w:p>
            <w:r/>
            <w:r>
              <w:rPr>
                <w:color w:val="000000"/>
                <w:sz w:val="19"/>
              </w:rPr>
              <w:t>Annotation</w:t>
            </w:r>
          </w:p>
        </w:tc>
        <w:tc>
          <w:tcPr>
            <w:tcW w:type="dxa" w:w="2160"/>
          </w:tcPr>
          <w:p>
            <w:r/>
            <w:r>
              <w:rPr>
                <w:color w:val="000000"/>
                <w:sz w:val="19"/>
              </w:rPr>
              <w:t>safe_unsafe</w:t>
            </w:r>
          </w:p>
        </w:tc>
        <w:tc>
          <w:tcPr>
            <w:tcW w:type="dxa" w:w="2160"/>
          </w:tcPr>
          <w:p>
            <w:r/>
            <w:r>
              <w:rPr>
                <w:color w:val="000000"/>
                <w:sz w:val="19"/>
              </w:rPr>
              <w:t>str | null</w:t>
            </w:r>
          </w:p>
        </w:tc>
        <w:tc>
          <w:tcPr>
            <w:tcW w:type="dxa" w:w="2160"/>
          </w:tcPr>
          <w:p>
            <w:r/>
            <w:r>
              <w:rPr>
                <w:color w:val="000000"/>
                <w:sz w:val="19"/>
              </w:rPr>
              <w:t>placeholder null -&gt; annotation</w:t>
            </w:r>
          </w:p>
        </w:tc>
      </w:tr>
      <w:tr>
        <w:tc>
          <w:tcPr>
            <w:tcW w:type="dxa" w:w="2160"/>
          </w:tcPr>
          <w:p>
            <w:r/>
            <w:r>
              <w:rPr>
                <w:color w:val="000000"/>
                <w:sz w:val="19"/>
              </w:rPr>
            </w:r>
          </w:p>
        </w:tc>
        <w:tc>
          <w:tcPr>
            <w:tcW w:type="dxa" w:w="2160"/>
          </w:tcPr>
          <w:p>
            <w:r/>
            <w:r>
              <w:rPr>
                <w:color w:val="000000"/>
                <w:sz w:val="19"/>
              </w:rPr>
              <w:t>confidence</w:t>
            </w:r>
          </w:p>
        </w:tc>
        <w:tc>
          <w:tcPr>
            <w:tcW w:type="dxa" w:w="2160"/>
          </w:tcPr>
          <w:p>
            <w:r/>
            <w:r>
              <w:rPr>
                <w:color w:val="000000"/>
                <w:sz w:val="19"/>
              </w:rPr>
              <w:t>float | null</w:t>
            </w:r>
          </w:p>
        </w:tc>
        <w:tc>
          <w:tcPr>
            <w:tcW w:type="dxa" w:w="2160"/>
          </w:tcPr>
          <w:p>
            <w:r/>
            <w:r>
              <w:rPr>
                <w:color w:val="000000"/>
                <w:sz w:val="19"/>
              </w:rPr>
              <w:t>placeholder null -&gt; annotation</w:t>
            </w:r>
          </w:p>
        </w:tc>
      </w:tr>
      <w:tr>
        <w:tc>
          <w:tcPr>
            <w:tcW w:type="dxa" w:w="2160"/>
          </w:tcPr>
          <w:p>
            <w:r/>
            <w:r>
              <w:rPr>
                <w:color w:val="000000"/>
                <w:sz w:val="19"/>
              </w:rPr>
            </w:r>
          </w:p>
        </w:tc>
        <w:tc>
          <w:tcPr>
            <w:tcW w:type="dxa" w:w="2160"/>
          </w:tcPr>
          <w:p>
            <w:r/>
            <w:r>
              <w:rPr>
                <w:color w:val="000000"/>
                <w:sz w:val="19"/>
              </w:rPr>
              <w:t>instruction</w:t>
            </w:r>
          </w:p>
        </w:tc>
        <w:tc>
          <w:tcPr>
            <w:tcW w:type="dxa" w:w="2160"/>
          </w:tcPr>
          <w:p>
            <w:r/>
            <w:r>
              <w:rPr>
                <w:color w:val="000000"/>
                <w:sz w:val="19"/>
              </w:rPr>
              <w:t>str | null</w:t>
            </w:r>
          </w:p>
        </w:tc>
        <w:tc>
          <w:tcPr>
            <w:tcW w:type="dxa" w:w="2160"/>
          </w:tcPr>
          <w:p>
            <w:r/>
            <w:r>
              <w:rPr>
                <w:color w:val="000000"/>
                <w:sz w:val="19"/>
              </w:rPr>
              <w:t>placeholder null -&gt; annotation</w:t>
            </w:r>
          </w:p>
        </w:tc>
      </w:tr>
      <w:tr>
        <w:tc>
          <w:tcPr>
            <w:tcW w:type="dxa" w:w="2160"/>
          </w:tcPr>
          <w:p>
            <w:r/>
            <w:r>
              <w:rPr>
                <w:color w:val="000000"/>
                <w:sz w:val="19"/>
              </w:rPr>
            </w:r>
          </w:p>
        </w:tc>
        <w:tc>
          <w:tcPr>
            <w:tcW w:type="dxa" w:w="2160"/>
          </w:tcPr>
          <w:p>
            <w:r/>
            <w:r>
              <w:rPr>
                <w:color w:val="000000"/>
                <w:sz w:val="19"/>
              </w:rPr>
              <w:t>reviewed_by</w:t>
            </w:r>
          </w:p>
        </w:tc>
        <w:tc>
          <w:tcPr>
            <w:tcW w:type="dxa" w:w="2160"/>
          </w:tcPr>
          <w:p>
            <w:r/>
            <w:r>
              <w:rPr>
                <w:color w:val="000000"/>
                <w:sz w:val="19"/>
              </w:rPr>
              <w:t>str | null</w:t>
            </w:r>
          </w:p>
        </w:tc>
        <w:tc>
          <w:tcPr>
            <w:tcW w:type="dxa" w:w="2160"/>
          </w:tcPr>
          <w:p>
            <w:r/>
            <w:r>
              <w:rPr>
                <w:color w:val="000000"/>
                <w:sz w:val="19"/>
              </w:rPr>
              <w:t>placeholder null -&gt; annotation</w:t>
            </w:r>
          </w:p>
        </w:tc>
      </w:tr>
    </w:tbl>
    <w:p>
      <w:r>
        <w:t>domain_name is CYBERSEC for the 12 cybersecurity domains and QUANTUM_SEC for the post-quantum track (which maps to the CRYPTOGRAPHY subdomain). subdomain_name is one of 12 canonical values (ordered 0-11): APPLICATION, CLOUD, CRYPTOGRAPHY, DATA_PRIVACY, GRC, IAM, INCIDENT_RESPONSE, MALWARE_ANALYSIS, NETWORK, PENTEST, SECOPS, THREAT_INTELLIGENCE.</w:t>
      </w:r>
    </w:p>
    <w:p>
      <w:r>
        <w:t>id is a fresh uuid4 per record and is not stable across regenerations. Use content_hash (sha256 of the exact text) as the stable anchor to re-link a record if the corpus is rebuilt. Sidecar files in the same directory include manifest.json (the release datasheet), rejected.jsonl (metadata-only reject log), and duplicates.jsonl / dedup_scores.jsonl (the dedup audit trail).</w:t>
      </w:r>
    </w:p>
    <w:p>
      <w:pPr>
        <w:pStyle w:val="Heading1"/>
      </w:pPr>
      <w:r>
        <w:t>9. The Dashboard</w:t>
      </w:r>
    </w:p>
    <w:p>
      <w:r>
        <w:t>The dashboard is a local-first, read-only web UI built with Streamlit that does two jobs: monitor the pipeline (live during a run and historically) and explore the resulting corpus. It is an optional extra, so a plain install stays lean:</w:t>
      </w:r>
    </w:p>
    <w:p>
      <w:pPr>
        <w:spacing w:before="80" w:after="160"/>
        <w:shd w:val="clear" w:color="auto" w:fill="F2F2F2"/>
      </w:pPr>
      <w:r>
        <w:rPr>
          <w:rFonts w:ascii="Consolas" w:hAnsi="Consolas"/>
          <w:color w:val="000000"/>
          <w:sz w:val="19"/>
        </w:rPr>
        <w:t>uv sync --extra dashboard          # installs Streamlit (opt-in)</w:t>
        <w:br/>
        <w:t>uv run cybersec-slm dashboard      # -&gt; http://localhost:8501  (--port to change)</w:t>
      </w:r>
    </w:p>
    <w:p>
      <w:r>
        <w:t>It reads whatever the pipeline has written under the current data root (CYBERSEC_SLM_DATA_ROOT), so pointing the root at a synced or mounted location is all it takes to serve a hosted deploy later, with no code change.</w:t>
      </w:r>
    </w:p>
    <w:p>
      <w:pPr>
        <w:pStyle w:val="Heading2"/>
      </w:pPr>
      <w:r>
        <w:t>9.1 Architecture: a hard read/render split</w:t>
      </w:r>
    </w:p>
    <w:p>
      <w:r>
        <w:t>The dashboard package keeps a strict separation between reading data and rendering it. This makes the logic layer fully unit-testable without a browser and keeps the pages thin.</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000000"/>
                <w:sz w:val="20"/>
              </w:rPr>
              <w:t>File</w:t>
            </w:r>
          </w:p>
        </w:tc>
        <w:tc>
          <w:tcPr>
            <w:tcW w:type="dxa" w:w="4320"/>
          </w:tcPr>
          <w:p>
            <w:r/>
            <w:r>
              <w:rPr>
                <w:b/>
                <w:color w:val="000000"/>
                <w:sz w:val="20"/>
              </w:rPr>
              <w:t>Role</w:t>
            </w:r>
          </w:p>
        </w:tc>
      </w:tr>
      <w:tr>
        <w:tc>
          <w:tcPr>
            <w:tcW w:type="dxa" w:w="4320"/>
          </w:tcPr>
          <w:p>
            <w:r/>
            <w:r>
              <w:rPr>
                <w:color w:val="000000"/>
                <w:sz w:val="19"/>
              </w:rPr>
              <w:t>data.py</w:t>
            </w:r>
          </w:p>
        </w:tc>
        <w:tc>
          <w:tcPr>
            <w:tcW w:type="dxa" w:w="4320"/>
          </w:tcPr>
          <w:p>
            <w:r/>
            <w:r>
              <w:rPr>
                <w:color w:val="000000"/>
                <w:sz w:val="19"/>
              </w:rPr>
              <w:t>The read layer. The only code that touches disk/SQLite; pure functions returning plain data, no Streamlit import, fully unit-tested.</w:t>
            </w:r>
          </w:p>
        </w:tc>
      </w:tr>
      <w:tr>
        <w:tc>
          <w:tcPr>
            <w:tcW w:type="dxa" w:w="4320"/>
          </w:tcPr>
          <w:p>
            <w:r/>
            <w:r>
              <w:rPr>
                <w:color w:val="000000"/>
                <w:sz w:val="19"/>
              </w:rPr>
              <w:t>charts.py</w:t>
            </w:r>
          </w:p>
        </w:tc>
        <w:tc>
          <w:tcPr>
            <w:tcW w:type="dxa" w:w="4320"/>
          </w:tcPr>
          <w:p>
            <w:r/>
            <w:r>
              <w:rPr>
                <w:color w:val="000000"/>
                <w:sz w:val="19"/>
              </w:rPr>
              <w:t>Formatting and trend-series helpers (no Streamlit).</w:t>
            </w:r>
          </w:p>
        </w:tc>
      </w:tr>
      <w:tr>
        <w:tc>
          <w:tcPr>
            <w:tcW w:type="dxa" w:w="4320"/>
          </w:tcPr>
          <w:p>
            <w:r/>
            <w:r>
              <w:rPr>
                <w:color w:val="000000"/>
                <w:sz w:val="19"/>
              </w:rPr>
              <w:t>agent_tools.py</w:t>
            </w:r>
          </w:p>
        </w:tc>
        <w:tc>
          <w:tcPr>
            <w:tcW w:type="dxa" w:w="4320"/>
          </w:tcPr>
          <w:p>
            <w:r/>
            <w:r>
              <w:rPr>
                <w:color w:val="000000"/>
                <w:sz w:val="19"/>
              </w:rPr>
              <w:t>Read-only tool wrappers over data.py for the Agent page; no Streamlit import, fully unit-tested.</w:t>
            </w:r>
          </w:p>
        </w:tc>
      </w:tr>
      <w:tr>
        <w:tc>
          <w:tcPr>
            <w:tcW w:type="dxa" w:w="4320"/>
          </w:tcPr>
          <w:p>
            <w:r/>
            <w:r>
              <w:rPr>
                <w:color w:val="000000"/>
                <w:sz w:val="19"/>
              </w:rPr>
              <w:t>agent_client.py</w:t>
            </w:r>
          </w:p>
        </w:tc>
        <w:tc>
          <w:tcPr>
            <w:tcW w:type="dxa" w:w="4320"/>
          </w:tcPr>
          <w:p>
            <w:r/>
            <w:r>
              <w:rPr>
                <w:color w:val="000000"/>
                <w:sz w:val="19"/>
              </w:rPr>
              <w:t>NVIDIA NIM client + tool-calling loop; no Streamlit import, tested against a fake client.</w:t>
            </w:r>
          </w:p>
        </w:tc>
      </w:tr>
      <w:tr>
        <w:tc>
          <w:tcPr>
            <w:tcW w:type="dxa" w:w="4320"/>
          </w:tcPr>
          <w:p>
            <w:r/>
            <w:r>
              <w:rPr>
                <w:color w:val="000000"/>
                <w:sz w:val="19"/>
              </w:rPr>
              <w:t>app.py</w:t>
            </w:r>
          </w:p>
        </w:tc>
        <w:tc>
          <w:tcPr>
            <w:tcW w:type="dxa" w:w="4320"/>
          </w:tcPr>
          <w:p>
            <w:r/>
            <w:r>
              <w:rPr>
                <w:color w:val="000000"/>
                <w:sz w:val="19"/>
              </w:rPr>
              <w:t>Streamlit entrypoint / landing overview.</w:t>
            </w:r>
          </w:p>
        </w:tc>
      </w:tr>
      <w:tr>
        <w:tc>
          <w:tcPr>
            <w:tcW w:type="dxa" w:w="4320"/>
          </w:tcPr>
          <w:p>
            <w:r/>
            <w:r>
              <w:rPr>
                <w:color w:val="000000"/>
                <w:sz w:val="19"/>
              </w:rPr>
              <w:t>pages/1_Pipeline.py</w:t>
            </w:r>
          </w:p>
        </w:tc>
        <w:tc>
          <w:tcPr>
            <w:tcW w:type="dxa" w:w="4320"/>
          </w:tcPr>
          <w:p>
            <w:r/>
            <w:r>
              <w:rPr>
                <w:color w:val="000000"/>
                <w:sz w:val="19"/>
              </w:rPr>
              <w:t>Monitor: live strip + EDA gate + trends + sources + reports + manifest.</w:t>
            </w:r>
          </w:p>
        </w:tc>
      </w:tr>
      <w:tr>
        <w:tc>
          <w:tcPr>
            <w:tcW w:type="dxa" w:w="4320"/>
          </w:tcPr>
          <w:p>
            <w:r/>
            <w:r>
              <w:rPr>
                <w:color w:val="000000"/>
                <w:sz w:val="19"/>
              </w:rPr>
              <w:t>pages/2_Dataset.py</w:t>
            </w:r>
          </w:p>
        </w:tc>
        <w:tc>
          <w:tcPr>
            <w:tcW w:type="dxa" w:w="4320"/>
          </w:tcPr>
          <w:p>
            <w:r/>
            <w:r>
              <w:rPr>
                <w:color w:val="000000"/>
                <w:sz w:val="19"/>
              </w:rPr>
              <w:t>Explore: filter/search/paginate the corpus + rejected/duplicate sinks.</w:t>
            </w:r>
          </w:p>
        </w:tc>
      </w:tr>
      <w:tr>
        <w:tc>
          <w:tcPr>
            <w:tcW w:type="dxa" w:w="4320"/>
          </w:tcPr>
          <w:p>
            <w:r/>
            <w:r>
              <w:rPr>
                <w:color w:val="000000"/>
                <w:sz w:val="19"/>
              </w:rPr>
              <w:t>pages/3_Agent.py</w:t>
            </w:r>
          </w:p>
        </w:tc>
        <w:tc>
          <w:tcPr>
            <w:tcW w:type="dxa" w:w="4320"/>
          </w:tcPr>
          <w:p>
            <w:r/>
            <w:r>
              <w:rPr>
                <w:color w:val="000000"/>
                <w:sz w:val="19"/>
              </w:rPr>
              <w:t>Ask: a chat agent that answers pipeline/dataset questions via tool-calling.</w:t>
            </w:r>
          </w:p>
        </w:tc>
      </w:tr>
    </w:tbl>
    <w:p>
      <w:pPr>
        <w:pStyle w:val="Heading2"/>
      </w:pPr>
      <w:r>
        <w:t>9.2 The three pages</w:t>
      </w:r>
    </w:p>
    <w:p>
      <w:pPr>
        <w:pStyle w:val="ListBullet"/>
      </w:pPr>
      <w:r>
        <w:t>Pipeline — a live strip (auto-refreshing about every 3 seconds while a run is detected, from completed_sources.txt plus the newest per-PID log), the EDA sufficiency gate (pass/fail with blockers/warnings and metrics), trend charts over past EDA runs, the per-source table, clean/normalize stage reports, and the release manifest.</w:t>
      </w:r>
    </w:p>
    <w:p>
      <w:pPr>
        <w:pStyle w:val="ListBullet"/>
      </w:pPr>
      <w:r>
        <w:t>Dataset — filter by domain/subdomain/source/type/lang (facets from the manifest), full-text substring search, a paginated results table with a full 22-field record detail, and previews of what was rejected or de-duplicated. The large dataset.jsonl is streamed, never loaded whole; a single query scans up to a bounded cap of records.</w:t>
      </w:r>
    </w:p>
    <w:p>
      <w:pPr>
        <w:pStyle w:val="ListBullet"/>
      </w:pPr>
      <w:r>
        <w:t>Agent — a chat box that answers questions about run status, the EDA gate, sources, the manifest, and corpus content by calling read-only tools over the same data the other pages show. Every answer comes with a "what I looked up" trace. It needs uv sync --extra dashboard --extra agent and NVIDIA_API_KEY, and shows setup instructions instead of a chat box until both are present.</w:t>
      </w:r>
    </w:p>
    <w:p>
      <w:r>
        <w:t>The dashboard is read-only by design: no triggering runs, no auth, no editing. The Agent page is the one exception to "no network" — it calls NVIDIA NIM — but it still writes nothing to disk; chat history lives only in the browser session and is lost on reload.</w:t>
      </w:r>
    </w:p>
    <w:p>
      <w:pPr>
        <w:pStyle w:val="Heading1"/>
      </w:pPr>
      <w:r>
        <w:t>10. The Q&amp;A Agent (in depth)</w:t>
      </w:r>
    </w:p>
    <w:p>
      <w:r>
        <w:t>The Agent page lets a user ask natural-language questions and get answers grounded in what the pipeline has already written — both structured pipeline/dataset metadata and the actual text of collected records — reachable via conversation instead of clicking through pages. It is backed by NVIDIA NIM through the OpenAI-compatible openai SDK, and uses a tool-calling loop so the model decides which read-only lookups to run per question.</w:t>
      </w:r>
    </w:p>
    <w:p>
      <w:pPr>
        <w:pStyle w:val="Heading2"/>
      </w:pPr>
      <w:r>
        <w:t>10.1 The tools (agent_tools.py)</w:t>
      </w:r>
    </w:p>
    <w:p>
      <w:r>
        <w:t>agent_tools.py exposes a small, fixed set of read-only functions, each a thin wrapper over data.py that trims output to a size suited to an LLM's context window. None can trigger a run, retry a source, or write anything.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000000"/>
                <w:sz w:val="20"/>
              </w:rPr>
              <w:t>Tool</w:t>
            </w:r>
          </w:p>
        </w:tc>
        <w:tc>
          <w:tcPr>
            <w:tcW w:type="dxa" w:w="4320"/>
          </w:tcPr>
          <w:p>
            <w:r/>
            <w:r>
              <w:rPr>
                <w:b/>
                <w:color w:val="000000"/>
                <w:sz w:val="20"/>
              </w:rPr>
              <w:t>Purpose</w:t>
            </w:r>
          </w:p>
        </w:tc>
      </w:tr>
      <w:tr>
        <w:tc>
          <w:tcPr>
            <w:tcW w:type="dxa" w:w="4320"/>
          </w:tcPr>
          <w:p>
            <w:r/>
            <w:r>
              <w:rPr>
                <w:color w:val="000000"/>
                <w:sz w:val="19"/>
              </w:rPr>
              <w:t>get_pipeline_status()</w:t>
            </w:r>
          </w:p>
        </w:tc>
        <w:tc>
          <w:tcPr>
            <w:tcW w:type="dxa" w:w="4320"/>
          </w:tcPr>
          <w:p>
            <w:r/>
            <w:r>
              <w:rPr>
                <w:color w:val="000000"/>
                <w:sz w:val="19"/>
              </w:rPr>
              <w:t>Whether a run is active, sources completed, and a recent log tail.</w:t>
            </w:r>
          </w:p>
        </w:tc>
      </w:tr>
      <w:tr>
        <w:tc>
          <w:tcPr>
            <w:tcW w:type="dxa" w:w="4320"/>
          </w:tcPr>
          <w:p>
            <w:r/>
            <w:r>
              <w:rPr>
                <w:color w:val="000000"/>
                <w:sz w:val="19"/>
              </w:rPr>
              <w:t>get_eda_status()</w:t>
            </w:r>
          </w:p>
        </w:tc>
        <w:tc>
          <w:tcPr>
            <w:tcW w:type="dxa" w:w="4320"/>
          </w:tcPr>
          <w:p>
            <w:r/>
            <w:r>
              <w:rPr>
                <w:color w:val="000000"/>
                <w:sz w:val="19"/>
              </w:rPr>
              <w:t>The latest EDA gate result: pass/fail, blockers, warnings, metrics.</w:t>
            </w:r>
          </w:p>
        </w:tc>
      </w:tr>
      <w:tr>
        <w:tc>
          <w:tcPr>
            <w:tcW w:type="dxa" w:w="4320"/>
          </w:tcPr>
          <w:p>
            <w:r/>
            <w:r>
              <w:rPr>
                <w:color w:val="000000"/>
                <w:sz w:val="19"/>
              </w:rPr>
              <w:t>get_manifest_summary()</w:t>
            </w:r>
          </w:p>
        </w:tc>
        <w:tc>
          <w:tcPr>
            <w:tcW w:type="dxa" w:w="4320"/>
          </w:tcPr>
          <w:p>
            <w:r/>
            <w:r>
              <w:rPr>
                <w:color w:val="000000"/>
                <w:sz w:val="19"/>
              </w:rPr>
              <w:t>Record/token counts and the domain/subdomain/source/language/license facets.</w:t>
            </w:r>
          </w:p>
        </w:tc>
      </w:tr>
      <w:tr>
        <w:tc>
          <w:tcPr>
            <w:tcW w:type="dxa" w:w="4320"/>
          </w:tcPr>
          <w:p>
            <w:r/>
            <w:r>
              <w:rPr>
                <w:color w:val="000000"/>
                <w:sz w:val="19"/>
              </w:rPr>
              <w:t>get_source_table()</w:t>
            </w:r>
          </w:p>
        </w:tc>
        <w:tc>
          <w:tcPr>
            <w:tcW w:type="dxa" w:w="4320"/>
          </w:tcPr>
          <w:p>
            <w:r/>
            <w:r>
              <w:rPr>
                <w:color w:val="000000"/>
                <w:sz w:val="19"/>
              </w:rPr>
              <w:t>Per-source size/row-count/license summary rows.</w:t>
            </w:r>
          </w:p>
        </w:tc>
      </w:tr>
      <w:tr>
        <w:tc>
          <w:tcPr>
            <w:tcW w:type="dxa" w:w="4320"/>
          </w:tcPr>
          <w:p>
            <w:r/>
            <w:r>
              <w:rPr>
                <w:color w:val="000000"/>
                <w:sz w:val="19"/>
              </w:rPr>
              <w:t>get_stage_reports()</w:t>
            </w:r>
          </w:p>
        </w:tc>
        <w:tc>
          <w:tcPr>
            <w:tcW w:type="dxa" w:w="4320"/>
          </w:tcPr>
          <w:p>
            <w:r/>
            <w:r>
              <w:rPr>
                <w:color w:val="000000"/>
                <w:sz w:val="19"/>
              </w:rPr>
              <w:t>Cleaning and normalization stage totals.</w:t>
            </w:r>
          </w:p>
        </w:tc>
      </w:tr>
      <w:tr>
        <w:tc>
          <w:tcPr>
            <w:tcW w:type="dxa" w:w="4320"/>
          </w:tcPr>
          <w:p>
            <w:r/>
            <w:r>
              <w:rPr>
                <w:color w:val="000000"/>
                <w:sz w:val="19"/>
              </w:rPr>
              <w:t>search_dataset(query, ...)</w:t>
            </w:r>
          </w:p>
        </w:tc>
        <w:tc>
          <w:tcPr>
            <w:tcW w:type="dxa" w:w="4320"/>
          </w:tcPr>
          <w:p>
            <w:r/>
            <w:r>
              <w:rPr>
                <w:color w:val="000000"/>
                <w:sz w:val="19"/>
              </w:rPr>
              <w:t>Keyword substring + facet search over the corpus; returns trimmed snippets, not full records.</w:t>
            </w:r>
          </w:p>
        </w:tc>
      </w:tr>
      <w:tr>
        <w:tc>
          <w:tcPr>
            <w:tcW w:type="dxa" w:w="4320"/>
          </w:tcPr>
          <w:p>
            <w:r/>
            <w:r>
              <w:rPr>
                <w:color w:val="000000"/>
                <w:sz w:val="19"/>
              </w:rPr>
              <w:t>get_rejected_or_dupes(kind)</w:t>
            </w:r>
          </w:p>
        </w:tc>
        <w:tc>
          <w:tcPr>
            <w:tcW w:type="dxa" w:w="4320"/>
          </w:tcPr>
          <w:p>
            <w:r/>
            <w:r>
              <w:rPr>
                <w:color w:val="000000"/>
                <w:sz w:val="19"/>
              </w:rPr>
              <w:t>Preview of rejected / duplicate / near-dup records.</w:t>
            </w:r>
          </w:p>
        </w:tc>
      </w:tr>
    </w:tbl>
    <w:p>
      <w:r>
        <w:t>Each tool tolerates missing artifacts the same way data.py does — a fresh checkout or a not-yet-finished run yields an empty/"nothing here yet" answer rather than an error. The limit parameters are clamped (defaulting an unset or null value to 10, flooring an explicit 0 at 1, and capping at 25) so a model-supplied argument can never make a query unbounded or empty.</w:t>
      </w:r>
    </w:p>
    <w:p>
      <w:pPr>
        <w:pStyle w:val="Heading2"/>
      </w:pPr>
      <w:r>
        <w:t>10.2 The tool-calling loop (agent_client.py)</w:t>
      </w:r>
    </w:p>
    <w:p>
      <w:r>
        <w:t>agent_client.py holds the NIM client and the loop. The openai SDK is imported lazily inside the client builder, so the module imports and is fully testable even when the optional agent extra is not installed. Two functions form the contract with the page:</w:t>
      </w:r>
    </w:p>
    <w:p>
      <w:pPr>
        <w:pStyle w:val="ListBullet"/>
      </w:pPr>
      <w:r>
        <w:t>is_available() -&gt; bool: whether the page can render a chat box (the agent extra is installed and NVIDIA_API_KEY is set).</w:t>
      </w:r>
    </w:p>
    <w:p>
      <w:pPr>
        <w:pStyle w:val="ListBullet"/>
      </w:pPr>
      <w:r>
        <w:t>ask(history, client=None) -&gt; dict: answers the latest question, returning {answer, trace, error}.</w:t>
      </w:r>
    </w:p>
    <w:p>
      <w:r>
        <w:t>A single ask() call runs this loop:</w:t>
      </w:r>
    </w:p>
    <w:p>
      <w:pPr>
        <w:pStyle w:val="ListNumber"/>
      </w:pPr>
      <w:r>
        <w:t>Send the conversation plus the tool schemas to the NIM model.</w:t>
      </w:r>
    </w:p>
    <w:p>
      <w:pPr>
        <w:pStyle w:val="ListNumber"/>
      </w:pPr>
      <w:r>
        <w:t>If the model requests a tool call, execute it via agent_tools, append the result to the internal message list, and send again.</w:t>
      </w:r>
    </w:p>
    <w:p>
      <w:pPr>
        <w:pStyle w:val="ListNumber"/>
      </w:pPr>
      <w:r>
        <w:t>Repeat until the model returns a final (non-tool-call) message or the loop hits MAX_TOOL_ITERATIONS (6), which bounds latency, cost, and runaway loops.</w:t>
      </w:r>
    </w:p>
    <w:p>
      <w:pPr>
        <w:pStyle w:val="ListNumber"/>
      </w:pPr>
      <w:r>
        <w:t>Return the final answer plus the full trace of {tool, args, result} entries the page renders in a collapsible "what I looked up" expander.</w:t>
      </w:r>
    </w:p>
    <w:p>
      <w:pPr>
        <w:pStyle w:val="Heading2"/>
      </w:pPr>
      <w:r>
        <w:t>10.3 Safety and error handling</w:t>
      </w:r>
    </w:p>
    <w:p>
      <w:pPr>
        <w:pStyle w:val="ListBullet"/>
      </w:pPr>
      <w:r>
        <w:t>Every tool dispatch is wrapped individually: an exception inside a tool becomes an {error: ...} result fed back to the model (so it can report the problem or try another tool) rather than crashing the page.</w:t>
      </w:r>
    </w:p>
    <w:p>
      <w:pPr>
        <w:pStyle w:val="ListBullet"/>
      </w:pPr>
      <w:r>
        <w:t>The entire NIM round-trip — including building the client itself when the API key or package is missing — is wrapped, so any failure (auth, rate limit, timeout, missing dependency) surfaces as a returned error value, never an uncaught exception in the Streamlit page.</w:t>
      </w:r>
    </w:p>
    <w:p>
      <w:pPr>
        <w:pStyle w:val="ListBullet"/>
      </w:pPr>
      <w:r>
        <w:t>Chat history lives only in Streamlit session state, passed as plain role/content turns; tool round-trip bookkeeping stays internal to a single ask() call and nothing is persisted to disk.</w:t>
      </w:r>
    </w:p>
    <w:p>
      <w:pPr>
        <w:pStyle w:val="ListBullet"/>
      </w:pPr>
      <w:r>
        <w:t>With no NVIDIA_API_KEY (the default in CI/test environments), the page renders setup instructions instead of a chat box, so it never errors.</w:t>
      </w:r>
    </w:p>
    <w:p>
      <w:pPr>
        <w:pStyle w:val="Heading2"/>
      </w:pPr>
      <w:r>
        <w:t>10.4 Configuration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000000"/>
                <w:sz w:val="20"/>
              </w:rPr>
              <w:t>Variable</w:t>
            </w:r>
          </w:p>
        </w:tc>
        <w:tc>
          <w:tcPr>
            <w:tcW w:type="dxa" w:w="2880"/>
          </w:tcPr>
          <w:p>
            <w:r/>
            <w:r>
              <w:rPr>
                <w:b/>
                <w:color w:val="000000"/>
                <w:sz w:val="20"/>
              </w:rPr>
              <w:t>Purpose</w:t>
            </w:r>
          </w:p>
        </w:tc>
        <w:tc>
          <w:tcPr>
            <w:tcW w:type="dxa" w:w="2880"/>
          </w:tcPr>
          <w:p>
            <w:r/>
            <w:r>
              <w:rPr>
                <w:b/>
                <w:color w:val="000000"/>
                <w:sz w:val="20"/>
              </w:rPr>
              <w:t>Default</w:t>
            </w:r>
          </w:p>
        </w:tc>
      </w:tr>
      <w:tr>
        <w:tc>
          <w:tcPr>
            <w:tcW w:type="dxa" w:w="2880"/>
          </w:tcPr>
          <w:p>
            <w:r/>
            <w:r>
              <w:rPr>
                <w:color w:val="000000"/>
                <w:sz w:val="19"/>
              </w:rPr>
              <w:t>NVIDIA_API_KEY</w:t>
            </w:r>
          </w:p>
        </w:tc>
        <w:tc>
          <w:tcPr>
            <w:tcW w:type="dxa" w:w="2880"/>
          </w:tcPr>
          <w:p>
            <w:r/>
            <w:r>
              <w:rPr>
                <w:color w:val="000000"/>
                <w:sz w:val="19"/>
              </w:rPr>
              <w:t>Enables the Agent page.</w:t>
            </w:r>
          </w:p>
        </w:tc>
        <w:tc>
          <w:tcPr>
            <w:tcW w:type="dxa" w:w="2880"/>
          </w:tcPr>
          <w:p>
            <w:r/>
            <w:r>
              <w:rPr>
                <w:color w:val="000000"/>
                <w:sz w:val="19"/>
              </w:rPr>
              <w:t>(unset -&gt; setup instructions)</w:t>
            </w:r>
          </w:p>
        </w:tc>
      </w:tr>
      <w:tr>
        <w:tc>
          <w:tcPr>
            <w:tcW w:type="dxa" w:w="2880"/>
          </w:tcPr>
          <w:p>
            <w:r/>
            <w:r>
              <w:rPr>
                <w:color w:val="000000"/>
                <w:sz w:val="19"/>
              </w:rPr>
              <w:t>CYBERSEC_SLM_NIM_MODEL</w:t>
            </w:r>
          </w:p>
        </w:tc>
        <w:tc>
          <w:tcPr>
            <w:tcW w:type="dxa" w:w="2880"/>
          </w:tcPr>
          <w:p>
            <w:r/>
            <w:r>
              <w:rPr>
                <w:color w:val="000000"/>
                <w:sz w:val="19"/>
              </w:rPr>
              <w:t>NIM model override.</w:t>
            </w:r>
          </w:p>
        </w:tc>
        <w:tc>
          <w:tcPr>
            <w:tcW w:type="dxa" w:w="2880"/>
          </w:tcPr>
          <w:p>
            <w:r/>
            <w:r>
              <w:rPr>
                <w:color w:val="000000"/>
                <w:sz w:val="19"/>
              </w:rPr>
              <w:t>meta/llama-3.1-8b-instruct</w:t>
            </w:r>
          </w:p>
        </w:tc>
      </w:tr>
      <w:tr>
        <w:tc>
          <w:tcPr>
            <w:tcW w:type="dxa" w:w="2880"/>
          </w:tcPr>
          <w:p>
            <w:r/>
            <w:r>
              <w:rPr>
                <w:color w:val="000000"/>
                <w:sz w:val="19"/>
              </w:rPr>
              <w:t>CYBERSEC_SLM_NIM_BASE_URL</w:t>
            </w:r>
          </w:p>
        </w:tc>
        <w:tc>
          <w:tcPr>
            <w:tcW w:type="dxa" w:w="2880"/>
          </w:tcPr>
          <w:p>
            <w:r/>
            <w:r>
              <w:rPr>
                <w:color w:val="000000"/>
                <w:sz w:val="19"/>
              </w:rPr>
              <w:t>NIM endpoint override.</w:t>
            </w:r>
          </w:p>
        </w:tc>
        <w:tc>
          <w:tcPr>
            <w:tcW w:type="dxa" w:w="2880"/>
          </w:tcPr>
          <w:p>
            <w:r/>
            <w:r>
              <w:rPr>
                <w:color w:val="000000"/>
                <w:sz w:val="19"/>
              </w:rPr>
              <w:t>https://integrate.api.nvidia.com/v1</w:t>
            </w:r>
          </w:p>
        </w:tc>
      </w:tr>
    </w:tbl>
    <w:p>
      <w:r>
        <w:t>The default model is a small, widely-available, fast NIM model that reliably supports tool-calling; set CYBERSEC_SLM_NIM_MODEL to a larger model for stronger reasoning. Every request carries a 60-second timeout, so a slow or unresponsive model surfaces as an error in the chat rather than hanging the page.</w:t>
      </w:r>
    </w:p>
    <w:p>
      <w:pPr>
        <w:pStyle w:val="Heading1"/>
      </w:pPr>
      <w:r>
        <w:t>11. Orchestration, Versioning, and Deployment</w:t>
      </w:r>
    </w:p>
    <w:p>
      <w:pPr>
        <w:pStyle w:val="ListBullet"/>
      </w:pPr>
      <w:r>
        <w:t>Prefect (orchestration/flows.py): cybersec-slm flow wraps the same stage functions in a build-corpus flow — load secrets -&gt; ingest + clean per source (mapped, retried, isolated) -&gt; cross-source dedup -&gt; EDA gate -&gt; normalize -&gt; optional DVC snapshot. Prefect is optional; the decorators degrade to no-ops so the helpers stay unit-testable.</w:t>
      </w:r>
    </w:p>
    <w:p>
      <w:pPr>
        <w:pStyle w:val="ListBullet"/>
      </w:pPr>
      <w:r>
        <w:t>DVC (dvc.yaml): dvc repro rebuilds the corpus and versions the outputs to an S3 remote, with the EDA and normalize reports tracked as metrics.</w:t>
      </w:r>
    </w:p>
    <w:p>
      <w:pPr>
        <w:pStyle w:val="ListBullet"/>
      </w:pPr>
      <w:r>
        <w:t>AWS: Dockerized, with a Terraform skeleton (ECR / ECS / S3 / IAM / Secrets Manager) and CI/CD for scheduled, versioned corpus releases.</w:t>
      </w:r>
    </w:p>
    <w:p>
      <w:pPr>
        <w:pStyle w:val="Heading1"/>
      </w:pPr>
      <w:r>
        <w:t>12. Security Controls</w:t>
      </w:r>
    </w:p>
    <w:p>
      <w:r>
        <w:t>Security is not a layer bolted on at the end; it is part of how each stage behaves. Each stage assumes its input could be hostile or low quality and pushes the response toward something traceable, reversible, and auditable.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000000"/>
                <w:sz w:val="20"/>
              </w:rPr>
              <w:t>Stage</w:t>
            </w:r>
          </w:p>
        </w:tc>
        <w:tc>
          <w:tcPr>
            <w:tcW w:type="dxa" w:w="4320"/>
          </w:tcPr>
          <w:p>
            <w:r/>
            <w:r>
              <w:rPr>
                <w:b/>
                <w:color w:val="000000"/>
                <w:sz w:val="20"/>
              </w:rPr>
              <w:t>Controls</w:t>
            </w:r>
          </w:p>
        </w:tc>
      </w:tr>
      <w:tr>
        <w:tc>
          <w:tcPr>
            <w:tcW w:type="dxa" w:w="4320"/>
          </w:tcPr>
          <w:p>
            <w:r/>
            <w:r>
              <w:rPr>
                <w:color w:val="000000"/>
                <w:sz w:val="19"/>
              </w:rPr>
              <w:t>Sourcing</w:t>
            </w:r>
          </w:p>
        </w:tc>
        <w:tc>
          <w:tcPr>
            <w:tcW w:type="dxa" w:w="4320"/>
          </w:tcPr>
          <w:p>
            <w:r/>
            <w:r>
              <w:rPr>
                <w:color w:val="000000"/>
                <w:sz w:val="19"/>
              </w:rPr>
              <w:t>Discovered sources seeded pending (human review before fetch); dry-run + CSV audit artifact.</w:t>
            </w:r>
          </w:p>
        </w:tc>
      </w:tr>
      <w:tr>
        <w:tc>
          <w:tcPr>
            <w:tcW w:type="dxa" w:w="4320"/>
          </w:tcPr>
          <w:p>
            <w:r/>
            <w:r>
              <w:rPr>
                <w:color w:val="000000"/>
                <w:sz w:val="19"/>
              </w:rPr>
              <w:t>Ingestion</w:t>
            </w:r>
          </w:p>
        </w:tc>
        <w:tc>
          <w:tcPr>
            <w:tcW w:type="dxa" w:w="4320"/>
          </w:tcPr>
          <w:p>
            <w:r/>
            <w:r>
              <w:rPr>
                <w:color w:val="000000"/>
                <w:sz w:val="19"/>
              </w:rPr>
              <w:t>Version-controlled source allowlist (anti-poisoning); default-deny commercial-license gate; per-source process isolation; provenance ingest ledger.</w:t>
            </w:r>
          </w:p>
        </w:tc>
      </w:tr>
      <w:tr>
        <w:tc>
          <w:tcPr>
            <w:tcW w:type="dxa" w:w="4320"/>
          </w:tcPr>
          <w:p>
            <w:r/>
            <w:r>
              <w:rPr>
                <w:color w:val="000000"/>
                <w:sz w:val="19"/>
              </w:rPr>
              <w:t>Cleaning</w:t>
            </w:r>
          </w:p>
        </w:tc>
        <w:tc>
          <w:tcPr>
            <w:tcW w:type="dxa" w:w="4320"/>
          </w:tcPr>
          <w:p>
            <w:r/>
            <w:r>
              <w:rPr>
                <w:color w:val="000000"/>
                <w:sz w:val="19"/>
              </w:rPr>
              <w:t>PII redaction (Presidio + regex fallback); documented PII blind spots + sampled manual review; anomaly quarantine to flagged/; auditable dropped/ reasons.</w:t>
            </w:r>
          </w:p>
        </w:tc>
      </w:tr>
      <w:tr>
        <w:tc>
          <w:tcPr>
            <w:tcW w:type="dxa" w:w="4320"/>
          </w:tcPr>
          <w:p>
            <w:r/>
            <w:r>
              <w:rPr>
                <w:color w:val="000000"/>
                <w:sz w:val="19"/>
              </w:rPr>
              <w:t>EDA</w:t>
            </w:r>
          </w:p>
        </w:tc>
        <w:tc>
          <w:tcPr>
            <w:tcW w:type="dxa" w:w="4320"/>
          </w:tcPr>
          <w:p>
            <w:r/>
            <w:r>
              <w:rPr>
                <w:color w:val="000000"/>
                <w:sz w:val="19"/>
              </w:rPr>
              <w:t>Blocking sufficiency gate; source-concentration ceiling; drift detection; versioned append-only run history.</w:t>
            </w:r>
          </w:p>
        </w:tc>
      </w:tr>
      <w:tr>
        <w:tc>
          <w:tcPr>
            <w:tcW w:type="dxa" w:w="4320"/>
          </w:tcPr>
          <w:p>
            <w:r/>
            <w:r>
              <w:rPr>
                <w:color w:val="000000"/>
                <w:sz w:val="19"/>
              </w:rPr>
              <w:t>Normalization</w:t>
            </w:r>
          </w:p>
        </w:tc>
        <w:tc>
          <w:tcPr>
            <w:tcW w:type="dxa" w:w="4320"/>
          </w:tcPr>
          <w:p>
            <w:r/>
            <w:r>
              <w:rPr>
                <w:color w:val="000000"/>
                <w:sz w:val="19"/>
              </w:rPr>
              <w:t>Strict schema validation (closed enums); metadata-only reject logs; per-source failure escalation; per-record near-dup scores; content hashing.</w:t>
            </w:r>
          </w:p>
        </w:tc>
      </w:tr>
      <w:tr>
        <w:tc>
          <w:tcPr>
            <w:tcW w:type="dxa" w:w="4320"/>
          </w:tcPr>
          <w:p>
            <w:r/>
            <w:r>
              <w:rPr>
                <w:color w:val="000000"/>
                <w:sz w:val="19"/>
              </w:rPr>
              <w:t>Release</w:t>
            </w:r>
          </w:p>
        </w:tc>
        <w:tc>
          <w:tcPr>
            <w:tcW w:type="dxa" w:w="4320"/>
          </w:tcPr>
          <w:p>
            <w:r/>
            <w:r>
              <w:rPr>
                <w:color w:val="000000"/>
                <w:sz w:val="19"/>
              </w:rPr>
              <w:t>Provenance manifest (datasheet); DVC-versioned releases for scoped rollback.</w:t>
            </w:r>
          </w:p>
        </w:tc>
      </w:tr>
      <w:tr>
        <w:tc>
          <w:tcPr>
            <w:tcW w:type="dxa" w:w="4320"/>
          </w:tcPr>
          <w:p>
            <w:r/>
            <w:r>
              <w:rPr>
                <w:color w:val="000000"/>
                <w:sz w:val="19"/>
              </w:rPr>
              <w:t>CI / supply chain</w:t>
            </w:r>
          </w:p>
        </w:tc>
        <w:tc>
          <w:tcPr>
            <w:tcW w:type="dxa" w:w="4320"/>
          </w:tcPr>
          <w:p>
            <w:r/>
            <w:r>
              <w:rPr>
                <w:color w:val="000000"/>
                <w:sz w:val="19"/>
              </w:rPr>
              <w:t>Secret scanning (gitleaks, full history); dependency audit (pip-audit); least-privilege CI token.</w:t>
            </w:r>
          </w:p>
        </w:tc>
      </w:tr>
      <w:tr>
        <w:tc>
          <w:tcPr>
            <w:tcW w:type="dxa" w:w="4320"/>
          </w:tcPr>
          <w:p>
            <w:r/>
            <w:r>
              <w:rPr>
                <w:color w:val="000000"/>
                <w:sz w:val="19"/>
              </w:rPr>
              <w:t>Deployment</w:t>
            </w:r>
          </w:p>
        </w:tc>
        <w:tc>
          <w:tcPr>
            <w:tcW w:type="dxa" w:w="4320"/>
          </w:tcPr>
          <w:p>
            <w:r/>
            <w:r>
              <w:rPr>
                <w:color w:val="000000"/>
                <w:sz w:val="19"/>
              </w:rPr>
              <w:t>ECR immutable tags + scan-on-push; S3 public-access block + SSE + versioning; least-privilege IAM task role; secrets injected at runtime, never baked in.</w:t>
            </w:r>
          </w:p>
        </w:tc>
      </w:tr>
    </w:tbl>
    <w:p>
      <w:r>
        <w:t>PII redaction has known limits on a security corpus (internal hostnames, private IPs, service accounts, API keys); these are documented with a manual-review process in docs/pii_limitations.md.</w:t>
      </w:r>
    </w:p>
    <w:p>
      <w:pPr>
        <w:pStyle w:val="Heading1"/>
      </w:pPr>
      <w:r>
        <w:t>13. Command-Line Reference</w:t>
      </w:r>
    </w:p>
    <w:p>
      <w:r>
        <w:t>Everything runs through one console script, cybersec-slm (installed by uv sync). python -m cybersec_slm &lt;command&gt; is equivalent.</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color w:val="000000"/>
                <w:sz w:val="20"/>
              </w:rPr>
              <w:t>Command</w:t>
            </w:r>
          </w:p>
        </w:tc>
        <w:tc>
          <w:tcPr>
            <w:tcW w:type="dxa" w:w="4320"/>
          </w:tcPr>
          <w:p>
            <w:r/>
            <w:r>
              <w:rPr>
                <w:b/>
                <w:color w:val="000000"/>
                <w:sz w:val="20"/>
              </w:rPr>
              <w:t>Purpose</w:t>
            </w:r>
          </w:p>
        </w:tc>
      </w:tr>
      <w:tr>
        <w:tc>
          <w:tcPr>
            <w:tcW w:type="dxa" w:w="4320"/>
          </w:tcPr>
          <w:p>
            <w:r/>
            <w:r>
              <w:rPr>
                <w:color w:val="000000"/>
                <w:sz w:val="19"/>
              </w:rPr>
              <w:t>run [--workers N] [--resume]</w:t>
            </w:r>
          </w:p>
        </w:tc>
        <w:tc>
          <w:tcPr>
            <w:tcW w:type="dxa" w:w="4320"/>
          </w:tcPr>
          <w:p>
            <w:r/>
            <w:r>
              <w:rPr>
                <w:color w:val="000000"/>
                <w:sz w:val="19"/>
              </w:rPr>
              <w:t>Ingest + clean each allowlisted source, in parallel (streaming) -&gt; data/clean/.</w:t>
            </w:r>
          </w:p>
        </w:tc>
      </w:tr>
      <w:tr>
        <w:tc>
          <w:tcPr>
            <w:tcW w:type="dxa" w:w="4320"/>
          </w:tcPr>
          <w:p>
            <w:r/>
            <w:r>
              <w:rPr>
                <w:color w:val="000000"/>
                <w:sz w:val="19"/>
              </w:rPr>
              <w:t>clean [sanitize|dedup|pii|lang|report|balance]</w:t>
            </w:r>
          </w:p>
        </w:tc>
        <w:tc>
          <w:tcPr>
            <w:tcW w:type="dxa" w:w="4320"/>
          </w:tcPr>
          <w:p>
            <w:r/>
            <w:r>
              <w:rPr>
                <w:color w:val="000000"/>
                <w:sz w:val="19"/>
              </w:rPr>
              <w:t>Cleaning diagnostics/ops: inspect one transform in isolation.</w:t>
            </w:r>
          </w:p>
        </w:tc>
      </w:tr>
      <w:tr>
        <w:tc>
          <w:tcPr>
            <w:tcW w:type="dxa" w:w="4320"/>
          </w:tcPr>
          <w:p>
            <w:r/>
            <w:r>
              <w:rPr>
                <w:color w:val="000000"/>
                <w:sz w:val="19"/>
              </w:rPr>
              <w:t>eda [--no-enforce] [--profile]</w:t>
            </w:r>
          </w:p>
        </w:tc>
        <w:tc>
          <w:tcPr>
            <w:tcW w:type="dxa" w:w="4320"/>
          </w:tcPr>
          <w:p>
            <w:r/>
            <w:r>
              <w:rPr>
                <w:color w:val="000000"/>
                <w:sz w:val="19"/>
              </w:rPr>
              <w:t>Validate the corpus and apply the sufficiency gate -&gt; logs/eda/.</w:t>
            </w:r>
          </w:p>
        </w:tc>
      </w:tr>
      <w:tr>
        <w:tc>
          <w:tcPr>
            <w:tcW w:type="dxa" w:w="4320"/>
          </w:tcPr>
          <w:p>
            <w:r/>
            <w:r>
              <w:rPr>
                <w:color w:val="000000"/>
                <w:sz w:val="19"/>
              </w:rPr>
              <w:t>normalize [--fresh]</w:t>
            </w:r>
          </w:p>
        </w:tc>
        <w:tc>
          <w:tcPr>
            <w:tcW w:type="dxa" w:w="4320"/>
          </w:tcPr>
          <w:p>
            <w:r/>
            <w:r>
              <w:rPr>
                <w:color w:val="000000"/>
                <w:sz w:val="19"/>
              </w:rPr>
              <w:t>Schema-normalize into data/final/dataset.jsonl + manifest.</w:t>
            </w:r>
          </w:p>
        </w:tc>
      </w:tr>
      <w:tr>
        <w:tc>
          <w:tcPr>
            <w:tcW w:type="dxa" w:w="4320"/>
          </w:tcPr>
          <w:p>
            <w:r/>
            <w:r>
              <w:rPr>
                <w:color w:val="000000"/>
                <w:sz w:val="19"/>
              </w:rPr>
              <w:t>source [--dry-run]</w:t>
            </w:r>
          </w:p>
        </w:tc>
        <w:tc>
          <w:tcPr>
            <w:tcW w:type="dxa" w:w="4320"/>
          </w:tcPr>
          <w:p>
            <w:r/>
            <w:r>
              <w:rPr>
                <w:color w:val="000000"/>
                <w:sz w:val="19"/>
              </w:rPr>
              <w:t>Discover sources via search engines -&gt; sources/Sources.csv.</w:t>
            </w:r>
          </w:p>
        </w:tc>
      </w:tr>
      <w:tr>
        <w:tc>
          <w:tcPr>
            <w:tcW w:type="dxa" w:w="4320"/>
          </w:tcPr>
          <w:p>
            <w:r/>
            <w:r>
              <w:rPr>
                <w:color w:val="000000"/>
                <w:sz w:val="19"/>
              </w:rPr>
              <w:t>flow [--dvc-push]</w:t>
            </w:r>
          </w:p>
        </w:tc>
        <w:tc>
          <w:tcPr>
            <w:tcW w:type="dxa" w:w="4320"/>
          </w:tcPr>
          <w:p>
            <w:r/>
            <w:r>
              <w:rPr>
                <w:color w:val="000000"/>
                <w:sz w:val="19"/>
              </w:rPr>
              <w:t>Run the pipeline via Prefect (needs the orchestration extra).</w:t>
            </w:r>
          </w:p>
        </w:tc>
      </w:tr>
      <w:tr>
        <w:tc>
          <w:tcPr>
            <w:tcW w:type="dxa" w:w="4320"/>
          </w:tcPr>
          <w:p>
            <w:r/>
            <w:r>
              <w:rPr>
                <w:color w:val="000000"/>
                <w:sz w:val="19"/>
              </w:rPr>
              <w:t>validate</w:t>
            </w:r>
          </w:p>
        </w:tc>
        <w:tc>
          <w:tcPr>
            <w:tcW w:type="dxa" w:w="4320"/>
          </w:tcPr>
          <w:p>
            <w:r/>
            <w:r>
              <w:rPr>
                <w:color w:val="000000"/>
                <w:sz w:val="19"/>
              </w:rPr>
              <w:t>Check data/clean/ records against the schema.</w:t>
            </w:r>
          </w:p>
        </w:tc>
      </w:tr>
      <w:tr>
        <w:tc>
          <w:tcPr>
            <w:tcW w:type="dxa" w:w="4320"/>
          </w:tcPr>
          <w:p>
            <w:r/>
            <w:r>
              <w:rPr>
                <w:color w:val="000000"/>
                <w:sz w:val="19"/>
              </w:rPr>
              <w:t>dashboard [--port N]</w:t>
            </w:r>
          </w:p>
        </w:tc>
        <w:tc>
          <w:tcPr>
            <w:tcW w:type="dxa" w:w="4320"/>
          </w:tcPr>
          <w:p>
            <w:r/>
            <w:r>
              <w:rPr>
                <w:color w:val="000000"/>
                <w:sz w:val="19"/>
              </w:rPr>
              <w:t>Read-only Streamlit monitor + dataset explorer + Q&amp;A agent (needs the dashboard extra).</w:t>
            </w:r>
          </w:p>
        </w:tc>
      </w:tr>
      <w:tr>
        <w:tc>
          <w:tcPr>
            <w:tcW w:type="dxa" w:w="4320"/>
          </w:tcPr>
          <w:p>
            <w:r/>
            <w:r>
              <w:rPr>
                <w:color w:val="000000"/>
                <w:sz w:val="19"/>
              </w:rPr>
              <w:t>all [--resume]</w:t>
            </w:r>
          </w:p>
        </w:tc>
        <w:tc>
          <w:tcPr>
            <w:tcW w:type="dxa" w:w="4320"/>
          </w:tcPr>
          <w:p>
            <w:r/>
            <w:r>
              <w:rPr>
                <w:color w:val="000000"/>
                <w:sz w:val="19"/>
              </w:rPr>
              <w:t>Run the full pipeline, end to end.</w:t>
            </w:r>
          </w:p>
        </w:tc>
      </w:tr>
    </w:tbl>
    <w:p>
      <w:pPr>
        <w:pStyle w:val="Heading1"/>
      </w:pPr>
      <w:r>
        <w:t>14. Configuration (Environment Variables)</w:t>
      </w:r>
    </w:p>
    <w:p>
      <w:r>
        <w:t>Optional API keys are read from a .env file, auto-loaded at startup; shell environment variables take precedence. None are required for a basic local run.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000000"/>
                <w:sz w:val="20"/>
              </w:rPr>
              <w:t>Variable</w:t>
            </w:r>
          </w:p>
        </w:tc>
        <w:tc>
          <w:tcPr>
            <w:tcW w:type="dxa" w:w="2880"/>
          </w:tcPr>
          <w:p>
            <w:r/>
            <w:r>
              <w:rPr>
                <w:b/>
                <w:color w:val="000000"/>
                <w:sz w:val="20"/>
              </w:rPr>
              <w:t>Used by</w:t>
            </w:r>
          </w:p>
        </w:tc>
        <w:tc>
          <w:tcPr>
            <w:tcW w:type="dxa" w:w="2880"/>
          </w:tcPr>
          <w:p>
            <w:r/>
            <w:r>
              <w:rPr>
                <w:b/>
                <w:color w:val="000000"/>
                <w:sz w:val="20"/>
              </w:rPr>
              <w:t>Required?</w:t>
            </w:r>
          </w:p>
        </w:tc>
      </w:tr>
      <w:tr>
        <w:tc>
          <w:tcPr>
            <w:tcW w:type="dxa" w:w="2880"/>
          </w:tcPr>
          <w:p>
            <w:r/>
            <w:r>
              <w:rPr>
                <w:color w:val="000000"/>
                <w:sz w:val="19"/>
              </w:rPr>
              <w:t>NVD_API_KEY</w:t>
            </w:r>
          </w:p>
        </w:tc>
        <w:tc>
          <w:tcPr>
            <w:tcW w:type="dxa" w:w="2880"/>
          </w:tcPr>
          <w:p>
            <w:r/>
            <w:r>
              <w:rPr>
                <w:color w:val="000000"/>
                <w:sz w:val="19"/>
              </w:rPr>
              <w:t>NVD CVE feed (higher rate limit)</w:t>
            </w:r>
          </w:p>
        </w:tc>
        <w:tc>
          <w:tcPr>
            <w:tcW w:type="dxa" w:w="2880"/>
          </w:tcPr>
          <w:p>
            <w:r/>
            <w:r>
              <w:rPr>
                <w:color w:val="000000"/>
                <w:sz w:val="19"/>
              </w:rPr>
              <w:t>optional</w:t>
            </w:r>
          </w:p>
        </w:tc>
      </w:tr>
      <w:tr>
        <w:tc>
          <w:tcPr>
            <w:tcW w:type="dxa" w:w="2880"/>
          </w:tcPr>
          <w:p>
            <w:r/>
            <w:r>
              <w:rPr>
                <w:color w:val="000000"/>
                <w:sz w:val="19"/>
              </w:rPr>
              <w:t>KAGGLE_API_TOKEN</w:t>
            </w:r>
          </w:p>
        </w:tc>
        <w:tc>
          <w:tcPr>
            <w:tcW w:type="dxa" w:w="2880"/>
          </w:tcPr>
          <w:p>
            <w:r/>
            <w:r>
              <w:rPr>
                <w:color w:val="000000"/>
                <w:sz w:val="19"/>
              </w:rPr>
              <w:t>Kaggle sources</w:t>
            </w:r>
          </w:p>
        </w:tc>
        <w:tc>
          <w:tcPr>
            <w:tcW w:type="dxa" w:w="2880"/>
          </w:tcPr>
          <w:p>
            <w:r/>
            <w:r>
              <w:rPr>
                <w:color w:val="000000"/>
                <w:sz w:val="19"/>
              </w:rPr>
              <w:t>only for Kaggle sources</w:t>
            </w:r>
          </w:p>
        </w:tc>
      </w:tr>
      <w:tr>
        <w:tc>
          <w:tcPr>
            <w:tcW w:type="dxa" w:w="2880"/>
          </w:tcPr>
          <w:p>
            <w:r/>
            <w:r>
              <w:rPr>
                <w:color w:val="000000"/>
                <w:sz w:val="19"/>
              </w:rPr>
              <w:t>GOOGLE_SEARCH_API_KEY, GOOGLE_SEARCH_ENGINE_ID</w:t>
            </w:r>
          </w:p>
        </w:tc>
        <w:tc>
          <w:tcPr>
            <w:tcW w:type="dxa" w:w="2880"/>
          </w:tcPr>
          <w:p>
            <w:r/>
            <w:r>
              <w:rPr>
                <w:color w:val="000000"/>
                <w:sz w:val="19"/>
              </w:rPr>
              <w:t>source</w:t>
            </w:r>
          </w:p>
        </w:tc>
        <w:tc>
          <w:tcPr>
            <w:tcW w:type="dxa" w:w="2880"/>
          </w:tcPr>
          <w:p>
            <w:r/>
            <w:r>
              <w:rPr>
                <w:color w:val="000000"/>
                <w:sz w:val="19"/>
              </w:rPr>
              <w:t>only for sourcing</w:t>
            </w:r>
          </w:p>
        </w:tc>
      </w:tr>
      <w:tr>
        <w:tc>
          <w:tcPr>
            <w:tcW w:type="dxa" w:w="2880"/>
          </w:tcPr>
          <w:p>
            <w:r/>
            <w:r>
              <w:rPr>
                <w:color w:val="000000"/>
                <w:sz w:val="19"/>
              </w:rPr>
              <w:t>CYBERSEC_SLM_DATA_ROOT</w:t>
            </w:r>
          </w:p>
        </w:tc>
        <w:tc>
          <w:tcPr>
            <w:tcW w:type="dxa" w:w="2880"/>
          </w:tcPr>
          <w:p>
            <w:r/>
            <w:r>
              <w:rPr>
                <w:color w:val="000000"/>
                <w:sz w:val="19"/>
              </w:rPr>
              <w:t>all stages (where data/ and logs/ are written)</w:t>
            </w:r>
          </w:p>
        </w:tc>
        <w:tc>
          <w:tcPr>
            <w:tcW w:type="dxa" w:w="2880"/>
          </w:tcPr>
          <w:p>
            <w:r/>
            <w:r>
              <w:rPr>
                <w:color w:val="000000"/>
                <w:sz w:val="19"/>
              </w:rPr>
              <w:t>optional</w:t>
            </w:r>
          </w:p>
        </w:tc>
      </w:tr>
      <w:tr>
        <w:tc>
          <w:tcPr>
            <w:tcW w:type="dxa" w:w="2880"/>
          </w:tcPr>
          <w:p>
            <w:r/>
            <w:r>
              <w:rPr>
                <w:color w:val="000000"/>
                <w:sz w:val="19"/>
              </w:rPr>
              <w:t>CYBERSEC_SLM_ENFORCE_ALLOWLIST</w:t>
            </w:r>
          </w:p>
        </w:tc>
        <w:tc>
          <w:tcPr>
            <w:tcW w:type="dxa" w:w="2880"/>
          </w:tcPr>
          <w:p>
            <w:r/>
            <w:r>
              <w:rPr>
                <w:color w:val="000000"/>
                <w:sz w:val="19"/>
              </w:rPr>
              <w:t>ingestion allowlist gate</w:t>
            </w:r>
          </w:p>
        </w:tc>
        <w:tc>
          <w:tcPr>
            <w:tcW w:type="dxa" w:w="2880"/>
          </w:tcPr>
          <w:p>
            <w:r/>
            <w:r>
              <w:rPr>
                <w:color w:val="000000"/>
                <w:sz w:val="19"/>
              </w:rPr>
              <w:t>optional</w:t>
            </w:r>
          </w:p>
        </w:tc>
      </w:tr>
      <w:tr>
        <w:tc>
          <w:tcPr>
            <w:tcW w:type="dxa" w:w="2880"/>
          </w:tcPr>
          <w:p>
            <w:r/>
            <w:r>
              <w:rPr>
                <w:color w:val="000000"/>
                <w:sz w:val="19"/>
              </w:rPr>
              <w:t>CYBERSEC_SLM_ENFORCE_LICENSE_GATE</w:t>
            </w:r>
          </w:p>
        </w:tc>
        <w:tc>
          <w:tcPr>
            <w:tcW w:type="dxa" w:w="2880"/>
          </w:tcPr>
          <w:p>
            <w:r/>
            <w:r>
              <w:rPr>
                <w:color w:val="000000"/>
                <w:sz w:val="19"/>
              </w:rPr>
              <w:t>ingestion commercial-license gate (on by default; 0 disables)</w:t>
            </w:r>
          </w:p>
        </w:tc>
        <w:tc>
          <w:tcPr>
            <w:tcW w:type="dxa" w:w="2880"/>
          </w:tcPr>
          <w:p>
            <w:r/>
            <w:r>
              <w:rPr>
                <w:color w:val="000000"/>
                <w:sz w:val="19"/>
              </w:rPr>
              <w:t>optional</w:t>
            </w:r>
          </w:p>
        </w:tc>
      </w:tr>
      <w:tr>
        <w:tc>
          <w:tcPr>
            <w:tcW w:type="dxa" w:w="2880"/>
          </w:tcPr>
          <w:p>
            <w:r/>
            <w:r>
              <w:rPr>
                <w:color w:val="000000"/>
                <w:sz w:val="19"/>
              </w:rPr>
              <w:t>NVIDIA_API_KEY</w:t>
            </w:r>
          </w:p>
        </w:tc>
        <w:tc>
          <w:tcPr>
            <w:tcW w:type="dxa" w:w="2880"/>
          </w:tcPr>
          <w:p>
            <w:r/>
            <w:r>
              <w:rPr>
                <w:color w:val="000000"/>
                <w:sz w:val="19"/>
              </w:rPr>
              <w:t>dashboard Agent page</w:t>
            </w:r>
          </w:p>
        </w:tc>
        <w:tc>
          <w:tcPr>
            <w:tcW w:type="dxa" w:w="2880"/>
          </w:tcPr>
          <w:p>
            <w:r/>
            <w:r>
              <w:rPr>
                <w:color w:val="000000"/>
                <w:sz w:val="19"/>
              </w:rPr>
              <w:t>only for the Agent page</w:t>
            </w:r>
          </w:p>
        </w:tc>
      </w:tr>
      <w:tr>
        <w:tc>
          <w:tcPr>
            <w:tcW w:type="dxa" w:w="2880"/>
          </w:tcPr>
          <w:p>
            <w:r/>
            <w:r>
              <w:rPr>
                <w:color w:val="000000"/>
                <w:sz w:val="19"/>
              </w:rPr>
              <w:t>CYBERSEC_SLM_NIM_MODEL</w:t>
            </w:r>
          </w:p>
        </w:tc>
        <w:tc>
          <w:tcPr>
            <w:tcW w:type="dxa" w:w="2880"/>
          </w:tcPr>
          <w:p>
            <w:r/>
            <w:r>
              <w:rPr>
                <w:color w:val="000000"/>
                <w:sz w:val="19"/>
              </w:rPr>
              <w:t>dashboard Agent page (model override)</w:t>
            </w:r>
          </w:p>
        </w:tc>
        <w:tc>
          <w:tcPr>
            <w:tcW w:type="dxa" w:w="2880"/>
          </w:tcPr>
          <w:p>
            <w:r/>
            <w:r>
              <w:rPr>
                <w:color w:val="000000"/>
                <w:sz w:val="19"/>
              </w:rPr>
              <w:t>optional</w:t>
            </w:r>
          </w:p>
        </w:tc>
      </w:tr>
      <w:tr>
        <w:tc>
          <w:tcPr>
            <w:tcW w:type="dxa" w:w="2880"/>
          </w:tcPr>
          <w:p>
            <w:r/>
            <w:r>
              <w:rPr>
                <w:color w:val="000000"/>
                <w:sz w:val="19"/>
              </w:rPr>
              <w:t>CYBERSEC_SLM_NIM_BASE_URL</w:t>
            </w:r>
          </w:p>
        </w:tc>
        <w:tc>
          <w:tcPr>
            <w:tcW w:type="dxa" w:w="2880"/>
          </w:tcPr>
          <w:p>
            <w:r/>
            <w:r>
              <w:rPr>
                <w:color w:val="000000"/>
                <w:sz w:val="19"/>
              </w:rPr>
              <w:t>dashboard Agent page (endpoint override)</w:t>
            </w:r>
          </w:p>
        </w:tc>
        <w:tc>
          <w:tcPr>
            <w:tcW w:type="dxa" w:w="2880"/>
          </w:tcPr>
          <w:p>
            <w:r/>
            <w:r>
              <w:rPr>
                <w:color w:val="000000"/>
                <w:sz w:val="19"/>
              </w:rPr>
              <w:t>optional</w:t>
            </w:r>
          </w:p>
        </w:tc>
      </w:tr>
    </w:tbl>
    <w:p>
      <w:r>
        <w:t>EDA gate thresholds are environment-overridable too; see eda/config.py. Two stage tools are opt-in extras because neither runs in the default local environment: orchestration (Prefect + prefect-aws) and profiling (ydata-profiling). The dashboard and agent are likewise opt-in extras.</w:t>
      </w:r>
    </w:p>
    <w:p>
      <w:pPr>
        <w:pStyle w:val="Heading1"/>
      </w:pPr>
      <w:r>
        <w:t>15. Repository and Data Layout</w:t>
      </w:r>
    </w:p>
    <w:p>
      <w:pPr>
        <w:pStyle w:val="Heading2"/>
      </w:pPr>
      <w:r>
        <w:t>15.1 Source layout</w:t>
      </w:r>
    </w:p>
    <w:p>
      <w:pPr>
        <w:spacing w:before="80" w:after="160"/>
        <w:shd w:val="clear" w:color="auto" w:fill="F2F2F2"/>
      </w:pPr>
      <w:r>
        <w:rPr>
          <w:rFonts w:ascii="Consolas" w:hAnsi="Consolas"/>
          <w:color w:val="000000"/>
          <w:sz w:val="19"/>
        </w:rPr>
        <w:t>src/cybersec_slm/</w:t>
        <w:br/>
        <w:t xml:space="preserve">  core.py        shared utilities: logging, data paths, JSONL + hashing</w:t>
        <w:br/>
        <w:t xml:space="preserve">  cli.py         the single entry point (source / run / clean / eda /</w:t>
        <w:br/>
        <w:t xml:space="preserve">                 normalize / flow / dashboard / all)</w:t>
        <w:br/>
        <w:t xml:space="preserve">  sourcing/      search-engine source discovery -&gt; Sources.csv catalog</w:t>
        <w:br/>
        <w:t xml:space="preserve">  ingestion/     fetch, scrape, crawl, allowlist gate, license gate, worker</w:t>
        <w:br/>
        <w:t xml:space="preserve">  cleaning/      sanitize, anomaly, dedup, pii, langfilter, translate</w:t>
        <w:br/>
        <w:t xml:space="preserve">  eda/           metrics + the sufficiency gate</w:t>
        <w:br/>
        <w:t xml:space="preserve">  normalize/     schema, mappers, enrich, dedup, manifest -&gt; dataset.jsonl</w:t>
        <w:br/>
        <w:t xml:space="preserve">  orchestration/ Prefect build-corpus flow</w:t>
        <w:br/>
        <w:t xml:space="preserve">  dashboard/     read-only Streamlit monitor + dataset explorer + Q&amp;A agent</w:t>
        <w:br/>
        <w:t>sources/         Sources.csv (curated catalog) + allowlist.yaml + research</w:t>
        <w:br/>
        <w:t>tests/           pytest suite covering every stage</w:t>
        <w:br/>
        <w:t>docs/            architecture, commands, schema, deployment, security notes</w:t>
        <w:br/>
        <w:t>infra/           Terraform skeleton (ECR / ECS / S3 / IAM / Secrets Manager)</w:t>
      </w:r>
    </w:p>
    <w:p>
      <w:pPr>
        <w:pStyle w:val="Heading2"/>
      </w:pPr>
      <w:r>
        <w:t>15.2 Generated data layout (git-ignored)</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color w:val="000000"/>
                <w:sz w:val="20"/>
              </w:rPr>
              <w:t>Folder</w:t>
            </w:r>
          </w:p>
        </w:tc>
        <w:tc>
          <w:tcPr>
            <w:tcW w:type="dxa" w:w="2880"/>
          </w:tcPr>
          <w:p>
            <w:r/>
            <w:r>
              <w:rPr>
                <w:b/>
                <w:color w:val="000000"/>
                <w:sz w:val="20"/>
              </w:rPr>
              <w:t>Produced by</w:t>
            </w:r>
          </w:p>
        </w:tc>
        <w:tc>
          <w:tcPr>
            <w:tcW w:type="dxa" w:w="2880"/>
          </w:tcPr>
          <w:p>
            <w:r/>
            <w:r>
              <w:rPr>
                <w:b/>
                <w:color w:val="000000"/>
                <w:sz w:val="20"/>
              </w:rPr>
              <w:t>Purpose</w:t>
            </w:r>
          </w:p>
        </w:tc>
      </w:tr>
      <w:tr>
        <w:tc>
          <w:tcPr>
            <w:tcW w:type="dxa" w:w="2880"/>
          </w:tcPr>
          <w:p>
            <w:r/>
            <w:r>
              <w:rPr>
                <w:color w:val="000000"/>
                <w:sz w:val="19"/>
              </w:rPr>
              <w:t>data/raw/</w:t>
            </w:r>
          </w:p>
        </w:tc>
        <w:tc>
          <w:tcPr>
            <w:tcW w:type="dxa" w:w="2880"/>
          </w:tcPr>
          <w:p>
            <w:r/>
            <w:r>
              <w:rPr>
                <w:color w:val="000000"/>
                <w:sz w:val="19"/>
              </w:rPr>
              <w:t>ingestion</w:t>
            </w:r>
          </w:p>
        </w:tc>
        <w:tc>
          <w:tcPr>
            <w:tcW w:type="dxa" w:w="2880"/>
          </w:tcPr>
          <w:p>
            <w:r/>
            <w:r>
              <w:rPr>
                <w:color w:val="000000"/>
                <w:sz w:val="19"/>
              </w:rPr>
              <w:t>normalized JSONL per source</w:t>
            </w:r>
          </w:p>
        </w:tc>
      </w:tr>
      <w:tr>
        <w:tc>
          <w:tcPr>
            <w:tcW w:type="dxa" w:w="2880"/>
          </w:tcPr>
          <w:p>
            <w:r/>
            <w:r>
              <w:rPr>
                <w:color w:val="000000"/>
                <w:sz w:val="19"/>
              </w:rPr>
              <w:t>data/clean/</w:t>
            </w:r>
          </w:p>
        </w:tc>
        <w:tc>
          <w:tcPr>
            <w:tcW w:type="dxa" w:w="2880"/>
          </w:tcPr>
          <w:p>
            <w:r/>
            <w:r>
              <w:rPr>
                <w:color w:val="000000"/>
                <w:sz w:val="19"/>
              </w:rPr>
              <w:t>cleaning</w:t>
            </w:r>
          </w:p>
        </w:tc>
        <w:tc>
          <w:tcPr>
            <w:tcW w:type="dxa" w:w="2880"/>
          </w:tcPr>
          <w:p>
            <w:r/>
            <w:r>
              <w:rPr>
                <w:color w:val="000000"/>
                <w:sz w:val="19"/>
              </w:rPr>
              <w:t>the cleaned corpus -&gt; EDA handoff</w:t>
            </w:r>
          </w:p>
        </w:tc>
      </w:tr>
      <w:tr>
        <w:tc>
          <w:tcPr>
            <w:tcW w:type="dxa" w:w="2880"/>
          </w:tcPr>
          <w:p>
            <w:r/>
            <w:r>
              <w:rPr>
                <w:color w:val="000000"/>
                <w:sz w:val="19"/>
              </w:rPr>
              <w:t>data/flagged/</w:t>
            </w:r>
          </w:p>
        </w:tc>
        <w:tc>
          <w:tcPr>
            <w:tcW w:type="dxa" w:w="2880"/>
          </w:tcPr>
          <w:p>
            <w:r/>
            <w:r>
              <w:rPr>
                <w:color w:val="000000"/>
                <w:sz w:val="19"/>
              </w:rPr>
              <w:t>cleaning</w:t>
            </w:r>
          </w:p>
        </w:tc>
        <w:tc>
          <w:tcPr>
            <w:tcW w:type="dxa" w:w="2880"/>
          </w:tcPr>
          <w:p>
            <w:r/>
            <w:r>
              <w:rPr>
                <w:color w:val="000000"/>
                <w:sz w:val="19"/>
              </w:rPr>
              <w:t>records a human should review</w:t>
            </w:r>
          </w:p>
        </w:tc>
      </w:tr>
      <w:tr>
        <w:tc>
          <w:tcPr>
            <w:tcW w:type="dxa" w:w="2880"/>
          </w:tcPr>
          <w:p>
            <w:r/>
            <w:r>
              <w:rPr>
                <w:color w:val="000000"/>
                <w:sz w:val="19"/>
              </w:rPr>
              <w:t>data/dropped/</w:t>
            </w:r>
          </w:p>
        </w:tc>
        <w:tc>
          <w:tcPr>
            <w:tcW w:type="dxa" w:w="2880"/>
          </w:tcPr>
          <w:p>
            <w:r/>
            <w:r>
              <w:rPr>
                <w:color w:val="000000"/>
                <w:sz w:val="19"/>
              </w:rPr>
              <w:t>cleaning</w:t>
            </w:r>
          </w:p>
        </w:tc>
        <w:tc>
          <w:tcPr>
            <w:tcW w:type="dxa" w:w="2880"/>
          </w:tcPr>
          <w:p>
            <w:r/>
            <w:r>
              <w:rPr>
                <w:color w:val="000000"/>
                <w:sz w:val="19"/>
              </w:rPr>
              <w:t>removed records, with reasons</w:t>
            </w:r>
          </w:p>
        </w:tc>
      </w:tr>
      <w:tr>
        <w:tc>
          <w:tcPr>
            <w:tcW w:type="dxa" w:w="2880"/>
          </w:tcPr>
          <w:p>
            <w:r/>
            <w:r>
              <w:rPr>
                <w:color w:val="000000"/>
                <w:sz w:val="19"/>
              </w:rPr>
              <w:t>data/final/</w:t>
            </w:r>
          </w:p>
        </w:tc>
        <w:tc>
          <w:tcPr>
            <w:tcW w:type="dxa" w:w="2880"/>
          </w:tcPr>
          <w:p>
            <w:r/>
            <w:r>
              <w:rPr>
                <w:color w:val="000000"/>
                <w:sz w:val="19"/>
              </w:rPr>
              <w:t>normalization</w:t>
            </w:r>
          </w:p>
        </w:tc>
        <w:tc>
          <w:tcPr>
            <w:tcW w:type="dxa" w:w="2880"/>
          </w:tcPr>
          <w:p>
            <w:r/>
            <w:r>
              <w:rPr>
                <w:color w:val="000000"/>
                <w:sz w:val="19"/>
              </w:rPr>
              <w:t>the release (dataset.jsonl + manifest)</w:t>
            </w:r>
          </w:p>
        </w:tc>
      </w:tr>
      <w:tr>
        <w:tc>
          <w:tcPr>
            <w:tcW w:type="dxa" w:w="2880"/>
          </w:tcPr>
          <w:p>
            <w:r/>
            <w:r>
              <w:rPr>
                <w:color w:val="000000"/>
                <w:sz w:val="19"/>
              </w:rPr>
              <w:t>logs/</w:t>
            </w:r>
          </w:p>
        </w:tc>
        <w:tc>
          <w:tcPr>
            <w:tcW w:type="dxa" w:w="2880"/>
          </w:tcPr>
          <w:p>
            <w:r/>
            <w:r>
              <w:rPr>
                <w:color w:val="000000"/>
                <w:sz w:val="19"/>
              </w:rPr>
              <w:t>all stages</w:t>
            </w:r>
          </w:p>
        </w:tc>
        <w:tc>
          <w:tcPr>
            <w:tcW w:type="dxa" w:w="2880"/>
          </w:tcPr>
          <w:p>
            <w:r/>
            <w:r>
              <w:rPr>
                <w:color w:val="000000"/>
                <w:sz w:val="19"/>
              </w:rPr>
              <w:t>run logs, EDA history, stage reports, ledgers</w:t>
            </w:r>
          </w:p>
        </w:tc>
      </w:tr>
    </w:tbl>
    <w:p>
      <w:pPr>
        <w:pStyle w:val="Heading1"/>
      </w:pPr>
      <w:r>
        <w:t>16. Testing and Quality</w:t>
      </w:r>
    </w:p>
    <w:p>
      <w:r>
        <w:t>The project uses pytest across every stage. Two conventions keep the suite fast and hermetic:</w:t>
      </w:r>
    </w:p>
    <w:p>
      <w:pPr>
        <w:pStyle w:val="ListBullet"/>
      </w:pPr>
      <w:r>
        <w:t>Logic layers avoid heavy imports. The dashboard read layer (data.py) and the agent tools/client are Streamlit-free and network-free, so they run headlessly by seeding a temporary data root via CYBERSEC_SLM_DATA_ROOT and asserting on plain-data return values.</w:t>
      </w:r>
    </w:p>
    <w:p>
      <w:pPr>
        <w:pStyle w:val="ListBullet"/>
      </w:pPr>
      <w:r>
        <w:t>Optional dependencies degrade cleanly. Streamlit render tests use importorskip so they skip when the dashboard extra is not installed; the agent tool-calling loop is tested against a fake OpenAI-compatible client so tests never call the real NVIDIA API.</w:t>
      </w:r>
    </w:p>
    <w:p>
      <w:r>
        <w:t>Continuous integration adds secret scanning (gitleaks over full history) and dependency auditing (pip-audit). Linting uses ruff (line length 100, rule set E/F/I/UP/B).</w:t>
      </w:r>
    </w:p>
    <w:p>
      <w:pPr>
        <w:pStyle w:val="Heading1"/>
      </w:pPr>
      <w:r>
        <w:t>17. Development Workflow</w:t>
      </w:r>
    </w:p>
    <w:p>
      <w:r>
        <w:t>A typical local setup and full run:</w:t>
      </w:r>
    </w:p>
    <w:p>
      <w:pPr>
        <w:spacing w:before="80" w:after="160"/>
        <w:shd w:val="clear" w:color="auto" w:fill="F2F2F2"/>
      </w:pPr>
      <w:r>
        <w:rPr>
          <w:rFonts w:ascii="Consolas" w:hAnsi="Consolas"/>
          <w:color w:val="000000"/>
          <w:sz w:val="19"/>
        </w:rPr>
        <w:t>cp .env.example .env                    # add API keys (optional for a basic run)</w:t>
        <w:br/>
        <w:t>uv sync                                 # install the pipeline + dev tools</w:t>
        <w:br/>
        <w:t>uv run playwright install chromium      # browser for the website crawler</w:t>
        <w:br/>
        <w:t>uv run cybersec-slm all                 # ingest -&gt; clean -&gt; EDA gate -&gt; normalize</w:t>
        <w:br/>
        <w:t>uv run cybersec-slm all --resume        # re-run without re-downloading finished sources</w:t>
      </w:r>
    </w:p>
    <w:p>
      <w:r>
        <w:t>To monitor a run and explore the corpus, optionally with the agent:</w:t>
      </w:r>
    </w:p>
    <w:p>
      <w:pPr>
        <w:spacing w:before="80" w:after="160"/>
        <w:shd w:val="clear" w:color="auto" w:fill="F2F2F2"/>
      </w:pPr>
      <w:r>
        <w:rPr>
          <w:rFonts w:ascii="Consolas" w:hAnsi="Consolas"/>
          <w:color w:val="000000"/>
          <w:sz w:val="19"/>
        </w:rPr>
        <w:t>uv sync --extra dashboard                    # Streamlit only</w:t>
        <w:br/>
        <w:t>uv sync --extra dashboard --extra agent      # + the Q&amp;A agent (openai SDK)</w:t>
        <w:br/>
        <w:t>export NVIDIA_API_KEY=...                     # from build.nvidia.com (agent only)</w:t>
        <w:br/>
        <w:t>uv run cybersec-slm dashboard                 # -&gt; http://localhost:8501</w:t>
      </w:r>
    </w:p>
    <w:p>
      <w:r>
        <w:t>Output folders (data/, logs/) are created at the project root and are git-ignored. Point them elsewhere with CYBERSEC_SLM_DATA_ROOT — the same mechanism that makes a hosted dashboard deploy possible with no code change.</w:t>
      </w:r>
    </w:p>
    <w:p/>
    <w:p>
      <w:pPr>
        <w:jc w:val="center"/>
      </w:pPr>
      <w:r>
        <w:rPr>
          <w:color w:val="444444"/>
          <w:sz w:val="20"/>
        </w:rPr>
        <w:t>— End of documentation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