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Playfair Display" w:cs="Playfair Display" w:eastAsia="Playfair Display" w:hAnsi="Playfair Display"/>
        </w:rPr>
      </w:pPr>
      <w:bookmarkStart w:colFirst="0" w:colLast="0" w:name="_2983k9x236v0" w:id="0"/>
      <w:bookmarkEnd w:id="0"/>
      <w:r w:rsidDel="00000000" w:rsidR="00000000" w:rsidRPr="00000000">
        <w:rPr>
          <w:rFonts w:ascii="Playfair Display" w:cs="Playfair Display" w:eastAsia="Playfair Display" w:hAnsi="Playfair Display"/>
          <w:b w:val="1"/>
          <w:bCs w:val="1"/>
          <w:color w:val="1f1f1f"/>
          <w:sz w:val="34"/>
          <w:szCs w:val="34"/>
          <w:rtl w:val="0"/>
        </w:rPr>
        <w:t xml:space="preserve">Background</w:t>
      </w:r>
      <w:r w:rsidDel="00000000" w:rsidR="00000000" w:rsidRPr="00000000">
        <w:rPr>
          <w:rtl w:val="0"/>
        </w:rPr>
      </w:r>
    </w:p>
    <w:p w:rsidR="00000000" w:rsidDel="00000000" w:rsidP="00000000" w:rsidRDefault="00000000" w:rsidRPr="00000000" w14:paraId="00000002">
      <w:pPr>
        <w:rPr>
          <w:rFonts w:ascii="Playfair Display" w:cs="Playfair Display" w:eastAsia="Playfair Display" w:hAnsi="Playfair Display"/>
          <w:color w:val="1f1f1f"/>
        </w:rPr>
      </w:pPr>
      <w:r w:rsidDel="00000000" w:rsidR="00000000" w:rsidRPr="00000000">
        <w:rPr>
          <w:rFonts w:ascii="Playfair Display" w:cs="Playfair Display" w:eastAsia="Playfair Display" w:hAnsi="Playfair Display"/>
          <w:color w:val="1f1f1f"/>
          <w:rtl w:val="0"/>
        </w:rPr>
        <w:t xml:space="preserve">While randomization is the gold standard for establishing causal inference, its practical application is frequently compromised by systemic errors in implementation, analysis, and reporting. These failures introduce significant selection bias, inflate false precision, and undermine the strength of clinical trial results.</w:t>
      </w:r>
    </w:p>
    <w:p w:rsidR="00000000" w:rsidDel="00000000" w:rsidP="00000000" w:rsidRDefault="00000000" w:rsidRPr="00000000" w14:paraId="00000003">
      <w:pPr>
        <w:rPr>
          <w:rFonts w:ascii="Playfair Display" w:cs="Playfair Display" w:eastAsia="Playfair Display" w:hAnsi="Playfair Display"/>
          <w:color w:val="1f1f1f"/>
        </w:rPr>
      </w:pP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Playfair Display" w:cs="Playfair Display" w:eastAsia="Playfair Display" w:hAnsi="Playfair Display"/>
          <w:b w:val="1"/>
          <w:bCs w:val="1"/>
          <w:color w:val="1f1f1f"/>
          <w:sz w:val="26"/>
          <w:szCs w:val="26"/>
        </w:rPr>
      </w:pPr>
      <w:bookmarkStart w:colFirst="0" w:colLast="0" w:name="_p5jbyrabwied" w:id="1"/>
      <w:bookmarkEnd w:id="1"/>
      <w:r w:rsidDel="00000000" w:rsidR="00000000" w:rsidRPr="00000000">
        <w:rPr>
          <w:rFonts w:ascii="Playfair Display" w:cs="Playfair Display" w:eastAsia="Playfair Display" w:hAnsi="Playfair Display"/>
          <w:b w:val="1"/>
          <w:bCs w:val="1"/>
          <w:color w:val="1f1f1f"/>
          <w:sz w:val="26"/>
          <w:szCs w:val="26"/>
          <w:rtl w:val="0"/>
        </w:rPr>
        <w:t xml:space="preserve">1. Integrity and Implementation Flaws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rFonts w:ascii="Playfair Display" w:cs="Playfair Display" w:eastAsia="Playfair Display" w:hAnsi="Playfair Display"/>
          <w:color w:val="1f1f1f"/>
        </w:rPr>
      </w:pPr>
      <w:r w:rsidDel="00000000" w:rsidR="00000000" w:rsidRPr="00000000">
        <w:rPr>
          <w:rFonts w:ascii="Playfair Display" w:cs="Playfair Display" w:eastAsia="Playfair Display" w:hAnsi="Playfair Display"/>
          <w:color w:val="1f1f1f"/>
          <w:rtl w:val="0"/>
        </w:rPr>
        <w:t xml:space="preserve">The physical process of randomization is susceptible to manipulation and design errors that violate the principle of equal probability.</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color w:val="1f1f1f"/>
          <w:rtl w:val="0"/>
        </w:rPr>
        <w:t xml:space="preserve">False Randomization &amp; Selection Bias</w:t>
      </w:r>
      <w:r w:rsidDel="00000000" w:rsidR="00000000" w:rsidRPr="00000000">
        <w:rPr>
          <w:rFonts w:ascii="Playfair Display" w:cs="Playfair Display" w:eastAsia="Playfair Display" w:hAnsi="Playfair Display"/>
          <w:color w:val="1f1f1f"/>
          <w:rtl w:val="0"/>
        </w:rPr>
        <w:t xml:space="preserve">:</w:t>
      </w:r>
      <w:r w:rsidDel="00000000" w:rsidR="00000000" w:rsidRPr="00000000">
        <w:rPr>
          <w:rFonts w:ascii="Playfair Display" w:cs="Playfair Display" w:eastAsia="Playfair Display" w:hAnsi="Playfair Display"/>
          <w:color w:val="1f1f1f"/>
          <w:rtl w:val="0"/>
        </w:rPr>
        <w:t xml:space="preserve"> Studies often rely on non-random allocation methods—such as assigning entire pre-existing cohorts, clinics, or households—while claiming to be randomized. As observed in trials like PREDIMED, this failure to randomize at the appropriate level introduces severe selection bias.</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color w:val="1f1f1f"/>
          <w:rtl w:val="0"/>
        </w:rPr>
        <w:t xml:space="preserve">Compromised Allocation Concealment</w:t>
      </w:r>
      <w:r w:rsidDel="00000000" w:rsidR="00000000" w:rsidRPr="00000000">
        <w:rPr>
          <w:rFonts w:ascii="Playfair Display" w:cs="Playfair Display" w:eastAsia="Playfair Display" w:hAnsi="Playfair Display"/>
          <w:color w:val="1f1f1f"/>
          <w:rtl w:val="0"/>
        </w:rPr>
        <w:t xml:space="preserve">:</w:t>
      </w:r>
      <w:r w:rsidDel="00000000" w:rsidR="00000000" w:rsidRPr="00000000">
        <w:rPr>
          <w:rFonts w:ascii="Playfair Display" w:cs="Playfair Display" w:eastAsia="Playfair Display" w:hAnsi="Playfair Display"/>
          <w:color w:val="1f1f1f"/>
          <w:rtl w:val="0"/>
        </w:rPr>
        <w:t xml:space="preserve"> When upcoming assignments are predictable, the study loses its blinding. This leads to subversion, where investigators may consciously or unconsciously steer participants into specific groups, or participants may drop out upon discovering their assignment.</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color w:val="1f1f1f"/>
          <w:rtl w:val="0"/>
        </w:rPr>
        <w:t xml:space="preserve">Dynamic Allocation Errors</w:t>
      </w:r>
      <w:r w:rsidDel="00000000" w:rsidR="00000000" w:rsidRPr="00000000">
        <w:rPr>
          <w:rFonts w:ascii="Playfair Display" w:cs="Playfair Display" w:eastAsia="Playfair Display" w:hAnsi="Playfair Display"/>
          <w:color w:val="1f1f1f"/>
          <w:rtl w:val="0"/>
        </w:rPr>
        <w:t xml:space="preserve">:</w:t>
      </w:r>
      <w:r w:rsidDel="00000000" w:rsidR="00000000" w:rsidRPr="00000000">
        <w:rPr>
          <w:rFonts w:ascii="Playfair Display" w:cs="Playfair Display" w:eastAsia="Playfair Display" w:hAnsi="Playfair Display"/>
          <w:color w:val="1f1f1f"/>
          <w:rtl w:val="0"/>
        </w:rPr>
        <w:t xml:space="preserve"> Rebalancing groups mid-trial to account for uneven dropouts or modifying allocation ratios without strict statistical adjustment distorts the probability basis required for valid conclusions. Furthermore, replacing dropouts with non-randomly selected participants corrupts the original randomization sequence.</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Playfair Display" w:cs="Playfair Display" w:eastAsia="Playfair Display" w:hAnsi="Playfair Display"/>
          <w:b w:val="1"/>
          <w:bCs w:val="1"/>
          <w:color w:val="1f1f1f"/>
          <w:sz w:val="26"/>
          <w:szCs w:val="26"/>
        </w:rPr>
      </w:pPr>
      <w:bookmarkStart w:colFirst="0" w:colLast="0" w:name="_iorfkctlhuti" w:id="2"/>
      <w:bookmarkEnd w:id="2"/>
      <w:r w:rsidDel="00000000" w:rsidR="00000000" w:rsidRPr="00000000">
        <w:rPr>
          <w:rFonts w:ascii="Playfair Display" w:cs="Playfair Display" w:eastAsia="Playfair Display" w:hAnsi="Playfair Display"/>
          <w:b w:val="1"/>
          <w:bCs w:val="1"/>
          <w:color w:val="1f1f1f"/>
          <w:sz w:val="26"/>
          <w:szCs w:val="26"/>
          <w:rtl w:val="0"/>
        </w:rPr>
        <w:t xml:space="preserve">2. Statistical and Analytical Disconnects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Rule="auto"/>
        <w:rPr>
          <w:rFonts w:ascii="Playfair Display" w:cs="Playfair Display" w:eastAsia="Playfair Display" w:hAnsi="Playfair Display"/>
          <w:color w:val="1f1f1f"/>
        </w:rPr>
      </w:pPr>
      <w:r w:rsidDel="00000000" w:rsidR="00000000" w:rsidRPr="00000000">
        <w:rPr>
          <w:rFonts w:ascii="Playfair Display" w:cs="Playfair Display" w:eastAsia="Playfair Display" w:hAnsi="Playfair Display"/>
          <w:color w:val="1f1f1f"/>
          <w:rtl w:val="0"/>
        </w:rPr>
        <w:t xml:space="preserve">A major source of error arises when the statistical model does not align with the experimental design.</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color w:val="1f1f1f"/>
          <w:rtl w:val="0"/>
        </w:rPr>
        <w:t xml:space="preserve">The Clustering Oversight</w:t>
      </w:r>
      <w:r w:rsidDel="00000000" w:rsidR="00000000" w:rsidRPr="00000000">
        <w:rPr>
          <w:rFonts w:ascii="Playfair Display" w:cs="Playfair Display" w:eastAsia="Playfair Display" w:hAnsi="Playfair Display"/>
          <w:color w:val="1f1f1f"/>
          <w:rtl w:val="0"/>
        </w:rPr>
        <w:t xml:space="preserve">:</w:t>
      </w:r>
      <w:r w:rsidDel="00000000" w:rsidR="00000000" w:rsidRPr="00000000">
        <w:rPr>
          <w:rFonts w:ascii="Playfair Display" w:cs="Playfair Display" w:eastAsia="Playfair Display" w:hAnsi="Playfair Display"/>
          <w:color w:val="1f1f1f"/>
          <w:rtl w:val="0"/>
        </w:rPr>
        <w:t xml:space="preserve"> A pervasive error involves analyzing cluster-randomized trials (e.g., randomized by clinic or household) as if they were individually randomized. This ignores the correlation between subjects in the same cluster, resulting in "false precision" and artificially significant p-values.</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color w:val="1f1f1f"/>
          <w:rtl w:val="0"/>
        </w:rPr>
        <w:t xml:space="preserve">The "DINS" Error</w:t>
      </w:r>
      <w:r w:rsidDel="00000000" w:rsidR="00000000" w:rsidRPr="00000000">
        <w:rPr>
          <w:rFonts w:ascii="Playfair Display" w:cs="Playfair Display" w:eastAsia="Playfair Display" w:hAnsi="Playfair Display"/>
          <w:color w:val="1f1f1f"/>
          <w:rtl w:val="0"/>
        </w:rPr>
        <w:t xml:space="preserve">:</w:t>
      </w:r>
      <w:r w:rsidDel="00000000" w:rsidR="00000000" w:rsidRPr="00000000">
        <w:rPr>
          <w:rFonts w:ascii="Playfair Display" w:cs="Playfair Display" w:eastAsia="Playfair Display" w:hAnsi="Playfair Display"/>
          <w:color w:val="1f1f1f"/>
          <w:rtl w:val="0"/>
        </w:rPr>
        <w:t xml:space="preserve"> Researchers frequently commit the "Difference in Nominal Significance" error by comparing within-group changes (Baseline vs. End) rather than analyzing the between-group differences. This fails to isolate the true effect of the intervention relative to the control.</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color w:val="1f1f1f"/>
          <w:rtl w:val="0"/>
        </w:rPr>
        <w:t xml:space="preserve">Pooling and Missing Data</w:t>
      </w:r>
      <w:r w:rsidDel="00000000" w:rsidR="00000000" w:rsidRPr="00000000">
        <w:rPr>
          <w:rFonts w:ascii="Playfair Display" w:cs="Playfair Display" w:eastAsia="Playfair Display" w:hAnsi="Playfair Display"/>
          <w:color w:val="1f1f1f"/>
          <w:rtl w:val="0"/>
        </w:rPr>
        <w:t xml:space="preserve">:</w:t>
      </w:r>
      <w:r w:rsidDel="00000000" w:rsidR="00000000" w:rsidRPr="00000000">
        <w:rPr>
          <w:rFonts w:ascii="Playfair Display" w:cs="Playfair Display" w:eastAsia="Playfair Display" w:hAnsi="Playfair Display"/>
          <w:color w:val="1f1f1f"/>
          <w:rtl w:val="0"/>
        </w:rPr>
        <w:t xml:space="preserve"> Aggregating data across different sites or trial phases without heterogeneity adjustments introduces confounders. Additionally, strictly analyzing "per-protocol" (completers only) ignores attrition bias. While Intention-to-Treat (ITT) analysis is superior, it is not a panacea and has its own limitations regarding missing data imputation.</w:t>
      </w:r>
    </w:p>
    <w:p w:rsidR="00000000" w:rsidDel="00000000" w:rsidP="00000000" w:rsidRDefault="00000000" w:rsidRPr="00000000" w14:paraId="0000000E">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rPr>
          <w:rFonts w:ascii="Playfair Display" w:cs="Playfair Display" w:eastAsia="Playfair Display" w:hAnsi="Playfair Display"/>
          <w:color w:val="1f1f1f"/>
          <w:sz w:val="34"/>
          <w:szCs w:val="34"/>
        </w:rPr>
      </w:pPr>
      <w:bookmarkStart w:colFirst="0" w:colLast="0" w:name="_bgqljk3m9hxv" w:id="3"/>
      <w:bookmarkEnd w:id="3"/>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rPr>
          <w:rFonts w:ascii="Playfair Display" w:cs="Playfair Display" w:eastAsia="Playfair Display" w:hAnsi="Playfair Display"/>
          <w:b w:val="1"/>
          <w:bCs w:val="1"/>
          <w:color w:val="1f1f1f"/>
          <w:sz w:val="34"/>
          <w:szCs w:val="34"/>
        </w:rPr>
      </w:pPr>
      <w:bookmarkStart w:colFirst="0" w:colLast="0" w:name="_6c32rttihxah" w:id="4"/>
      <w:bookmarkEnd w:id="4"/>
      <w:r w:rsidDel="00000000" w:rsidR="00000000" w:rsidRPr="00000000">
        <w:rPr>
          <w:rFonts w:ascii="Playfair Display" w:cs="Playfair Display" w:eastAsia="Playfair Display" w:hAnsi="Playfair Display"/>
          <w:b w:val="1"/>
          <w:bCs w:val="1"/>
          <w:color w:val="1f1f1f"/>
          <w:sz w:val="34"/>
          <w:szCs w:val="34"/>
          <w:rtl w:val="0"/>
        </w:rPr>
        <w:t xml:space="preserve">Proposed Solution – The Color mapping algorithm</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240" w:before="240" w:lineRule="auto"/>
        <w:rPr>
          <w:rFonts w:ascii="Playfair Display" w:cs="Playfair Display" w:eastAsia="Playfair Display" w:hAnsi="Playfair Display"/>
          <w:color w:val="1f1f1f"/>
        </w:rPr>
      </w:pPr>
      <w:r w:rsidDel="00000000" w:rsidR="00000000" w:rsidRPr="00000000">
        <w:rPr>
          <w:rFonts w:ascii="Playfair Display" w:cs="Playfair Display" w:eastAsia="Playfair Display" w:hAnsi="Playfair Display"/>
          <w:color w:val="1f1f1f"/>
          <w:rtl w:val="0"/>
        </w:rPr>
        <w:t xml:space="preserve">To address the systemic vulnerabilities inherent in traditional randomization, we propose a novel allocation algorithm grounded in Graph</w:t>
      </w:r>
      <w:r w:rsidDel="00000000" w:rsidR="00000000" w:rsidRPr="00000000">
        <w:rPr>
          <w:rFonts w:ascii="Playfair Display" w:cs="Playfair Display" w:eastAsia="Playfair Display" w:hAnsi="Playfair Display"/>
          <w:color w:val="1f1f1f"/>
          <w:rtl w:val="0"/>
        </w:rPr>
        <w:t xml:space="preserve"> Theory</w:t>
      </w:r>
      <w:r w:rsidDel="00000000" w:rsidR="00000000" w:rsidRPr="00000000">
        <w:rPr>
          <w:rFonts w:ascii="Playfair Display" w:cs="Playfair Display" w:eastAsia="Playfair Display" w:hAnsi="Playfair Display"/>
          <w:color w:val="1f1f1f"/>
          <w:rtl w:val="0"/>
        </w:rPr>
        <w:t xml:space="preserve">. This approach moves beyond simple permutation to a dynamic, graph-based optimization model which is assisted by multimodal stochastic allocations.</w:t>
      </w:r>
    </w:p>
    <w:p w:rsidR="00000000" w:rsidDel="00000000" w:rsidP="00000000" w:rsidRDefault="00000000" w:rsidRPr="00000000" w14:paraId="00000011">
      <w:pPr>
        <w:pStyle w:val="Heading3"/>
        <w:keepNext w:val="0"/>
        <w:keepLines w:val="0"/>
        <w:pBdr>
          <w:top w:color="auto" w:space="0" w:sz="0" w:val="none"/>
          <w:bottom w:color="auto" w:space="0" w:sz="0" w:val="none"/>
          <w:right w:color="auto" w:space="0" w:sz="0" w:val="none"/>
          <w:between w:color="auto" w:space="0" w:sz="0" w:val="none"/>
        </w:pBdr>
        <w:spacing w:before="280" w:lineRule="auto"/>
        <w:rPr>
          <w:rFonts w:ascii="Playfair Display" w:cs="Playfair Display" w:eastAsia="Playfair Display" w:hAnsi="Playfair Display"/>
          <w:b w:val="1"/>
          <w:bCs w:val="1"/>
          <w:color w:val="1f1f1f"/>
          <w:sz w:val="26"/>
          <w:szCs w:val="26"/>
        </w:rPr>
      </w:pPr>
      <w:bookmarkStart w:colFirst="0" w:colLast="0" w:name="_jq2b5u8wu4gb" w:id="5"/>
      <w:bookmarkEnd w:id="5"/>
      <w:r w:rsidDel="00000000" w:rsidR="00000000" w:rsidRPr="00000000">
        <w:rPr>
          <w:rFonts w:ascii="Playfair Display" w:cs="Playfair Display" w:eastAsia="Playfair Display" w:hAnsi="Playfair Display"/>
          <w:b w:val="1"/>
          <w:bCs w:val="1"/>
          <w:color w:val="1f1f1f"/>
          <w:sz w:val="26"/>
          <w:szCs w:val="26"/>
          <w:rtl w:val="0"/>
        </w:rPr>
        <w:t xml:space="preserve">1. Color Mapping Allocation</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240" w:before="240" w:lineRule="auto"/>
        <w:rPr>
          <w:rFonts w:ascii="Playfair Display" w:cs="Playfair Display" w:eastAsia="Playfair Display" w:hAnsi="Playfair Display"/>
          <w:color w:val="1f1f1f"/>
        </w:rPr>
      </w:pPr>
      <w:r w:rsidDel="00000000" w:rsidR="00000000" w:rsidRPr="00000000">
        <w:rPr>
          <w:rFonts w:ascii="Playfair Display" w:cs="Playfair Display" w:eastAsia="Playfair Display" w:hAnsi="Playfair Display"/>
          <w:color w:val="1f1f1f"/>
          <w:rtl w:val="0"/>
        </w:rPr>
        <w:t xml:space="preserve">Instead of relying on static block randomization or simple coin-toss probabilities, our method utilizes a </w:t>
      </w:r>
      <w:r w:rsidDel="00000000" w:rsidR="00000000" w:rsidRPr="00000000">
        <w:rPr>
          <w:rFonts w:ascii="Playfair Display" w:cs="Playfair Display" w:eastAsia="Playfair Display" w:hAnsi="Playfair Display"/>
          <w:color w:val="1f1f1f"/>
          <w:rtl w:val="0"/>
        </w:rPr>
        <w:t xml:space="preserve">Color Mapping Algorithm</w:t>
      </w:r>
      <w:r w:rsidDel="00000000" w:rsidR="00000000" w:rsidRPr="00000000">
        <w:rPr>
          <w:rFonts w:ascii="Playfair Display" w:cs="Playfair Display" w:eastAsia="Playfair Display" w:hAnsi="Playfair Display"/>
          <w:color w:val="1f1f1f"/>
          <w:rtl w:val="0"/>
        </w:rPr>
        <w:t xml:space="preserve">.</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Playfair Display" w:cs="Playfair Display" w:eastAsia="Playfair Display" w:hAnsi="Playfair Display"/>
          <w:color w:val="1f1f1f"/>
        </w:rPr>
      </w:pPr>
      <w:r w:rsidDel="00000000" w:rsidR="00000000" w:rsidRPr="00000000">
        <w:rPr>
          <w:rFonts w:ascii="Playfair Display" w:cs="Playfair Display" w:eastAsia="Playfair Display" w:hAnsi="Playfair Display"/>
          <w:b w:val="1"/>
          <w:bCs w:val="1"/>
          <w:color w:val="1f1f1f"/>
          <w:rtl w:val="0"/>
        </w:rPr>
        <w:t xml:space="preserve">Dynamic Balancing:</w:t>
      </w:r>
      <w:r w:rsidDel="00000000" w:rsidR="00000000" w:rsidRPr="00000000">
        <w:rPr>
          <w:rFonts w:ascii="Playfair Display" w:cs="Playfair Display" w:eastAsia="Playfair Display" w:hAnsi="Playfair Display"/>
          <w:color w:val="1f1f1f"/>
          <w:rtl w:val="0"/>
        </w:rPr>
        <w:t xml:space="preserve"> By treating treatment arms as distinct "colors", participants as “nodes” or “states” and constraints as “edges” in  a graph-theoretical framework, the algorithm ensures optimal separation and balance between groups.</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Playfair Display" w:cs="Playfair Display" w:eastAsia="Playfair Display" w:hAnsi="Playfair Display"/>
          <w:color w:val="1f1f1f"/>
        </w:rPr>
      </w:pPr>
      <w:r w:rsidDel="00000000" w:rsidR="00000000" w:rsidRPr="00000000">
        <w:rPr>
          <w:rFonts w:ascii="Playfair Display" w:cs="Playfair Display" w:eastAsia="Playfair Display" w:hAnsi="Playfair Display"/>
          <w:color w:val="1f1f1f"/>
          <w:rtl w:val="0"/>
        </w:rPr>
        <w:t xml:space="preserve">Minimizing Predictability:</w:t>
      </w:r>
      <w:r w:rsidDel="00000000" w:rsidR="00000000" w:rsidRPr="00000000">
        <w:rPr>
          <w:rFonts w:ascii="Playfair Display" w:cs="Playfair Display" w:eastAsia="Playfair Display" w:hAnsi="Playfair Display"/>
          <w:color w:val="1f1f1f"/>
          <w:rtl w:val="0"/>
        </w:rPr>
        <w:t xml:space="preserve"> This mathematical approach reduces the predictability of the sequence by increasing entropy and random seeding for head allocation compared to standard blocking methods, directly countering the risk of selection bias and subversion.</w:t>
      </w:r>
    </w:p>
    <w:p w:rsidR="00000000" w:rsidDel="00000000" w:rsidP="00000000" w:rsidRDefault="00000000" w:rsidRPr="00000000" w14:paraId="00000015">
      <w:pPr>
        <w:pStyle w:val="Heading3"/>
        <w:keepNext w:val="0"/>
        <w:keepLines w:val="0"/>
        <w:pBdr>
          <w:top w:color="auto" w:space="0" w:sz="0" w:val="none"/>
          <w:bottom w:color="auto" w:space="0" w:sz="0" w:val="none"/>
          <w:right w:color="auto" w:space="0" w:sz="0" w:val="none"/>
          <w:between w:color="auto" w:space="0" w:sz="0" w:val="none"/>
        </w:pBdr>
        <w:spacing w:before="280" w:lineRule="auto"/>
        <w:ind w:left="720" w:hanging="360"/>
        <w:rPr>
          <w:rFonts w:ascii="Playfair Display" w:cs="Playfair Display" w:eastAsia="Playfair Display" w:hAnsi="Playfair Display"/>
          <w:b w:val="1"/>
          <w:bCs w:val="1"/>
          <w:color w:val="1f1f1f"/>
          <w:sz w:val="26"/>
          <w:szCs w:val="26"/>
        </w:rPr>
      </w:pPr>
      <w:bookmarkStart w:colFirst="0" w:colLast="0" w:name="_uvr2vaawkl28" w:id="6"/>
      <w:bookmarkEnd w:id="6"/>
      <w:r w:rsidDel="00000000" w:rsidR="00000000" w:rsidRPr="00000000">
        <w:rPr>
          <w:rFonts w:ascii="Playfair Display" w:cs="Playfair Display" w:eastAsia="Playfair Display" w:hAnsi="Playfair Display"/>
          <w:b w:val="1"/>
          <w:bCs w:val="1"/>
          <w:color w:val="1f1f1f"/>
          <w:sz w:val="26"/>
          <w:szCs w:val="26"/>
          <w:rtl w:val="0"/>
        </w:rPr>
        <w:t xml:space="preserve">2. Architectural Resilience</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240" w:before="240" w:lineRule="auto"/>
        <w:rPr>
          <w:rFonts w:ascii="Playfair Display" w:cs="Playfair Display" w:eastAsia="Playfair Display" w:hAnsi="Playfair Display"/>
          <w:color w:val="1f1f1f"/>
        </w:rPr>
      </w:pPr>
      <w:r w:rsidDel="00000000" w:rsidR="00000000" w:rsidRPr="00000000">
        <w:rPr>
          <w:rFonts w:ascii="Playfair Display" w:cs="Playfair Display" w:eastAsia="Playfair Display" w:hAnsi="Playfair Display"/>
          <w:color w:val="1f1f1f"/>
          <w:rtl w:val="0"/>
        </w:rPr>
        <w:t xml:space="preserve">To mitigate the "Implementation Errors" identified above—specifically regarding allocation concealment and non-random site practices—the algorithm is deployed via a </w:t>
      </w:r>
      <w:r w:rsidDel="00000000" w:rsidR="00000000" w:rsidRPr="00000000">
        <w:rPr>
          <w:rFonts w:ascii="Playfair Display" w:cs="Playfair Display" w:eastAsia="Playfair Display" w:hAnsi="Playfair Display"/>
          <w:color w:val="1f1f1f"/>
          <w:rtl w:val="0"/>
        </w:rPr>
        <w:t xml:space="preserve">unified, centralized system.</w:t>
      </w:r>
      <w:r w:rsidDel="00000000" w:rsidR="00000000" w:rsidRPr="00000000">
        <w:rPr>
          <w:rtl w:val="0"/>
        </w:rPr>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Playfair Display" w:cs="Playfair Display" w:eastAsia="Playfair Display" w:hAnsi="Playfair Display"/>
          <w:color w:val="1f1f1f"/>
        </w:rPr>
      </w:pPr>
      <w:r w:rsidDel="00000000" w:rsidR="00000000" w:rsidRPr="00000000">
        <w:rPr>
          <w:rFonts w:ascii="Playfair Display" w:cs="Playfair Display" w:eastAsia="Playfair Display" w:hAnsi="Playfair Display"/>
          <w:color w:val="1f1f1f"/>
          <w:rtl w:val="0"/>
        </w:rPr>
        <w:t xml:space="preserve">Eliminating Local Interference:</w:t>
      </w:r>
      <w:r w:rsidDel="00000000" w:rsidR="00000000" w:rsidRPr="00000000">
        <w:rPr>
          <w:rFonts w:ascii="Playfair Display" w:cs="Playfair Display" w:eastAsia="Playfair Display" w:hAnsi="Playfair Display"/>
          <w:color w:val="1f1f1f"/>
          <w:rtl w:val="0"/>
        </w:rPr>
        <w:t xml:space="preserve"> By removing the randomization authority from local sites and housing it centrally, we prevent investigators from influencing allocation based on patient characteristics (conscious or unconscious bias).</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Playfair Display" w:cs="Playfair Display" w:eastAsia="Playfair Display" w:hAnsi="Playfair Display"/>
          <w:color w:val="1f1f1f"/>
        </w:rPr>
      </w:pPr>
      <w:r w:rsidDel="00000000" w:rsidR="00000000" w:rsidRPr="00000000">
        <w:rPr>
          <w:rFonts w:ascii="Playfair Display" w:cs="Playfair Display" w:eastAsia="Playfair Display" w:hAnsi="Playfair Display"/>
          <w:color w:val="1f1f1f"/>
          <w:rtl w:val="0"/>
        </w:rPr>
        <w:t xml:space="preserve">Standardization Across Sites:</w:t>
      </w:r>
      <w:r w:rsidDel="00000000" w:rsidR="00000000" w:rsidRPr="00000000">
        <w:rPr>
          <w:rFonts w:ascii="Playfair Display" w:cs="Playfair Display" w:eastAsia="Playfair Display" w:hAnsi="Playfair Display"/>
          <w:color w:val="1f1f1f"/>
          <w:rtl w:val="0"/>
        </w:rPr>
        <w:t xml:space="preserve"> The central system can be used to ensure uniform protocols across multiple centers in multicentre trials, preventing the "Improper Data Pooling" errors that arise when different sites use slightly different randomization techniques.</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Playfair Display" w:cs="Playfair Display" w:eastAsia="Playfair Display" w:hAnsi="Playfair Display"/>
          <w:color w:val="1f1f1f"/>
        </w:rPr>
      </w:pPr>
      <w:r w:rsidDel="00000000" w:rsidR="00000000" w:rsidRPr="00000000">
        <w:rPr>
          <w:rFonts w:ascii="Playfair Display" w:cs="Playfair Display" w:eastAsia="Playfair Display" w:hAnsi="Playfair Display"/>
          <w:color w:val="1f1f1f"/>
          <w:rtl w:val="0"/>
        </w:rPr>
        <w:t xml:space="preserve">Failure Point Adaptation:</w:t>
      </w:r>
      <w:r w:rsidDel="00000000" w:rsidR="00000000" w:rsidRPr="00000000">
        <w:rPr>
          <w:rFonts w:ascii="Playfair Display" w:cs="Playfair Display" w:eastAsia="Playfair Display" w:hAnsi="Playfair Display"/>
          <w:color w:val="1f1f1f"/>
          <w:rtl w:val="0"/>
        </w:rPr>
        <w:t xml:space="preserve"> The system is designed to handle specific failure modes, such as uneven dropout rates or site-specific recruitment lags, adjusting allocations dynamically without breaking the randomization code.</w:t>
      </w:r>
    </w:p>
    <w:p w:rsidR="00000000" w:rsidDel="00000000" w:rsidP="00000000" w:rsidRDefault="00000000" w:rsidRPr="00000000" w14:paraId="0000001A">
      <w:pPr>
        <w:pStyle w:val="Heading1"/>
        <w:pBdr>
          <w:top w:color="auto" w:space="0" w:sz="0" w:val="none"/>
          <w:bottom w:color="auto" w:space="0" w:sz="0" w:val="none"/>
          <w:right w:color="auto" w:space="0" w:sz="0" w:val="none"/>
          <w:between w:color="auto" w:space="0" w:sz="0" w:val="none"/>
        </w:pBdr>
        <w:spacing w:after="240" w:before="240" w:lineRule="auto"/>
        <w:rPr>
          <w:rFonts w:ascii="Playfair Display" w:cs="Playfair Display" w:eastAsia="Playfair Display" w:hAnsi="Playfair Display"/>
        </w:rPr>
      </w:pPr>
      <w:bookmarkStart w:colFirst="0" w:colLast="0" w:name="_5na2tm96u56c" w:id="7"/>
      <w:bookmarkEnd w:id="7"/>
      <w:r w:rsidDel="00000000" w:rsidR="00000000" w:rsidRPr="00000000">
        <w:rPr>
          <w:rtl w:val="0"/>
        </w:rPr>
      </w:r>
    </w:p>
    <w:p w:rsidR="00000000" w:rsidDel="00000000" w:rsidP="00000000" w:rsidRDefault="00000000" w:rsidRPr="00000000" w14:paraId="0000001B">
      <w:pPr>
        <w:pStyle w:val="Heading1"/>
        <w:pBdr>
          <w:top w:color="auto" w:space="0" w:sz="0" w:val="none"/>
          <w:bottom w:color="auto" w:space="0" w:sz="0" w:val="none"/>
          <w:right w:color="auto" w:space="0" w:sz="0" w:val="none"/>
          <w:between w:color="auto" w:space="0" w:sz="0" w:val="none"/>
        </w:pBdr>
        <w:spacing w:after="240" w:before="240" w:lineRule="auto"/>
        <w:rPr>
          <w:rFonts w:ascii="Playfair Display" w:cs="Playfair Display" w:eastAsia="Playfair Display" w:hAnsi="Playfair Display"/>
        </w:rPr>
      </w:pPr>
      <w:bookmarkStart w:colFirst="0" w:colLast="0" w:name="_41qo177pkfro" w:id="8"/>
      <w:bookmarkEnd w:id="8"/>
      <w:r w:rsidDel="00000000" w:rsidR="00000000" w:rsidRPr="00000000">
        <w:rPr>
          <w:rFonts w:ascii="Playfair Display" w:cs="Playfair Display" w:eastAsia="Playfair Display" w:hAnsi="Playfair Display"/>
          <w:rtl w:val="0"/>
        </w:rPr>
        <w:t xml:space="preserve">Work distribution:</w:t>
      </w:r>
    </w:p>
    <w:p w:rsidR="00000000" w:rsidDel="00000000" w:rsidP="00000000" w:rsidRDefault="00000000" w:rsidRPr="00000000" w14:paraId="0000001C">
      <w:pPr>
        <w:pStyle w:val="Heading2"/>
        <w:pBdr>
          <w:top w:color="auto" w:space="0" w:sz="0" w:val="none"/>
          <w:bottom w:color="auto" w:space="0" w:sz="0" w:val="none"/>
          <w:right w:color="auto" w:space="0" w:sz="0" w:val="none"/>
          <w:between w:color="auto" w:space="0" w:sz="0" w:val="none"/>
        </w:pBdr>
        <w:spacing w:after="240" w:before="240" w:lineRule="auto"/>
        <w:rPr>
          <w:rFonts w:ascii="Playfair Display" w:cs="Playfair Display" w:eastAsia="Playfair Display" w:hAnsi="Playfair Display"/>
        </w:rPr>
      </w:pPr>
      <w:bookmarkStart w:colFirst="0" w:colLast="0" w:name="_vbn3xsvpu5kg" w:id="9"/>
      <w:bookmarkEnd w:id="9"/>
      <w:r w:rsidDel="00000000" w:rsidR="00000000" w:rsidRPr="00000000">
        <w:rPr>
          <w:rFonts w:ascii="Playfair Display" w:cs="Playfair Display" w:eastAsia="Playfair Display" w:hAnsi="Playfair Display"/>
          <w:rtl w:val="0"/>
        </w:rPr>
        <w:t xml:space="preserve">Angel:</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Angel conducted a complete analysis of the PREDIMED trial. From Randomization to statistical analysis and hypothesis. She used these observations to mathematically derive the key metrics used in our algorithm for auditing, while also preparing the presentation slides and documentation.</w:t>
      </w:r>
    </w:p>
    <w:p w:rsidR="00000000" w:rsidDel="00000000" w:rsidP="00000000" w:rsidRDefault="00000000" w:rsidRPr="00000000" w14:paraId="0000001E">
      <w:pPr>
        <w:pStyle w:val="Heading2"/>
        <w:pBdr>
          <w:top w:color="auto" w:space="0" w:sz="0" w:val="none"/>
          <w:bottom w:color="auto" w:space="0" w:sz="0" w:val="none"/>
          <w:right w:color="auto" w:space="0" w:sz="0" w:val="none"/>
          <w:between w:color="auto" w:space="0" w:sz="0" w:val="none"/>
        </w:pBdr>
        <w:spacing w:after="240" w:before="240" w:lineRule="auto"/>
        <w:rPr>
          <w:rFonts w:ascii="Playfair Display" w:cs="Playfair Display" w:eastAsia="Playfair Display" w:hAnsi="Playfair Display"/>
        </w:rPr>
      </w:pPr>
      <w:bookmarkStart w:colFirst="0" w:colLast="0" w:name="_gkh8zyvgwhih" w:id="10"/>
      <w:bookmarkEnd w:id="10"/>
      <w:r w:rsidDel="00000000" w:rsidR="00000000" w:rsidRPr="00000000">
        <w:rPr>
          <w:rFonts w:ascii="Playfair Display" w:cs="Playfair Display" w:eastAsia="Playfair Display" w:hAnsi="Playfair Display"/>
          <w:rtl w:val="0"/>
        </w:rPr>
        <w:t xml:space="preserve">Amritesh:</w:t>
      </w:r>
    </w:p>
    <w:p w:rsidR="00000000" w:rsidDel="00000000" w:rsidP="00000000" w:rsidRDefault="00000000" w:rsidRPr="00000000" w14:paraId="0000001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Amritesh came up with the core idea of using Color Mapping and designed an adversary on the basis of a research paper validating a different algorithm. He handled the main coding and reviewed research papers to ensure the mathematics behind our approach was correct.</w:t>
      </w:r>
    </w:p>
    <w:p w:rsidR="00000000" w:rsidDel="00000000" w:rsidP="00000000" w:rsidRDefault="00000000" w:rsidRPr="00000000" w14:paraId="00000020">
      <w:pPr>
        <w:pStyle w:val="Heading2"/>
        <w:pBdr>
          <w:top w:color="auto" w:space="0" w:sz="0" w:val="none"/>
          <w:bottom w:color="auto" w:space="0" w:sz="0" w:val="none"/>
          <w:right w:color="auto" w:space="0" w:sz="0" w:val="none"/>
          <w:between w:color="auto" w:space="0" w:sz="0" w:val="none"/>
        </w:pBdr>
        <w:spacing w:after="240" w:before="240" w:lineRule="auto"/>
        <w:rPr>
          <w:rFonts w:ascii="Playfair Display" w:cs="Playfair Display" w:eastAsia="Playfair Display" w:hAnsi="Playfair Display"/>
        </w:rPr>
      </w:pPr>
      <w:bookmarkStart w:colFirst="0" w:colLast="0" w:name="_pe8az289n2m0" w:id="11"/>
      <w:bookmarkEnd w:id="11"/>
      <w:r w:rsidDel="00000000" w:rsidR="00000000" w:rsidRPr="00000000">
        <w:rPr>
          <w:rFonts w:ascii="Playfair Display" w:cs="Playfair Display" w:eastAsia="Playfair Display" w:hAnsi="Playfair Display"/>
          <w:rtl w:val="0"/>
        </w:rPr>
        <w:t xml:space="preserve">Madhur:</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Madhur took a deep dive into the GVIT and TROG 96.01 case studies, analyzing the trials from start to finish including(though not limited to) the randomization, implementation as well as the statistical analysis. From these findings and insights, later used it to mathematically derive the specific metrics for our code. Additionally, he worked on drafting project reports and documentation.</w:t>
      </w:r>
    </w:p>
    <w:p w:rsidR="00000000" w:rsidDel="00000000" w:rsidP="00000000" w:rsidRDefault="00000000" w:rsidRPr="00000000" w14:paraId="00000022">
      <w:pPr>
        <w:pStyle w:val="Heading2"/>
        <w:pBdr>
          <w:top w:color="auto" w:space="0" w:sz="0" w:val="none"/>
          <w:bottom w:color="auto" w:space="0" w:sz="0" w:val="none"/>
          <w:right w:color="auto" w:space="0" w:sz="0" w:val="none"/>
          <w:between w:color="auto" w:space="0" w:sz="0" w:val="none"/>
        </w:pBdr>
        <w:spacing w:after="240" w:before="240" w:lineRule="auto"/>
        <w:rPr>
          <w:rFonts w:ascii="Playfair Display" w:cs="Playfair Display" w:eastAsia="Playfair Display" w:hAnsi="Playfair Display"/>
        </w:rPr>
      </w:pPr>
      <w:bookmarkStart w:colFirst="0" w:colLast="0" w:name="_cgfxntnraqzq" w:id="12"/>
      <w:bookmarkEnd w:id="12"/>
      <w:r w:rsidDel="00000000" w:rsidR="00000000" w:rsidRPr="00000000">
        <w:rPr>
          <w:rFonts w:ascii="Playfair Display" w:cs="Playfair Display" w:eastAsia="Playfair Display" w:hAnsi="Playfair Display"/>
          <w:rtl w:val="0"/>
        </w:rPr>
        <w:t xml:space="preserve">Vaibhav:</w:t>
      </w:r>
    </w:p>
    <w:p w:rsidR="00000000" w:rsidDel="00000000" w:rsidP="00000000" w:rsidRDefault="00000000" w:rsidRPr="00000000" w14:paraId="0000002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Vaibhav was responsible for the technical implementation, focusing heavily on writing the code and debugging it to ensure it worked without errors. He also backed up the coding work by studying mathematical theory from various research papers.</w:t>
      </w:r>
    </w:p>
    <w:p w:rsidR="00000000" w:rsidDel="00000000" w:rsidP="00000000" w:rsidRDefault="00000000" w:rsidRPr="00000000" w14:paraId="00000024">
      <w:pPr>
        <w:pStyle w:val="Heading2"/>
        <w:rPr>
          <w:rFonts w:ascii="Playfair Display" w:cs="Playfair Display" w:eastAsia="Playfair Display" w:hAnsi="Playfair Display"/>
        </w:rPr>
      </w:pPr>
      <w:bookmarkStart w:colFirst="0" w:colLast="0" w:name="_ia6byz9tr5bo" w:id="13"/>
      <w:bookmarkEnd w:id="13"/>
      <w:r w:rsidDel="00000000" w:rsidR="00000000" w:rsidRPr="00000000">
        <w:rPr>
          <w:rFonts w:ascii="Playfair Display" w:cs="Playfair Display" w:eastAsia="Playfair Display" w:hAnsi="Playfair Display"/>
          <w:rtl w:val="0"/>
        </w:rPr>
        <w:t xml:space="preserve">Tanvi:</w:t>
      </w:r>
    </w:p>
    <w:p w:rsidR="00000000" w:rsidDel="00000000" w:rsidP="00000000" w:rsidRDefault="00000000" w:rsidRPr="00000000" w14:paraId="00000025">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360" w:lineRule="auto"/>
        <w:rPr>
          <w:rFonts w:ascii="Playfair Display" w:cs="Playfair Display" w:eastAsia="Playfair Display" w:hAnsi="Playfair Display"/>
          <w:color w:val="1f1f1f"/>
        </w:rPr>
      </w:pPr>
      <w:r w:rsidDel="00000000" w:rsidR="00000000" w:rsidRPr="00000000">
        <w:rPr>
          <w:rFonts w:ascii="Playfair Display" w:cs="Playfair Display" w:eastAsia="Playfair Display" w:hAnsi="Playfair Display"/>
          <w:color w:val="1f1f1f"/>
          <w:rtl w:val="0"/>
        </w:rPr>
        <w:t xml:space="preserve">Tanvi led the group coordination and helped connect the findings from the different case studies. She also researched other randomization methods, such as Minimization and Bayesian Adaptive Design, to help us understand where our project stands in the current landscape.</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360" w:lineRule="auto"/>
        <w:rPr>
          <w:rFonts w:ascii="Playfair Display" w:cs="Playfair Display" w:eastAsia="Playfair Display" w:hAnsi="Playfair Display"/>
          <w:color w:val="1f1f1f"/>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360" w:lineRule="auto"/>
        <w:rPr>
          <w:rFonts w:ascii="Playfair Display" w:cs="Playfair Display" w:eastAsia="Playfair Display" w:hAnsi="Playfair Display"/>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