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480" w:lineRule="auto"/>
        <w:rPr>
          <w:rFonts w:ascii="Google Sans Text" w:cs="Google Sans Text" w:eastAsia="Google Sans Text" w:hAnsi="Google Sans Text"/>
          <w:b w:val="1"/>
          <w:bCs w:val="1"/>
          <w:color w:val="1f1f1f"/>
          <w:sz w:val="46"/>
          <w:szCs w:val="46"/>
        </w:rPr>
      </w:pPr>
      <w:bookmarkStart w:colFirst="0" w:colLast="0" w:name="_sqrts6pdtng" w:id="0"/>
      <w:bookmarkEnd w:id="0"/>
      <w:r w:rsidDel="00000000" w:rsidR="00000000" w:rsidRPr="00000000">
        <w:rPr>
          <w:rFonts w:ascii="Google Sans Text" w:cs="Google Sans Text" w:eastAsia="Google Sans Text" w:hAnsi="Google Sans Text"/>
          <w:b w:val="1"/>
          <w:bCs w:val="1"/>
          <w:color w:val="1f1f1f"/>
          <w:sz w:val="46"/>
          <w:szCs w:val="46"/>
          <w:rtl w:val="0"/>
        </w:rPr>
        <w:t xml:space="preserve">Comprehensive Analysis of the PREDIMED Trial: Integrity, Intervention, and Impact</w:t>
      </w:r>
    </w:p>
    <w:p w:rsidR="00000000" w:rsidDel="00000000" w:rsidP="00000000" w:rsidRDefault="00000000" w:rsidRPr="00000000" w14:paraId="00000002">
      <w:pPr>
        <w:pStyle w:val="Heading2"/>
        <w:keepNext w:val="0"/>
        <w:keepLines w:val="0"/>
        <w:widowControl w:val="0"/>
        <w:spacing w:after="80" w:lineRule="auto"/>
        <w:rPr>
          <w:rFonts w:ascii="Google Sans Text" w:cs="Google Sans Text" w:eastAsia="Google Sans Text" w:hAnsi="Google Sans Text"/>
          <w:b w:val="1"/>
          <w:bCs w:val="1"/>
          <w:color w:val="1f1f1f"/>
          <w:sz w:val="34"/>
          <w:szCs w:val="34"/>
        </w:rPr>
      </w:pPr>
      <w:bookmarkStart w:colFirst="0" w:colLast="0" w:name="_kv1noxsdm7hd" w:id="1"/>
      <w:bookmarkEnd w:id="1"/>
      <w:r w:rsidDel="00000000" w:rsidR="00000000" w:rsidRPr="00000000">
        <w:rPr>
          <w:rFonts w:ascii="Google Sans Text" w:cs="Google Sans Text" w:eastAsia="Google Sans Text" w:hAnsi="Google Sans Text"/>
          <w:b w:val="1"/>
          <w:bCs w:val="1"/>
          <w:color w:val="1f1f1f"/>
          <w:sz w:val="34"/>
          <w:szCs w:val="34"/>
          <w:rtl w:val="0"/>
        </w:rPr>
        <w:t xml:space="preserve">1. Introduction and Clinical Significance</w:t>
      </w:r>
    </w:p>
    <w:p w:rsidR="00000000" w:rsidDel="00000000" w:rsidP="00000000" w:rsidRDefault="00000000" w:rsidRPr="00000000" w14:paraId="00000003">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PREDIMED (PREvención con DIeta MEDiterránea) trial</w:t>
      </w:r>
      <w:r w:rsidDel="00000000" w:rsidR="00000000" w:rsidRPr="00000000">
        <w:rPr>
          <w:rFonts w:ascii="Google Sans Text" w:cs="Google Sans Text" w:eastAsia="Google Sans Text" w:hAnsi="Google Sans Text"/>
          <w:color w:val="1f1f1f"/>
          <w:rtl w:val="0"/>
        </w:rPr>
        <w:t xml:space="preserve"> stands as a landmark in nutritional epidemiology and primary disease prevention. Conducted between 2003 and 2010, it remains the largest dietary intervention trial focused on assessing the effects of a complete food pattern—the energy-unrestricted Mediterranean Diet (MedDiet)—on the primary prevention of Cardiovascular Disease (CVD).</w:t>
      </w:r>
    </w:p>
    <w:p w:rsidR="00000000" w:rsidDel="00000000" w:rsidP="00000000" w:rsidRDefault="00000000" w:rsidRPr="00000000" w14:paraId="00000004">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14300" distT="114300" distL="114300" distR="114300">
            <wp:extent cx="5943600" cy="39878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final, robust findings reported a statistically significant and clinically robust relative reduction in the composite primary endpoint (myocardial infarction, stroke, or cardiovascular death) among high-risk participants:</w:t>
      </w:r>
    </w:p>
    <w:p w:rsidR="00000000" w:rsidDel="00000000" w:rsidP="00000000" w:rsidRDefault="00000000" w:rsidRPr="00000000" w14:paraId="00000006">
      <w:pPr>
        <w:widowControl w:val="0"/>
        <w:numPr>
          <w:ilvl w:val="0"/>
          <w:numId w:val="7"/>
        </w:numPr>
        <w:spacing w:after="0" w:afterAutospacing="0" w:before="24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MedDiet + Extra-Virgin Olive Oil (EVOO):</w:t>
      </w:r>
      <w:r w:rsidDel="00000000" w:rsidR="00000000" w:rsidRPr="00000000">
        <w:rPr>
          <w:rFonts w:ascii="Google Sans Text" w:cs="Google Sans Text" w:eastAsia="Google Sans Text" w:hAnsi="Google Sans Text"/>
          <w:color w:val="1f1f1f"/>
          <w:rtl w:val="0"/>
        </w:rPr>
        <w:t xml:space="preserve"> Approximately 30\%</w:t>
      </w:r>
      <w:r w:rsidDel="00000000" w:rsidR="00000000" w:rsidRPr="00000000">
        <w:rPr>
          <w:rFonts w:ascii="Google Sans Text" w:cs="Google Sans Text" w:eastAsia="Google Sans Text" w:hAnsi="Google Sans Text"/>
          <w:b w:val="1"/>
          <w:bCs w:val="1"/>
          <w:color w:val="1f1f1f"/>
          <w:rtl w:val="0"/>
        </w:rPr>
        <w:t xml:space="preserve"> relative reduction</w:t>
      </w:r>
      <w:r w:rsidDel="00000000" w:rsidR="00000000" w:rsidRPr="00000000">
        <w:rPr>
          <w:rFonts w:ascii="Google Sans Text" w:cs="Google Sans Text" w:eastAsia="Google Sans Text" w:hAnsi="Google Sans Text"/>
          <w:color w:val="1f1f1f"/>
          <w:rtl w:val="0"/>
        </w:rPr>
        <w:t xml:space="preserve"> [Hazard Ratio (HR): 0.70 (95% CI, 0.54, 0.92)]</w:t>
      </w:r>
    </w:p>
    <w:p w:rsidR="00000000" w:rsidDel="00000000" w:rsidP="00000000" w:rsidRDefault="00000000" w:rsidRPr="00000000" w14:paraId="00000007">
      <w:pPr>
        <w:widowControl w:val="0"/>
        <w:numPr>
          <w:ilvl w:val="0"/>
          <w:numId w:val="7"/>
        </w:numPr>
        <w:spacing w:after="240" w:before="0" w:before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MedDiet + Nuts:</w:t>
      </w:r>
      <w:r w:rsidDel="00000000" w:rsidR="00000000" w:rsidRPr="00000000">
        <w:rPr>
          <w:rFonts w:ascii="Google Sans Text" w:cs="Google Sans Text" w:eastAsia="Google Sans Text" w:hAnsi="Google Sans Text"/>
          <w:color w:val="1f1f1f"/>
          <w:rtl w:val="0"/>
        </w:rPr>
        <w:t xml:space="preserve"> Approximately 28\%</w:t>
      </w:r>
      <w:r w:rsidDel="00000000" w:rsidR="00000000" w:rsidRPr="00000000">
        <w:rPr>
          <w:rFonts w:ascii="Google Sans Text" w:cs="Google Sans Text" w:eastAsia="Google Sans Text" w:hAnsi="Google Sans Text"/>
          <w:b w:val="1"/>
          <w:bCs w:val="1"/>
          <w:color w:val="1f1f1f"/>
          <w:rtl w:val="0"/>
        </w:rPr>
        <w:t xml:space="preserve"> relative reduction</w:t>
      </w:r>
      <w:r w:rsidDel="00000000" w:rsidR="00000000" w:rsidRPr="00000000">
        <w:rPr>
          <w:rFonts w:ascii="Google Sans Text" w:cs="Google Sans Text" w:eastAsia="Google Sans Text" w:hAnsi="Google Sans Text"/>
          <w:color w:val="1f1f1f"/>
          <w:rtl w:val="0"/>
        </w:rPr>
        <w:t xml:space="preserve"> [HR: 0.72 (95% CI, 0.54, 0.96)]</w:t>
      </w:r>
    </w:p>
    <w:p w:rsidR="00000000" w:rsidDel="00000000" w:rsidP="00000000" w:rsidRDefault="00000000" w:rsidRPr="00000000" w14:paraId="00000008">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Crucially, the PREDIMED trial tested only the </w:t>
      </w:r>
      <w:r w:rsidDel="00000000" w:rsidR="00000000" w:rsidRPr="00000000">
        <w:rPr>
          <w:rFonts w:ascii="Google Sans Text" w:cs="Google Sans Text" w:eastAsia="Google Sans Text" w:hAnsi="Google Sans Text"/>
          <w:b w:val="1"/>
          <w:bCs w:val="1"/>
          <w:color w:val="1f1f1f"/>
          <w:rtl w:val="0"/>
        </w:rPr>
        <w:t xml:space="preserve">composition of the diet</w:t>
      </w:r>
      <w:r w:rsidDel="00000000" w:rsidR="00000000" w:rsidRPr="00000000">
        <w:rPr>
          <w:rFonts w:ascii="Google Sans Text" w:cs="Google Sans Text" w:eastAsia="Google Sans Text" w:hAnsi="Google Sans Text"/>
          <w:color w:val="1f1f1f"/>
          <w:rtl w:val="0"/>
        </w:rPr>
        <w:t xml:space="preserve"> itself, rather than testing broader lifestyle changes (such as energy restriction or increased physical activity), providing clear evidence of the power of food selection in chronic disease prevention.</w:t>
      </w:r>
    </w:p>
    <w:p w:rsidR="00000000" w:rsidDel="00000000" w:rsidP="00000000" w:rsidRDefault="00000000" w:rsidRPr="00000000" w14:paraId="00000009">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14300" distT="114300" distL="114300" distR="114300">
            <wp:extent cx="4225155" cy="5597657"/>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225155" cy="559765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0"/>
        <w:spacing w:after="240" w:before="240"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B">
      <w:pPr>
        <w:pStyle w:val="Heading2"/>
        <w:keepNext w:val="0"/>
        <w:keepLines w:val="0"/>
        <w:widowControl w:val="0"/>
        <w:spacing w:after="80" w:lineRule="auto"/>
        <w:rPr>
          <w:rFonts w:ascii="Google Sans Text" w:cs="Google Sans Text" w:eastAsia="Google Sans Text" w:hAnsi="Google Sans Text"/>
          <w:b w:val="1"/>
          <w:bCs w:val="1"/>
          <w:color w:val="1f1f1f"/>
          <w:sz w:val="34"/>
          <w:szCs w:val="34"/>
        </w:rPr>
      </w:pPr>
      <w:bookmarkStart w:colFirst="0" w:colLast="0" w:name="_t2btqxu3gaky" w:id="2"/>
      <w:bookmarkEnd w:id="2"/>
      <w:r w:rsidDel="00000000" w:rsidR="00000000" w:rsidRPr="00000000">
        <w:rPr>
          <w:rFonts w:ascii="Google Sans Text" w:cs="Google Sans Text" w:eastAsia="Google Sans Text" w:hAnsi="Google Sans Text"/>
          <w:b w:val="1"/>
          <w:bCs w:val="1"/>
          <w:color w:val="1f1f1f"/>
          <w:sz w:val="34"/>
          <w:szCs w:val="34"/>
          <w:rtl w:val="0"/>
        </w:rPr>
        <w:t xml:space="preserve">2. Novelty in Intervention Delivery: The Patient-Centred Approach</w:t>
      </w:r>
    </w:p>
    <w:p w:rsidR="00000000" w:rsidDel="00000000" w:rsidP="00000000" w:rsidRDefault="00000000" w:rsidRPr="00000000" w14:paraId="0000000C">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effectiveness of the PREDIMED trial was not solely due to the MedDiet itself, but also to a highly successful implementation strategy that departed from traditional, paternalistic dietary advice. This is a vital point for a project focusing on trial design:</w:t>
      </w:r>
    </w:p>
    <w:p w:rsidR="00000000" w:rsidDel="00000000" w:rsidP="00000000" w:rsidRDefault="00000000" w:rsidRPr="00000000" w14:paraId="0000000D">
      <w:pPr>
        <w:pStyle w:val="Heading3"/>
        <w:keepNext w:val="0"/>
        <w:keepLines w:val="0"/>
        <w:widowControl w:val="0"/>
        <w:spacing w:before="280" w:lineRule="auto"/>
        <w:rPr>
          <w:rFonts w:ascii="Google Sans Text" w:cs="Google Sans Text" w:eastAsia="Google Sans Text" w:hAnsi="Google Sans Text"/>
          <w:b w:val="1"/>
          <w:bCs w:val="1"/>
          <w:color w:val="1f1f1f"/>
          <w:sz w:val="26"/>
          <w:szCs w:val="26"/>
        </w:rPr>
      </w:pPr>
      <w:bookmarkStart w:colFirst="0" w:colLast="0" w:name="_49jq85fotinr" w:id="3"/>
      <w:bookmarkEnd w:id="3"/>
      <w:r w:rsidDel="00000000" w:rsidR="00000000" w:rsidRPr="00000000">
        <w:rPr>
          <w:rFonts w:ascii="Google Sans Text" w:cs="Google Sans Text" w:eastAsia="Google Sans Text" w:hAnsi="Google Sans Text"/>
          <w:b w:val="1"/>
          <w:bCs w:val="1"/>
          <w:color w:val="1f1f1f"/>
          <w:sz w:val="26"/>
          <w:szCs w:val="26"/>
          <w:rtl w:val="0"/>
        </w:rPr>
        <w:t xml:space="preserve">2.1 The Role of the Dietitian and Goal Setting</w:t>
      </w:r>
    </w:p>
    <w:p w:rsidR="00000000" w:rsidDel="00000000" w:rsidP="00000000" w:rsidRDefault="00000000" w:rsidRPr="00000000" w14:paraId="0000000E">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trial utilized a multidisciplinary team, but the success hinged on highly motivated and skilled dietitians who adopted a patient-centered approach based on negotiated goal setting.</w:t>
      </w:r>
    </w:p>
    <w:p w:rsidR="00000000" w:rsidDel="00000000" w:rsidP="00000000" w:rsidRDefault="00000000" w:rsidRPr="00000000" w14:paraId="0000000F">
      <w:pPr>
        <w:widowControl w:val="0"/>
        <w:numPr>
          <w:ilvl w:val="0"/>
          <w:numId w:val="12"/>
        </w:numPr>
        <w:spacing w:after="0" w:afterAutospacing="0" w:before="24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Immediate Feedback:</w:t>
      </w:r>
      <w:r w:rsidDel="00000000" w:rsidR="00000000" w:rsidRPr="00000000">
        <w:rPr>
          <w:rFonts w:ascii="Google Sans Text" w:cs="Google Sans Text" w:eastAsia="Google Sans Text" w:hAnsi="Google Sans Text"/>
          <w:color w:val="1f1f1f"/>
          <w:rtl w:val="0"/>
        </w:rPr>
        <w:t xml:space="preserve"> Dietitians used the 14-point Mediterranean diet questionnaire to provide immediate, objective feedback on the participant's adherence.</w:t>
      </w:r>
    </w:p>
    <w:p w:rsidR="00000000" w:rsidDel="00000000" w:rsidP="00000000" w:rsidRDefault="00000000" w:rsidRPr="00000000" w14:paraId="00000010">
      <w:pPr>
        <w:widowControl w:val="0"/>
        <w:numPr>
          <w:ilvl w:val="0"/>
          <w:numId w:val="12"/>
        </w:numPr>
        <w:spacing w:after="0" w:afterAutospacing="0" w:before="0" w:before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Negotiated Goals:</w:t>
      </w:r>
      <w:r w:rsidDel="00000000" w:rsidR="00000000" w:rsidRPr="00000000">
        <w:rPr>
          <w:rFonts w:ascii="Google Sans Text" w:cs="Google Sans Text" w:eastAsia="Google Sans Text" w:hAnsi="Google Sans Text"/>
          <w:color w:val="1f1f1f"/>
          <w:rtl w:val="0"/>
        </w:rPr>
        <w:t xml:space="preserve"> Recommendations were not prescriptive. Instead, the dietitian and participant collaboratively identified only one or two easy-to-achieve improvements for the next three months. This reduced the cognitive burden of changing "everything at the same time."</w:t>
      </w:r>
    </w:p>
    <w:p w:rsidR="00000000" w:rsidDel="00000000" w:rsidP="00000000" w:rsidRDefault="00000000" w:rsidRPr="00000000" w14:paraId="00000011">
      <w:pPr>
        <w:widowControl w:val="0"/>
        <w:numPr>
          <w:ilvl w:val="0"/>
          <w:numId w:val="12"/>
        </w:numPr>
        <w:spacing w:after="0" w:afterAutospacing="0" w:before="0" w:before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Family Implication:</w:t>
      </w:r>
      <w:r w:rsidDel="00000000" w:rsidR="00000000" w:rsidRPr="00000000">
        <w:rPr>
          <w:rFonts w:ascii="Google Sans Text" w:cs="Google Sans Text" w:eastAsia="Google Sans Text" w:hAnsi="Google Sans Text"/>
          <w:color w:val="1f1f1f"/>
          <w:rtl w:val="0"/>
        </w:rPr>
        <w:t xml:space="preserve"> Participants were strongly encouraged to involve other members of their household, recognizing that dietary adherence is a communal, not just individual, effort.</w:t>
      </w:r>
    </w:p>
    <w:p w:rsidR="00000000" w:rsidDel="00000000" w:rsidP="00000000" w:rsidRDefault="00000000" w:rsidRPr="00000000" w14:paraId="00000012">
      <w:pPr>
        <w:widowControl w:val="0"/>
        <w:numPr>
          <w:ilvl w:val="0"/>
          <w:numId w:val="12"/>
        </w:numPr>
        <w:spacing w:after="240" w:before="0" w:before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Tracking and Iteration:</w:t>
      </w:r>
      <w:r w:rsidDel="00000000" w:rsidR="00000000" w:rsidRPr="00000000">
        <w:rPr>
          <w:rFonts w:ascii="Google Sans Text" w:cs="Google Sans Text" w:eastAsia="Google Sans Text" w:hAnsi="Google Sans Text"/>
          <w:color w:val="1f1f1f"/>
          <w:rtl w:val="0"/>
        </w:rPr>
        <w:t xml:space="preserve"> The 14-point questionnaire was repeated every three months to evaluate progress, offering participants continuous feedback and motivation.</w:t>
      </w:r>
    </w:p>
    <w:p w:rsidR="00000000" w:rsidDel="00000000" w:rsidP="00000000" w:rsidRDefault="00000000" w:rsidRPr="00000000" w14:paraId="00000013">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behavioral modification strategy resulted in a clear and measurable shift in diet quality. As shown in Figure 1, the distribution of the Mediterranean Diet Score shifted noticeably to the right between baseline and the one-year follow-up, demonstrating successful long-term dietary change.</w:t>
      </w:r>
    </w:p>
    <w:p w:rsidR="00000000" w:rsidDel="00000000" w:rsidP="00000000" w:rsidRDefault="00000000" w:rsidRPr="00000000" w14:paraId="00000014">
      <w:pPr>
        <w:pStyle w:val="Heading2"/>
        <w:keepNext w:val="0"/>
        <w:keepLines w:val="0"/>
        <w:widowControl w:val="0"/>
        <w:spacing w:after="80" w:lineRule="auto"/>
        <w:rPr>
          <w:rFonts w:ascii="Google Sans Text" w:cs="Google Sans Text" w:eastAsia="Google Sans Text" w:hAnsi="Google Sans Text"/>
          <w:b w:val="1"/>
          <w:bCs w:val="1"/>
          <w:color w:val="1f1f1f"/>
          <w:sz w:val="34"/>
          <w:szCs w:val="34"/>
        </w:rPr>
      </w:pPr>
      <w:bookmarkStart w:colFirst="0" w:colLast="0" w:name="_h62vceg8s376" w:id="4"/>
      <w:bookmarkEnd w:id="4"/>
      <w:r w:rsidDel="00000000" w:rsidR="00000000" w:rsidRPr="00000000">
        <w:rPr>
          <w:rFonts w:ascii="Google Sans Text" w:cs="Google Sans Text" w:eastAsia="Google Sans Text" w:hAnsi="Google Sans Text"/>
          <w:b w:val="1"/>
          <w:bCs w:val="1"/>
          <w:color w:val="1f1f1f"/>
          <w:sz w:val="34"/>
          <w:szCs w:val="34"/>
          <w:rtl w:val="0"/>
        </w:rPr>
        <w:t xml:space="preserve">3. Addressing Methodological Issues: Randomization, Departures, and Statistical Rigor</w:t>
      </w:r>
    </w:p>
    <w:p w:rsidR="00000000" w:rsidDel="00000000" w:rsidP="00000000" w:rsidRDefault="00000000" w:rsidRPr="00000000" w14:paraId="00000015">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trial's integrity was rigorously upheld through comprehensive re-analysis following concerns over minor protocol deviations in randomization. The commitment to transparency and statistical adjustment forms a critical part of the trial's enduring legacy.</w:t>
      </w:r>
    </w:p>
    <w:p w:rsidR="00000000" w:rsidDel="00000000" w:rsidP="00000000" w:rsidRDefault="00000000" w:rsidRPr="00000000" w14:paraId="00000016">
      <w:pPr>
        <w:pStyle w:val="Heading3"/>
        <w:keepNext w:val="0"/>
        <w:keepLines w:val="0"/>
        <w:widowControl w:val="0"/>
        <w:spacing w:before="280" w:lineRule="auto"/>
        <w:rPr>
          <w:rFonts w:ascii="Google Sans Text" w:cs="Google Sans Text" w:eastAsia="Google Sans Text" w:hAnsi="Google Sans Text"/>
          <w:b w:val="1"/>
          <w:bCs w:val="1"/>
          <w:color w:val="1f1f1f"/>
          <w:sz w:val="26"/>
          <w:szCs w:val="26"/>
        </w:rPr>
      </w:pPr>
      <w:bookmarkStart w:colFirst="0" w:colLast="0" w:name="_o1oje9nlrl9v" w:id="5"/>
      <w:bookmarkEnd w:id="5"/>
      <w:r w:rsidDel="00000000" w:rsidR="00000000" w:rsidRPr="00000000">
        <w:rPr>
          <w:rFonts w:ascii="Google Sans Text" w:cs="Google Sans Text" w:eastAsia="Google Sans Text" w:hAnsi="Google Sans Text"/>
          <w:b w:val="1"/>
          <w:bCs w:val="1"/>
          <w:color w:val="1f1f1f"/>
          <w:sz w:val="26"/>
          <w:szCs w:val="26"/>
          <w:rtl w:val="0"/>
        </w:rPr>
        <w:t xml:space="preserve">3.1 Technical Randomization Errors and Consequences</w:t>
      </w:r>
    </w:p>
    <w:p w:rsidR="00000000" w:rsidDel="00000000" w:rsidP="00000000" w:rsidRDefault="00000000" w:rsidRPr="00000000" w14:paraId="00000017">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Despite utilizing a standard computerized method, the PREDIMED randomization process suffered from multiple technical failures that were only discovered post-completion. These errors compromised the trial's internal validity, necessitating extensive retrospective correction:</w:t>
      </w:r>
    </w:p>
    <w:tbl>
      <w:tblPr>
        <w:tblStyle w:val="Table1"/>
        <w:tblW w:w="11595.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0"/>
        <w:gridCol w:w="7665"/>
        <w:tblGridChange w:id="0">
          <w:tblGrid>
            <w:gridCol w:w="3930"/>
            <w:gridCol w:w="7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after="240" w:before="240" w:lineRule="auto"/>
              <w:jc w:val="center"/>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Technical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after="240" w:before="240" w:lineRule="auto"/>
              <w:jc w:val="center"/>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Consequence for Validity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Cluster Randomization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Several sites assigned entire households or clinics (clusters) to the same group instead of individual randomization. This violated the assumption of statistical independence and could artificially inflate effect sizes.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Local Randomization 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Some sites used locally generated randomization lists rather than a centralized, blinded allocation system. This severely increased the risk of </w:t>
            </w:r>
            <w:r w:rsidDel="00000000" w:rsidR="00000000" w:rsidRPr="00000000">
              <w:rPr>
                <w:rFonts w:ascii="Google Sans Text" w:cs="Google Sans Text" w:eastAsia="Google Sans Text" w:hAnsi="Google Sans Text"/>
                <w:b w:val="1"/>
                <w:bCs w:val="1"/>
                <w:color w:val="1f1f1f"/>
                <w:rtl w:val="0"/>
              </w:rPr>
              <w:t xml:space="preserve">allocation predictability</w:t>
            </w:r>
            <w:r w:rsidDel="00000000" w:rsidR="00000000" w:rsidRPr="00000000">
              <w:rPr>
                <w:rFonts w:ascii="Google Sans Text" w:cs="Google Sans Text" w:eastAsia="Google Sans Text" w:hAnsi="Google Sans Text"/>
                <w:color w:val="1f1f1f"/>
                <w:rtl w:val="0"/>
              </w:rPr>
              <w:t xml:space="preserve"> and selection bias.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Protocol Non-Adherence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Not all recruitment sites adhered strictly to the pre-specified master protocol procedures, leading to inconsistent treatment allocation across different centers.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Stratification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Randomization failed to adequately stratify participants by key prognostic factors (e.g., age, sex, risk factors) at some sites, resulting in statistically significant, albeit minor, baseline imbalances that introduced confounding.</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Post-Hoc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Major irregularities were discovered several years after completion, forcing investigators to apply retrospective statistical corrections. This compromised the original validity and led to initial underestimation of standard errors.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Differential Exclusion/Dropout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higher loss to follow-up was noted in the control group. This differential dropout created a risk of </w:t>
            </w:r>
            <w:r w:rsidDel="00000000" w:rsidR="00000000" w:rsidRPr="00000000">
              <w:rPr>
                <w:rFonts w:ascii="Google Sans Text" w:cs="Google Sans Text" w:eastAsia="Google Sans Text" w:hAnsi="Google Sans Text"/>
                <w:b w:val="1"/>
                <w:bCs w:val="1"/>
                <w:color w:val="1f1f1f"/>
                <w:rtl w:val="0"/>
              </w:rPr>
              <w:t xml:space="preserve">attrition bias</w:t>
            </w:r>
            <w:r w:rsidDel="00000000" w:rsidR="00000000" w:rsidRPr="00000000">
              <w:rPr>
                <w:rFonts w:ascii="Google Sans Text" w:cs="Google Sans Text" w:eastAsia="Google Sans Text" w:hAnsi="Google Sans Text"/>
                <w:color w:val="1f1f1f"/>
                <w:rtl w:val="0"/>
              </w:rPr>
              <w:t xml:space="preserve"> and further threatened internal validity.</w:t>
            </w:r>
          </w:p>
          <w:p w:rsidR="00000000" w:rsidDel="00000000" w:rsidP="00000000" w:rsidRDefault="00000000" w:rsidRPr="00000000" w14:paraId="00000026">
            <w:pPr>
              <w:widowControl w:val="0"/>
              <w:spacing w:after="240" w:before="240" w:lineRule="auto"/>
              <w:rPr>
                <w:rFonts w:ascii="Google Sans Text" w:cs="Google Sans Text" w:eastAsia="Google Sans Text" w:hAnsi="Google Sans Text"/>
                <w:color w:val="1f1f1f"/>
              </w:rPr>
            </w:pPr>
            <w:r w:rsidDel="00000000" w:rsidR="00000000" w:rsidRPr="00000000">
              <w:rPr>
                <w:rtl w:val="0"/>
              </w:rPr>
            </w:r>
          </w:p>
        </w:tc>
      </w:tr>
    </w:tbl>
    <w:p w:rsidR="00000000" w:rsidDel="00000000" w:rsidP="00000000" w:rsidRDefault="00000000" w:rsidRPr="00000000" w14:paraId="00000027">
      <w:pPr>
        <w:pStyle w:val="Heading3"/>
        <w:keepNext w:val="0"/>
        <w:keepLines w:val="0"/>
        <w:widowControl w:val="0"/>
        <w:spacing w:before="280" w:lineRule="auto"/>
        <w:jc w:val="center"/>
        <w:rPr>
          <w:rFonts w:ascii="Google Sans Text" w:cs="Google Sans Text" w:eastAsia="Google Sans Text" w:hAnsi="Google Sans Text"/>
          <w:b w:val="1"/>
          <w:bCs w:val="1"/>
          <w:color w:val="1f1f1f"/>
          <w:sz w:val="26"/>
          <w:szCs w:val="26"/>
        </w:rPr>
      </w:pPr>
      <w:bookmarkStart w:colFirst="0" w:colLast="0" w:name="_8021uaxtlmdc" w:id="6"/>
      <w:bookmarkEnd w:id="6"/>
      <w:r w:rsidDel="00000000" w:rsidR="00000000" w:rsidRPr="00000000">
        <w:rPr>
          <w:rFonts w:ascii="Google Sans Text" w:cs="Google Sans Text" w:eastAsia="Google Sans Text" w:hAnsi="Google Sans Text"/>
          <w:b w:val="1"/>
          <w:bCs w:val="1"/>
          <w:color w:val="1f1f1f"/>
          <w:sz w:val="26"/>
          <w:szCs w:val="26"/>
        </w:rPr>
        <w:drawing>
          <wp:inline distB="114300" distT="114300" distL="114300" distR="114300">
            <wp:extent cx="5943600" cy="68961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3"/>
        <w:keepNext w:val="0"/>
        <w:keepLines w:val="0"/>
        <w:widowControl w:val="0"/>
        <w:spacing w:before="280" w:lineRule="auto"/>
        <w:rPr>
          <w:rFonts w:ascii="Google Sans Text" w:cs="Google Sans Text" w:eastAsia="Google Sans Text" w:hAnsi="Google Sans Text"/>
          <w:b w:val="1"/>
          <w:bCs w:val="1"/>
          <w:color w:val="1f1f1f"/>
          <w:sz w:val="26"/>
          <w:szCs w:val="26"/>
        </w:rPr>
      </w:pPr>
      <w:bookmarkStart w:colFirst="0" w:colLast="0" w:name="_agz3z2cuqk3t" w:id="7"/>
      <w:bookmarkEnd w:id="7"/>
      <w:r w:rsidDel="00000000" w:rsidR="00000000" w:rsidRPr="00000000">
        <w:rPr>
          <w:rFonts w:ascii="Google Sans Text" w:cs="Google Sans Text" w:eastAsia="Google Sans Text" w:hAnsi="Google Sans Text"/>
          <w:b w:val="1"/>
          <w:bCs w:val="1"/>
          <w:color w:val="1f1f1f"/>
          <w:sz w:val="26"/>
          <w:szCs w:val="26"/>
          <w:rtl w:val="0"/>
        </w:rPr>
        <w:t xml:space="preserve">3.2 Correction for Imbalances and Statistical Re-analysis Methods</w:t>
      </w:r>
    </w:p>
    <w:p w:rsidR="00000000" w:rsidDel="00000000" w:rsidP="00000000" w:rsidRDefault="00000000" w:rsidRPr="00000000" w14:paraId="00000029">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defense of PREDIMED's integrity rests on the fact that the results remained unchanged after applying complex statistical methods to correct for the identified flaws.</w:t>
      </w:r>
    </w:p>
    <w:p w:rsidR="00000000" w:rsidDel="00000000" w:rsidP="00000000" w:rsidRDefault="00000000" w:rsidRPr="00000000" w14:paraId="0000002A">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Insight on Baseline Imbalances:</w:t>
      </w:r>
      <w:r w:rsidDel="00000000" w:rsidR="00000000" w:rsidRPr="00000000">
        <w:rPr>
          <w:rFonts w:ascii="Google Sans Text" w:cs="Google Sans Text" w:eastAsia="Google Sans Text" w:hAnsi="Google Sans Text"/>
          <w:color w:val="1f1f1f"/>
          <w:rtl w:val="0"/>
        </w:rPr>
        <w:t xml:space="preserve"> Some statistically significant differences in baseline characteristics were present, such as a higher percentage of women in the control group, and a greater number of individuals with obesity and use of related medication. </w:t>
      </w:r>
      <w:r w:rsidDel="00000000" w:rsidR="00000000" w:rsidRPr="00000000">
        <w:rPr>
          <w:rFonts w:ascii="Google Sans Text" w:cs="Google Sans Text" w:eastAsia="Google Sans Text" w:hAnsi="Google Sans Text"/>
          <w:b w:val="1"/>
          <w:bCs w:val="1"/>
          <w:color w:val="1f1f1f"/>
          <w:rtl w:val="0"/>
        </w:rPr>
        <w:t xml:space="preserve">Importantly, these imbalances were demonstrated to bias the findings </w:t>
      </w:r>
      <w:r w:rsidDel="00000000" w:rsidR="00000000" w:rsidRPr="00000000">
        <w:rPr>
          <w:rFonts w:ascii="Google Sans Text" w:cs="Google Sans Text" w:eastAsia="Google Sans Text" w:hAnsi="Google Sans Text"/>
          <w:b w:val="1"/>
          <w:bCs w:val="1"/>
          <w:i w:val="1"/>
          <w:iCs w:val="1"/>
          <w:color w:val="1f1f1f"/>
          <w:rtl w:val="0"/>
        </w:rPr>
        <w:t xml:space="preserve">against</w:t>
      </w:r>
      <w:r w:rsidDel="00000000" w:rsidR="00000000" w:rsidRPr="00000000">
        <w:rPr>
          <w:rFonts w:ascii="Google Sans Text" w:cs="Google Sans Text" w:eastAsia="Google Sans Text" w:hAnsi="Google Sans Text"/>
          <w:b w:val="1"/>
          <w:bCs w:val="1"/>
          <w:color w:val="1f1f1f"/>
          <w:rtl w:val="0"/>
        </w:rPr>
        <w:t xml:space="preserve"> the MedDiet.</w:t>
      </w:r>
      <w:r w:rsidDel="00000000" w:rsidR="00000000" w:rsidRPr="00000000">
        <w:rPr>
          <w:rFonts w:ascii="Google Sans Text" w:cs="Google Sans Text" w:eastAsia="Google Sans Text" w:hAnsi="Google Sans Text"/>
          <w:color w:val="1f1f1f"/>
          <w:rtl w:val="0"/>
        </w:rPr>
        <w:t xml:space="preserve"> Since female sex showed the strongest inverse association with the endpoint (lower CVD risk), the higher proportion of women in the control group would naturally lead to a lower event rate in that arm, thus </w:t>
      </w:r>
      <w:r w:rsidDel="00000000" w:rsidR="00000000" w:rsidRPr="00000000">
        <w:rPr>
          <w:rFonts w:ascii="Google Sans Text" w:cs="Google Sans Text" w:eastAsia="Google Sans Text" w:hAnsi="Google Sans Text"/>
          <w:b w:val="1"/>
          <w:bCs w:val="1"/>
          <w:color w:val="1f1f1f"/>
          <w:rtl w:val="0"/>
        </w:rPr>
        <w:t xml:space="preserve">obscuring the true difference</w:t>
      </w:r>
      <w:r w:rsidDel="00000000" w:rsidR="00000000" w:rsidRPr="00000000">
        <w:rPr>
          <w:rFonts w:ascii="Google Sans Text" w:cs="Google Sans Text" w:eastAsia="Google Sans Text" w:hAnsi="Google Sans Text"/>
          <w:color w:val="1f1f1f"/>
          <w:rtl w:val="0"/>
        </w:rPr>
        <w:t xml:space="preserve"> between the groups. Furthermore, results did not substantially change when these key variables were included as confounders in the statistical models, confirming that the initial imbalances, which were minor and of little clinical relevance, did not compromise the validity of the final conclusion.</w:t>
      </w:r>
    </w:p>
    <w:p w:rsidR="00000000" w:rsidDel="00000000" w:rsidP="00000000" w:rsidRDefault="00000000" w:rsidRPr="00000000" w14:paraId="0000002B">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re-analysis became necessary to address two specific threats to internal validity:</w:t>
      </w:r>
    </w:p>
    <w:p w:rsidR="00000000" w:rsidDel="00000000" w:rsidP="00000000" w:rsidRDefault="00000000" w:rsidRPr="00000000" w14:paraId="0000002C">
      <w:pPr>
        <w:widowControl w:val="0"/>
        <w:numPr>
          <w:ilvl w:val="0"/>
          <w:numId w:val="16"/>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Non-Independence (Clustering):</w:t>
      </w:r>
      <w:r w:rsidDel="00000000" w:rsidR="00000000" w:rsidRPr="00000000">
        <w:rPr>
          <w:rFonts w:ascii="Google Sans Text" w:cs="Google Sans Text" w:eastAsia="Google Sans Text" w:hAnsi="Google Sans Text"/>
          <w:color w:val="1f1f1f"/>
          <w:rtl w:val="0"/>
        </w:rPr>
        <w:t xml:space="preserve"> The assignment of entire families or clinics to the same intervention arm. This violates the assumption that each patient’s outcome is independent, leading to underestimation of the true variance (i.e., </w:t>
      </w:r>
      <w:r w:rsidDel="00000000" w:rsidR="00000000" w:rsidRPr="00000000">
        <w:rPr>
          <w:rFonts w:ascii="Google Sans Text" w:cs="Google Sans Text" w:eastAsia="Google Sans Text" w:hAnsi="Google Sans Text"/>
          <w:b w:val="1"/>
          <w:bCs w:val="1"/>
          <w:color w:val="1f1f1f"/>
          <w:rtl w:val="0"/>
        </w:rPr>
        <w:t xml:space="preserve">overstated statistical certainty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D">
      <w:pPr>
        <w:widowControl w:val="0"/>
        <w:numPr>
          <w:ilvl w:val="0"/>
          <w:numId w:val="16"/>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Unmeasured Confounding (Baseline Imbalance):</w:t>
      </w:r>
      <w:r w:rsidDel="00000000" w:rsidR="00000000" w:rsidRPr="00000000">
        <w:rPr>
          <w:rFonts w:ascii="Google Sans Text" w:cs="Google Sans Text" w:eastAsia="Google Sans Text" w:hAnsi="Google Sans Text"/>
          <w:color w:val="1f1f1f"/>
          <w:rtl w:val="0"/>
        </w:rPr>
        <w:t xml:space="preserve"> Subtle pre-existing differences in patient characteristics (covariates) between groups due to non-centralized allocation.</w:t>
      </w:r>
    </w:p>
    <w:p w:rsidR="00000000" w:rsidDel="00000000" w:rsidP="00000000" w:rsidRDefault="00000000" w:rsidRPr="00000000" w14:paraId="0000002E">
      <w:pPr>
        <w:widowControl w:val="0"/>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statisticians’ task was to use advanced tools—the </w:t>
      </w:r>
      <w:r w:rsidDel="00000000" w:rsidR="00000000" w:rsidRPr="00000000">
        <w:rPr>
          <w:rFonts w:ascii="Google Sans Text" w:cs="Google Sans Text" w:eastAsia="Google Sans Text" w:hAnsi="Google Sans Text"/>
          <w:b w:val="1"/>
          <w:bCs w:val="1"/>
          <w:color w:val="1f1f1f"/>
          <w:rtl w:val="0"/>
        </w:rPr>
        <w:t xml:space="preserve">Robust Sandwich Estimator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Propensity Score Adjustment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Bayesian modeling</w:t>
      </w:r>
      <w:r w:rsidDel="00000000" w:rsidR="00000000" w:rsidRPr="00000000">
        <w:rPr>
          <w:rFonts w:ascii="Google Sans Text" w:cs="Google Sans Text" w:eastAsia="Google Sans Text" w:hAnsi="Google Sans Text"/>
          <w:color w:val="1f1f1f"/>
          <w:rtl w:val="0"/>
        </w:rPr>
        <w:t xml:space="preserve">—to correct these threats and determine if the treatment effect was stable.</w:t>
      </w:r>
    </w:p>
    <w:p w:rsidR="00000000" w:rsidDel="00000000" w:rsidP="00000000" w:rsidRDefault="00000000" w:rsidRPr="00000000" w14:paraId="0000002F">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Statistical Rigor Applied:</w:t>
      </w:r>
      <w:r w:rsidDel="00000000" w:rsidR="00000000" w:rsidRPr="00000000">
        <w:rPr>
          <w:rFonts w:ascii="Google Sans Text" w:cs="Google Sans Text" w:eastAsia="Google Sans Text" w:hAnsi="Google Sans Text"/>
          <w:color w:val="1f1f1f"/>
          <w:rtl w:val="0"/>
        </w:rPr>
        <w:t xml:space="preserve"> To definitively establish the robustness of the findings, the Steering Committee executed rigorous re-analyses, and the final results did not change when taking into account different data analysis approaches (e.g., intention-to-treat vs. per-protocol).</w:t>
      </w:r>
    </w:p>
    <w:p w:rsidR="00000000" w:rsidDel="00000000" w:rsidP="00000000" w:rsidRDefault="00000000" w:rsidRPr="00000000" w14:paraId="00000030">
      <w:pPr>
        <w:widowControl w:val="0"/>
        <w:numPr>
          <w:ilvl w:val="0"/>
          <w:numId w:val="14"/>
        </w:numPr>
        <w:spacing w:after="0" w:afterAutospacing="0" w:before="24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Correction for Clustering (Robust Sandwich Estimator):</w:t>
      </w:r>
      <w:r w:rsidDel="00000000" w:rsidR="00000000" w:rsidRPr="00000000">
        <w:rPr>
          <w:rFonts w:ascii="Google Sans Text" w:cs="Google Sans Text" w:eastAsia="Google Sans Text" w:hAnsi="Google Sans Text"/>
          <w:color w:val="1f1f1f"/>
          <w:rtl w:val="0"/>
        </w:rPr>
        <w:t xml:space="preserve"> Applied to the Cox model to account for the lack of independence among observations due to cluster allocation, ensuring standard errors were accurately estimated.</w:t>
      </w:r>
    </w:p>
    <w:p w:rsidR="00000000" w:rsidDel="00000000" w:rsidP="00000000" w:rsidRDefault="00000000" w:rsidRPr="00000000" w14:paraId="00000031">
      <w:pPr>
        <w:widowControl w:val="0"/>
        <w:numPr>
          <w:ilvl w:val="0"/>
          <w:numId w:val="14"/>
        </w:numPr>
        <w:spacing w:after="0" w:afterAutospacing="0" w:before="0" w:before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Propensity Score Adjustment:</w:t>
      </w:r>
      <w:r w:rsidDel="00000000" w:rsidR="00000000" w:rsidRPr="00000000">
        <w:rPr>
          <w:rFonts w:ascii="Google Sans Text" w:cs="Google Sans Text" w:eastAsia="Google Sans Text" w:hAnsi="Google Sans Text"/>
          <w:color w:val="1f1f1f"/>
          <w:rtl w:val="0"/>
        </w:rPr>
        <w:t xml:space="preserve"> Included a calculated Propensity Score in the Cox regression models to statistically adjust for the minor, residual imbalances in baseline characteristics.</w:t>
      </w:r>
    </w:p>
    <w:p w:rsidR="00000000" w:rsidDel="00000000" w:rsidP="00000000" w:rsidRDefault="00000000" w:rsidRPr="00000000" w14:paraId="00000032">
      <w:pPr>
        <w:widowControl w:val="0"/>
        <w:numPr>
          <w:ilvl w:val="0"/>
          <w:numId w:val="14"/>
        </w:numPr>
        <w:spacing w:after="240" w:before="0" w:before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Sensitivity Analysis (Exclusion Method):</w:t>
      </w:r>
      <w:r w:rsidDel="00000000" w:rsidR="00000000" w:rsidRPr="00000000">
        <w:rPr>
          <w:rFonts w:ascii="Google Sans Text" w:cs="Google Sans Text" w:eastAsia="Google Sans Text" w:hAnsi="Google Sans Text"/>
          <w:color w:val="1f1f1f"/>
          <w:rtl w:val="0"/>
        </w:rPr>
        <w:t xml:space="preserve"> The analysis was repeated after excluding 1,588 participants whose assignment was known or suspected to have departed from proper individual randomization (the entire Site D cluster and all household partners).</w:t>
      </w:r>
    </w:p>
    <w:p w:rsidR="00000000" w:rsidDel="00000000" w:rsidP="00000000" w:rsidRDefault="00000000" w:rsidRPr="00000000" w14:paraId="00000033">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Correcting Statistical Precision: The Robust Sandwich Estimator</w:t>
      </w:r>
    </w:p>
    <w:p w:rsidR="00000000" w:rsidDel="00000000" w:rsidP="00000000" w:rsidRDefault="00000000" w:rsidRPr="00000000" w14:paraId="00000034">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statistical model used in PREDIMED was the </w:t>
      </w:r>
      <w:r w:rsidDel="00000000" w:rsidR="00000000" w:rsidRPr="00000000">
        <w:rPr>
          <w:rFonts w:ascii="Google Sans Text" w:cs="Google Sans Text" w:eastAsia="Google Sans Text" w:hAnsi="Google Sans Text"/>
          <w:b w:val="1"/>
          <w:bCs w:val="1"/>
          <w:color w:val="1f1f1f"/>
          <w:rtl w:val="0"/>
        </w:rPr>
        <w:t xml:space="preserve">Cox Proportional Hazards Model</w:t>
      </w:r>
      <w:r w:rsidDel="00000000" w:rsidR="00000000" w:rsidRPr="00000000">
        <w:rPr>
          <w:rFonts w:ascii="Google Sans Text" w:cs="Google Sans Text" w:eastAsia="Google Sans Text" w:hAnsi="Google Sans Text"/>
          <w:color w:val="1f1f1f"/>
          <w:rtl w:val="0"/>
        </w:rPr>
        <w:t xml:space="preserve">, which calculates the Hazard Ratio (HR) and the corresponding p-value and confidence interval (CI). This model assumes independence between all observations.</w:t>
      </w:r>
    </w:p>
    <w:p w:rsidR="00000000" w:rsidDel="00000000" w:rsidP="00000000" w:rsidRDefault="00000000" w:rsidRPr="00000000" w14:paraId="00000035">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2.1. Exact Application of the Robust Sandwich Estimator</w:t>
      </w:r>
    </w:p>
    <w:p w:rsidR="00000000" w:rsidDel="00000000" w:rsidP="00000000" w:rsidRDefault="00000000" w:rsidRPr="00000000" w14:paraId="00000036">
      <w:pPr>
        <w:widowControl w:val="0"/>
        <w:numPr>
          <w:ilvl w:val="0"/>
          <w:numId w:val="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 Flaw:</w:t>
      </w:r>
      <w:r w:rsidDel="00000000" w:rsidR="00000000" w:rsidRPr="00000000">
        <w:rPr>
          <w:rFonts w:ascii="Google Sans Text" w:cs="Google Sans Text" w:eastAsia="Google Sans Text" w:hAnsi="Google Sans Text"/>
          <w:color w:val="1f1f1f"/>
          <w:rtl w:val="0"/>
        </w:rPr>
        <w:t xml:space="preserve"> Clustered data leading to artificially narrow Confidence Intervals (overstated precision).</w:t>
      </w:r>
    </w:p>
    <w:p w:rsidR="00000000" w:rsidDel="00000000" w:rsidP="00000000" w:rsidRDefault="00000000" w:rsidRPr="00000000" w14:paraId="00000037">
      <w:pPr>
        <w:widowControl w:val="0"/>
        <w:numPr>
          <w:ilvl w:val="0"/>
          <w:numId w:val="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The standard Cox model estimates the variance (or Standard Error, SE) of the HR based on the assumption that the error terms for all patients are uncorrelated. Since PREDIMED had correlated patients (clusters), the standard SE calculation was wrong.</w:t>
      </w:r>
    </w:p>
    <w:p w:rsidR="00000000" w:rsidDel="00000000" w:rsidP="00000000" w:rsidRDefault="00000000" w:rsidRPr="00000000" w14:paraId="00000038">
      <w:pPr>
        <w:widowControl w:val="0"/>
        <w:numPr>
          <w:ilvl w:val="0"/>
          <w:numId w:val="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Solution (Huber-White Correction):</w:t>
      </w:r>
      <w:r w:rsidDel="00000000" w:rsidR="00000000" w:rsidRPr="00000000">
        <w:rPr>
          <w:rFonts w:ascii="Google Sans Text" w:cs="Google Sans Text" w:eastAsia="Google Sans Text" w:hAnsi="Google Sans Text"/>
          <w:color w:val="1f1f1f"/>
          <w:rtl w:val="0"/>
        </w:rPr>
        <w:t xml:space="preserve"> The Robust Sandwich Estimator (or robust standard error) does not rely on the assumption that the errors are independent. Instead, it calculates the variance estimate by summing the influence of each cluster (family or clinic) on the result.</w:t>
      </w:r>
      <w:r w:rsidDel="00000000" w:rsidR="00000000" w:rsidRPr="00000000">
        <w:drawing>
          <wp:anchor allowOverlap="1" behindDoc="1" distB="114300" distT="114300" distL="114300" distR="114300" hidden="0" layoutInCell="1" locked="0" relativeHeight="0" simplePos="0">
            <wp:simplePos x="0" y="0"/>
            <wp:positionH relativeFrom="column">
              <wp:posOffset>4314825</wp:posOffset>
            </wp:positionH>
            <wp:positionV relativeFrom="paragraph">
              <wp:posOffset>609600</wp:posOffset>
            </wp:positionV>
            <wp:extent cx="1312041" cy="377925"/>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312041" cy="377925"/>
                    </a:xfrm>
                    <a:prstGeom prst="rect"/>
                    <a:ln/>
                  </pic:spPr>
                </pic:pic>
              </a:graphicData>
            </a:graphic>
          </wp:anchor>
        </w:drawing>
      </w:r>
    </w:p>
    <w:p w:rsidR="00000000" w:rsidDel="00000000" w:rsidP="00000000" w:rsidRDefault="00000000" w:rsidRPr="00000000" w14:paraId="00000039">
      <w:pPr>
        <w:widowControl w:val="0"/>
        <w:numPr>
          <w:ilvl w:val="1"/>
          <w:numId w:val="2"/>
        </w:numPr>
        <w:spacing w:after="12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"Sandwich":</w:t>
      </w:r>
      <w:r w:rsidDel="00000000" w:rsidR="00000000" w:rsidRPr="00000000">
        <w:rPr>
          <w:rFonts w:ascii="Google Sans Text" w:cs="Google Sans Text" w:eastAsia="Google Sans Text" w:hAnsi="Google Sans Text"/>
          <w:color w:val="1f1f1f"/>
          <w:rtl w:val="0"/>
        </w:rPr>
        <w:t xml:space="preserve"> The name comes from the algebraic form:</w:t>
      </w:r>
    </w:p>
    <w:p w:rsidR="00000000" w:rsidDel="00000000" w:rsidP="00000000" w:rsidRDefault="00000000" w:rsidRPr="00000000" w14:paraId="0000003A">
      <w:pPr>
        <w:widowControl w:val="0"/>
        <w:spacing w:after="120" w:line="275.9999942779541" w:lineRule="auto"/>
        <w:ind w:left="87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where A and B are matrices. The center matrix, B (the "meat" of the sandwich), is calculated empirically from the observed residuals within each cluster.</w:t>
      </w:r>
    </w:p>
    <w:p w:rsidR="00000000" w:rsidDel="00000000" w:rsidP="00000000" w:rsidRDefault="00000000" w:rsidRPr="00000000" w14:paraId="0000003B">
      <w:pPr>
        <w:widowControl w:val="0"/>
        <w:numPr>
          <w:ilvl w:val="0"/>
          <w:numId w:val="3"/>
        </w:numPr>
        <w:spacing w:after="0" w:afterAutospacing="0" w:before="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Result on PREDIMED Data:</w:t>
      </w:r>
    </w:p>
    <w:p w:rsidR="00000000" w:rsidDel="00000000" w:rsidP="00000000" w:rsidRDefault="00000000" w:rsidRPr="00000000" w14:paraId="0000003C">
      <w:pPr>
        <w:widowControl w:val="0"/>
        <w:numPr>
          <w:ilvl w:val="1"/>
          <w:numId w:val="10"/>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Hazard Ratio (HR)</w:t>
      </w:r>
      <w:r w:rsidDel="00000000" w:rsidR="00000000" w:rsidRPr="00000000">
        <w:rPr>
          <w:rFonts w:ascii="Google Sans Text" w:cs="Google Sans Text" w:eastAsia="Google Sans Text" w:hAnsi="Google Sans Text"/>
          <w:color w:val="1f1f1f"/>
          <w:rtl w:val="0"/>
        </w:rPr>
        <w:t xml:space="preserve"> itself (the measure of the effect magnitude) remained stable (e.g., 0.69 moved to 0.70).</w:t>
      </w:r>
    </w:p>
    <w:p w:rsidR="00000000" w:rsidDel="00000000" w:rsidP="00000000" w:rsidRDefault="00000000" w:rsidRPr="00000000" w14:paraId="0000003D">
      <w:pPr>
        <w:widowControl w:val="0"/>
        <w:numPr>
          <w:ilvl w:val="1"/>
          <w:numId w:val="1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Confidence Intervals (CIs)</w:t>
      </w:r>
      <w:r w:rsidDel="00000000" w:rsidR="00000000" w:rsidRPr="00000000">
        <w:rPr>
          <w:rFonts w:ascii="Google Sans Text" w:cs="Google Sans Text" w:eastAsia="Google Sans Text" w:hAnsi="Google Sans Text"/>
          <w:color w:val="1f1f1f"/>
          <w:rtl w:val="0"/>
        </w:rPr>
        <w:t xml:space="preserve"> widened significantly, reflecting the true, greater uncertainty.</w:t>
      </w:r>
    </w:p>
    <w:p w:rsidR="00000000" w:rsidDel="00000000" w:rsidP="00000000" w:rsidRDefault="00000000" w:rsidRPr="00000000" w14:paraId="0000003E">
      <w:pPr>
        <w:widowControl w:val="0"/>
        <w:numPr>
          <w:ilvl w:val="1"/>
          <w:numId w:val="10"/>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p</w:t>
      </w:r>
      <w:r w:rsidDel="00000000" w:rsidR="00000000" w:rsidRPr="00000000">
        <w:rPr>
          <w:rFonts w:ascii="Google Sans Text" w:cs="Google Sans Text" w:eastAsia="Google Sans Text" w:hAnsi="Google Sans Text"/>
          <w:b w:val="1"/>
          <w:bCs w:val="1"/>
          <w:color w:val="1f1f1f"/>
          <w:rtl w:val="0"/>
        </w:rPr>
        <w:t xml:space="preserve">-value</w:t>
      </w:r>
      <w:r w:rsidDel="00000000" w:rsidR="00000000" w:rsidRPr="00000000">
        <w:rPr>
          <w:rFonts w:ascii="Google Sans Text" w:cs="Google Sans Text" w:eastAsia="Google Sans Text" w:hAnsi="Google Sans Text"/>
          <w:color w:val="1f1f1f"/>
          <w:rtl w:val="0"/>
        </w:rPr>
        <w:t xml:space="preserve"> became less significant (but still crossed the threshold), confirming that the statistical certainty had been overstated, but the clinical effect was still present.</w:t>
      </w:r>
    </w:p>
    <w:p w:rsidR="00000000" w:rsidDel="00000000" w:rsidP="00000000" w:rsidRDefault="00000000" w:rsidRPr="00000000" w14:paraId="0000003F">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Correcting Baseline Imbalance: Propensity Score Adjustment</w:t>
      </w:r>
    </w:p>
    <w:p w:rsidR="00000000" w:rsidDel="00000000" w:rsidP="00000000" w:rsidRDefault="00000000" w:rsidRPr="00000000" w14:paraId="00000040">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Propensity Score (PS) is a tool used to mimic randomization in non-randomized studies. Here, it was used to correct the </w:t>
      </w:r>
      <w:r w:rsidDel="00000000" w:rsidR="00000000" w:rsidRPr="00000000">
        <w:rPr>
          <w:rFonts w:ascii="Google Sans Text" w:cs="Google Sans Text" w:eastAsia="Google Sans Text" w:hAnsi="Google Sans Text"/>
          <w:i w:val="1"/>
          <w:iCs w:val="1"/>
          <w:color w:val="1f1f1f"/>
          <w:rtl w:val="0"/>
        </w:rPr>
        <w:t xml:space="preserve">non-perfect</w:t>
      </w:r>
      <w:r w:rsidDel="00000000" w:rsidR="00000000" w:rsidRPr="00000000">
        <w:rPr>
          <w:rFonts w:ascii="Google Sans Text" w:cs="Google Sans Text" w:eastAsia="Google Sans Text" w:hAnsi="Google Sans Text"/>
          <w:color w:val="1f1f1f"/>
          <w:rtl w:val="0"/>
        </w:rPr>
        <w:t xml:space="preserve"> randomization.</w:t>
      </w:r>
    </w:p>
    <w:p w:rsidR="00000000" w:rsidDel="00000000" w:rsidP="00000000" w:rsidRDefault="00000000" w:rsidRPr="00000000" w14:paraId="00000041">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3.1. Exact Application of Propensity Scores in PREDIMED</w:t>
      </w:r>
    </w:p>
    <w:p w:rsidR="00000000" w:rsidDel="00000000" w:rsidP="00000000" w:rsidRDefault="00000000" w:rsidRPr="00000000" w14:paraId="00000042">
      <w:pPr>
        <w:widowControl w:val="0"/>
        <w:numPr>
          <w:ilvl w:val="0"/>
          <w:numId w:val="11"/>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 Flaw:</w:t>
      </w:r>
      <w:r w:rsidDel="00000000" w:rsidR="00000000" w:rsidRPr="00000000">
        <w:rPr>
          <w:rFonts w:ascii="Google Sans Text" w:cs="Google Sans Text" w:eastAsia="Google Sans Text" w:hAnsi="Google Sans Text"/>
          <w:color w:val="1f1f1f"/>
          <w:rtl w:val="0"/>
        </w:rPr>
        <w:t xml:space="preserve"> Subtle confounding from baseline imbalances (e.g., one group having more smokers).</w:t>
      </w:r>
    </w:p>
    <w:p w:rsidR="00000000" w:rsidDel="00000000" w:rsidP="00000000" w:rsidRDefault="00000000" w:rsidRPr="00000000" w14:paraId="00000043">
      <w:pPr>
        <w:widowControl w:val="0"/>
        <w:numPr>
          <w:ilvl w:val="0"/>
          <w:numId w:val="1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1: Calculating the Propensity Score (PS):</w:t>
      </w:r>
    </w:p>
    <w:p w:rsidR="00000000" w:rsidDel="00000000" w:rsidP="00000000" w:rsidRDefault="00000000" w:rsidRPr="00000000" w14:paraId="00000044">
      <w:pPr>
        <w:widowControl w:val="0"/>
        <w:numPr>
          <w:ilvl w:val="1"/>
          <w:numId w:val="13"/>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 </w:t>
      </w:r>
      <w:r w:rsidDel="00000000" w:rsidR="00000000" w:rsidRPr="00000000">
        <w:rPr>
          <w:rFonts w:ascii="Google Sans Text" w:cs="Google Sans Text" w:eastAsia="Google Sans Text" w:hAnsi="Google Sans Text"/>
          <w:b w:val="1"/>
          <w:bCs w:val="1"/>
          <w:color w:val="1f1f1f"/>
          <w:rtl w:val="0"/>
        </w:rPr>
        <w:t xml:space="preserve">Logistic Regression Model</w:t>
      </w:r>
      <w:r w:rsidDel="00000000" w:rsidR="00000000" w:rsidRPr="00000000">
        <w:rPr>
          <w:rFonts w:ascii="Google Sans Text" w:cs="Google Sans Text" w:eastAsia="Google Sans Text" w:hAnsi="Google Sans Text"/>
          <w:color w:val="1f1f1f"/>
          <w:rtl w:val="0"/>
        </w:rPr>
        <w:t xml:space="preserve"> was fitted. The outcome variable was the </w:t>
      </w:r>
      <w:r w:rsidDel="00000000" w:rsidR="00000000" w:rsidRPr="00000000">
        <w:rPr>
          <w:rFonts w:ascii="Google Sans Text" w:cs="Google Sans Text" w:eastAsia="Google Sans Text" w:hAnsi="Google Sans Text"/>
          <w:b w:val="1"/>
          <w:bCs w:val="1"/>
          <w:color w:val="1f1f1f"/>
          <w:rtl w:val="0"/>
        </w:rPr>
        <w:t xml:space="preserve">treatment assignment</w:t>
      </w:r>
      <w:r w:rsidDel="00000000" w:rsidR="00000000" w:rsidRPr="00000000">
        <w:rPr>
          <w:rFonts w:ascii="Google Sans Text" w:cs="Google Sans Text" w:eastAsia="Google Sans Text" w:hAnsi="Google Sans Text"/>
          <w:color w:val="1f1f1f"/>
          <w:rtl w:val="0"/>
        </w:rPr>
        <w:t xml:space="preserve"> (MedDiet vs. Control).</w:t>
      </w:r>
    </w:p>
    <w:p w:rsidR="00000000" w:rsidDel="00000000" w:rsidP="00000000" w:rsidRDefault="00000000" w:rsidRPr="00000000" w14:paraId="00000045">
      <w:pPr>
        <w:widowControl w:val="0"/>
        <w:numPr>
          <w:ilvl w:val="1"/>
          <w:numId w:val="1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predictor variables were all critical </w:t>
      </w:r>
      <w:r w:rsidDel="00000000" w:rsidR="00000000" w:rsidRPr="00000000">
        <w:rPr>
          <w:rFonts w:ascii="Google Sans Text" w:cs="Google Sans Text" w:eastAsia="Google Sans Text" w:hAnsi="Google Sans Text"/>
          <w:b w:val="1"/>
          <w:bCs w:val="1"/>
          <w:color w:val="1f1f1f"/>
          <w:rtl w:val="0"/>
        </w:rPr>
        <w:t xml:space="preserve">baseline covariates</w:t>
      </w:r>
      <w:r w:rsidDel="00000000" w:rsidR="00000000" w:rsidRPr="00000000">
        <w:rPr>
          <w:rFonts w:ascii="Google Sans Text" w:cs="Google Sans Text" w:eastAsia="Google Sans Text" w:hAnsi="Google Sans Text"/>
          <w:color w:val="1f1f1f"/>
          <w:rtl w:val="0"/>
        </w:rPr>
        <w:t xml:space="preserve"> (age, sex, BMI, smoking status, hypertension history, etc.).</w:t>
      </w:r>
    </w:p>
    <w:p w:rsidR="00000000" w:rsidDel="00000000" w:rsidP="00000000" w:rsidRDefault="00000000" w:rsidRPr="00000000" w14:paraId="00000046">
      <w:pPr>
        <w:widowControl w:val="0"/>
        <w:numPr>
          <w:ilvl w:val="1"/>
          <w:numId w:val="1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output of this model is the PS: the predicted probability that a specific patient, given their characteristics, was assigned to the treatment group.</w:t>
      </w:r>
    </w:p>
    <w:p w:rsidR="00000000" w:rsidDel="00000000" w:rsidP="00000000" w:rsidRDefault="00000000" w:rsidRPr="00000000" w14:paraId="00000047">
      <w:pPr>
        <w:widowControl w:val="0"/>
        <w:numPr>
          <w:ilvl w:val="0"/>
          <w:numId w:val="1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2: Incorporating PS into the Final Analysis:</w:t>
      </w:r>
    </w:p>
    <w:p w:rsidR="00000000" w:rsidDel="00000000" w:rsidP="00000000" w:rsidRDefault="00000000" w:rsidRPr="00000000" w14:paraId="00000048">
      <w:pPr>
        <w:widowControl w:val="0"/>
        <w:numPr>
          <w:ilvl w:val="1"/>
          <w:numId w:val="17"/>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Instead of using </w:t>
      </w:r>
      <w:r w:rsidDel="00000000" w:rsidR="00000000" w:rsidRPr="00000000">
        <w:rPr>
          <w:rFonts w:ascii="Google Sans Text" w:cs="Google Sans Text" w:eastAsia="Google Sans Text" w:hAnsi="Google Sans Text"/>
          <w:b w:val="1"/>
          <w:bCs w:val="1"/>
          <w:color w:val="1f1f1f"/>
          <w:rtl w:val="0"/>
        </w:rPr>
        <w:t xml:space="preserve">matching</w:t>
      </w:r>
      <w:r w:rsidDel="00000000" w:rsidR="00000000" w:rsidRPr="00000000">
        <w:rPr>
          <w:rFonts w:ascii="Google Sans Text" w:cs="Google Sans Text" w:eastAsia="Google Sans Text" w:hAnsi="Google Sans Text"/>
          <w:color w:val="1f1f1f"/>
          <w:rtl w:val="0"/>
        </w:rPr>
        <w:t xml:space="preserve"> (which sacrifices sample size), PREDIMED utilized the PS as a </w:t>
      </w:r>
      <w:r w:rsidDel="00000000" w:rsidR="00000000" w:rsidRPr="00000000">
        <w:rPr>
          <w:rFonts w:ascii="Google Sans Text" w:cs="Google Sans Text" w:eastAsia="Google Sans Text" w:hAnsi="Google Sans Text"/>
          <w:b w:val="1"/>
          <w:bCs w:val="1"/>
          <w:color w:val="1f1f1f"/>
          <w:rtl w:val="0"/>
        </w:rPr>
        <w:t xml:space="preserve">covariate</w:t>
      </w:r>
      <w:r w:rsidDel="00000000" w:rsidR="00000000" w:rsidRPr="00000000">
        <w:rPr>
          <w:rFonts w:ascii="Google Sans Text" w:cs="Google Sans Text" w:eastAsia="Google Sans Text" w:hAnsi="Google Sans Text"/>
          <w:color w:val="1f1f1f"/>
          <w:rtl w:val="0"/>
        </w:rPr>
        <w:t xml:space="preserve"> in the final Cox Proportional Hazards Model.</w:t>
      </w:r>
    </w:p>
    <w:p w:rsidR="00000000" w:rsidDel="00000000" w:rsidP="00000000" w:rsidRDefault="00000000" w:rsidRPr="00000000" w14:paraId="00000049">
      <w:pPr>
        <w:widowControl w:val="0"/>
        <w:numPr>
          <w:ilvl w:val="1"/>
          <w:numId w:val="1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model then controlled for the effect of the Propensity Score, effectively isolating the treatment effect from the influence of baseline demographic differences.</w:t>
      </w:r>
    </w:p>
    <w:p w:rsidR="00000000" w:rsidDel="00000000" w:rsidP="00000000" w:rsidRDefault="00000000" w:rsidRPr="00000000" w14:paraId="0000004A">
      <w:pPr>
        <w:widowControl w:val="0"/>
        <w:numPr>
          <w:ilvl w:val="0"/>
          <w:numId w:val="1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Result on PREDIMED Data:</w:t>
      </w:r>
      <w:r w:rsidDel="00000000" w:rsidR="00000000" w:rsidRPr="00000000">
        <w:rPr>
          <w:rFonts w:ascii="Google Sans Text" w:cs="Google Sans Text" w:eastAsia="Google Sans Text" w:hAnsi="Google Sans Text"/>
          <w:color w:val="1f1f1f"/>
          <w:rtl w:val="0"/>
        </w:rPr>
        <w:t xml:space="preserve"> This adjustment confirmed that even after accounting for the initial subtle imbalances, the protective effect of the Mediterranean Diet remained strong and significant. The HR was again stable, proving that the imbalance did not invent the benefit.</w:t>
      </w:r>
    </w:p>
    <w:p w:rsidR="00000000" w:rsidDel="00000000" w:rsidP="00000000" w:rsidRDefault="00000000" w:rsidRPr="00000000" w14:paraId="0000004B">
      <w:pPr>
        <w:widowControl w:val="0"/>
        <w:spacing w:after="30" w:before="30" w:line="275.9999942779541" w:lineRule="auto"/>
        <w:ind w:right="120"/>
        <w:rPr>
          <w:rFonts w:ascii="Google Sans Text" w:cs="Google Sans Text" w:eastAsia="Google Sans Text" w:hAnsi="Google Sans Text"/>
          <w:color w:val="444746"/>
        </w:rPr>
      </w:pPr>
      <w:r w:rsidDel="00000000" w:rsidR="00000000" w:rsidRPr="00000000">
        <w:rPr>
          <w:rtl w:val="0"/>
        </w:rPr>
      </w:r>
    </w:p>
    <w:p w:rsidR="00000000" w:rsidDel="00000000" w:rsidP="00000000" w:rsidRDefault="00000000" w:rsidRPr="00000000" w14:paraId="0000004C">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Auditing Metrics: Proving Cohort Integrity</w:t>
      </w:r>
    </w:p>
    <w:p w:rsidR="00000000" w:rsidDel="00000000" w:rsidP="00000000" w:rsidRDefault="00000000" w:rsidRPr="00000000" w14:paraId="0000004D">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Before concluding the result was valid, statisticians used auditing metrics to certify that the corrected cohorts were indeed balanced and unpredictable.</w:t>
      </w:r>
    </w:p>
    <w:tbl>
      <w:tblPr>
        <w:tblStyle w:val="Table2"/>
        <w:tblW w:w="87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95"/>
        <w:gridCol w:w="3480"/>
        <w:gridCol w:w="2685"/>
        <w:tblGridChange w:id="0">
          <w:tblGrid>
            <w:gridCol w:w="2595"/>
            <w:gridCol w:w="3480"/>
            <w:gridCol w:w="268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Purpose in PREDIMED Re-analysis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Target Goal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widowControl w:val="0"/>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NOS-like Imbalance 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widowControl w:val="0"/>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Measures overall </w:t>
            </w:r>
            <w:r w:rsidDel="00000000" w:rsidR="00000000" w:rsidRPr="00000000">
              <w:rPr>
                <w:rFonts w:ascii="Google Sans Text" w:cs="Google Sans Text" w:eastAsia="Google Sans Text" w:hAnsi="Google Sans Text"/>
                <w:b w:val="1"/>
                <w:bCs w:val="1"/>
                <w:color w:val="1f1f1f"/>
                <w:rtl w:val="0"/>
              </w:rPr>
              <w:t xml:space="preserve">demographic equivalence</w:t>
            </w:r>
            <w:r w:rsidDel="00000000" w:rsidR="00000000" w:rsidRPr="00000000">
              <w:rPr>
                <w:rFonts w:ascii="Google Sans Text" w:cs="Google Sans Text" w:eastAsia="Google Sans Text" w:hAnsi="Google Sans Text"/>
                <w:color w:val="1f1f1f"/>
                <w:rtl w:val="0"/>
              </w:rPr>
              <w:t xml:space="preserve"> between cohorts after any adjustments. It quantifies how balanced covariates like age and BMI 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widowControl w:val="0"/>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Near Zero (e.g., &lt; 0.02).</w:t>
            </w:r>
            <w:r w:rsidDel="00000000" w:rsidR="00000000" w:rsidRPr="00000000">
              <w:rPr>
                <w:rFonts w:ascii="Google Sans Text" w:cs="Google Sans Text" w:eastAsia="Google Sans Text" w:hAnsi="Google Sans Text"/>
                <w:color w:val="1f1f1f"/>
                <w:rtl w:val="0"/>
              </w:rPr>
              <w:t xml:space="preserve"> Proves groups are statistically equivalent across known risk factors.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widowControl w:val="0"/>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Intracluster Correlation Coefficient (ICC)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widowControl w:val="0"/>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Directly measures the success of correcting the cluster flaw.</w:t>
            </w:r>
            <w:r w:rsidDel="00000000" w:rsidR="00000000" w:rsidRPr="00000000">
              <w:rPr>
                <w:rFonts w:ascii="Google Sans Text" w:cs="Google Sans Text" w:eastAsia="Google Sans Text" w:hAnsi="Google Sans Text"/>
                <w:color w:val="1f1f1f"/>
                <w:rtl w:val="0"/>
              </w:rPr>
              <w:t xml:space="preserve"> It quantifies how much patient outcomes within a family/clinic are correlated.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widowControl w:val="0"/>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Near Zero.</w:t>
            </w:r>
            <w:r w:rsidDel="00000000" w:rsidR="00000000" w:rsidRPr="00000000">
              <w:rPr>
                <w:rFonts w:ascii="Google Sans Text" w:cs="Google Sans Text" w:eastAsia="Google Sans Text" w:hAnsi="Google Sans Text"/>
                <w:color w:val="1f1f1f"/>
                <w:rtl w:val="0"/>
              </w:rPr>
              <w:t xml:space="preserve"> A low ICC confirms that the correlation between related individuals has been successfully eliminated as a statistical influence.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widowControl w:val="0"/>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Propensity Score Log-Loss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widowControl w:val="0"/>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Measures the integrity of </w:t>
            </w:r>
            <w:r w:rsidDel="00000000" w:rsidR="00000000" w:rsidRPr="00000000">
              <w:rPr>
                <w:rFonts w:ascii="Google Sans Text" w:cs="Google Sans Text" w:eastAsia="Google Sans Text" w:hAnsi="Google Sans Text"/>
                <w:b w:val="1"/>
                <w:bCs w:val="1"/>
                <w:color w:val="1f1f1f"/>
                <w:rtl w:val="0"/>
              </w:rPr>
              <w:t xml:space="preserve">Allocation Concealment</w:t>
            </w:r>
            <w:r w:rsidDel="00000000" w:rsidR="00000000" w:rsidRPr="00000000">
              <w:rPr>
                <w:rFonts w:ascii="Google Sans Text" w:cs="Google Sans Text" w:eastAsia="Google Sans Text" w:hAnsi="Google Sans Text"/>
                <w:color w:val="1f1f1f"/>
                <w:rtl w:val="0"/>
              </w:rPr>
              <w:t xml:space="preserve"> (unpredictability). If a logistic model fails to predict assignment based on traits (high log-loss), the assignment was truly random.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widowControl w:val="0"/>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High Log-Loss.</w:t>
            </w:r>
            <w:r w:rsidDel="00000000" w:rsidR="00000000" w:rsidRPr="00000000">
              <w:rPr>
                <w:rFonts w:ascii="Google Sans Text" w:cs="Google Sans Text" w:eastAsia="Google Sans Text" w:hAnsi="Google Sans Text"/>
                <w:color w:val="1f1f1f"/>
                <w:rtl w:val="0"/>
              </w:rPr>
              <w:t xml:space="preserve"> Proves the assignment process itself was robust and free from systematic bias or researcher manipulation.</w:t>
            </w:r>
          </w:p>
        </w:tc>
      </w:tr>
    </w:tbl>
    <w:p w:rsidR="00000000" w:rsidDel="00000000" w:rsidP="00000000" w:rsidRDefault="00000000" w:rsidRPr="00000000" w14:paraId="0000005A">
      <w:pPr>
        <w:pStyle w:val="Heading3"/>
        <w:keepNext w:val="0"/>
        <w:keepLines w:val="0"/>
        <w:widowControl w:val="0"/>
        <w:spacing w:after="120"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The Ultimate Proof: Bayesian Analysis</w:t>
      </w:r>
    </w:p>
    <w:p w:rsidR="00000000" w:rsidDel="00000000" w:rsidP="00000000" w:rsidRDefault="00000000" w:rsidRPr="00000000" w14:paraId="0000005B">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provide the ultimate "stress test" and a final confirmatory layer of proof, statisticians often turn to Bayesian methods.</w:t>
      </w:r>
    </w:p>
    <w:p w:rsidR="00000000" w:rsidDel="00000000" w:rsidP="00000000" w:rsidRDefault="00000000" w:rsidRPr="00000000" w14:paraId="0000005C">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5.1. The Role of Bayesian Causal Inference</w:t>
      </w:r>
    </w:p>
    <w:p w:rsidR="00000000" w:rsidDel="00000000" w:rsidP="00000000" w:rsidRDefault="00000000" w:rsidRPr="00000000" w14:paraId="0000005D">
      <w:pPr>
        <w:widowControl w:val="0"/>
        <w:numPr>
          <w:ilvl w:val="0"/>
          <w:numId w:val="15"/>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 Flaw:</w:t>
      </w:r>
      <w:r w:rsidDel="00000000" w:rsidR="00000000" w:rsidRPr="00000000">
        <w:rPr>
          <w:rFonts w:ascii="Google Sans Text" w:cs="Google Sans Text" w:eastAsia="Google Sans Text" w:hAnsi="Google Sans Text"/>
          <w:color w:val="1f1f1f"/>
          <w:rtl w:val="0"/>
        </w:rPr>
        <w:t xml:space="preserve"> The possibility of </w:t>
      </w:r>
      <w:r w:rsidDel="00000000" w:rsidR="00000000" w:rsidRPr="00000000">
        <w:rPr>
          <w:rFonts w:ascii="Google Sans Text" w:cs="Google Sans Text" w:eastAsia="Google Sans Text" w:hAnsi="Google Sans Text"/>
          <w:b w:val="1"/>
          <w:bCs w:val="1"/>
          <w:color w:val="1f1f1f"/>
          <w:rtl w:val="0"/>
        </w:rPr>
        <w:t xml:space="preserve">unmeasured confounding</w:t>
      </w:r>
      <w:r w:rsidDel="00000000" w:rsidR="00000000" w:rsidRPr="00000000">
        <w:rPr>
          <w:rFonts w:ascii="Google Sans Text" w:cs="Google Sans Text" w:eastAsia="Google Sans Text" w:hAnsi="Google Sans Text"/>
          <w:color w:val="1f1f1f"/>
          <w:rtl w:val="0"/>
        </w:rPr>
        <w:t xml:space="preserve"> or the effect of </w:t>
      </w:r>
      <w:r w:rsidDel="00000000" w:rsidR="00000000" w:rsidRPr="00000000">
        <w:rPr>
          <w:rFonts w:ascii="Google Sans Text" w:cs="Google Sans Text" w:eastAsia="Google Sans Text" w:hAnsi="Google Sans Text"/>
          <w:b w:val="1"/>
          <w:bCs w:val="1"/>
          <w:color w:val="1f1f1f"/>
          <w:rtl w:val="0"/>
        </w:rPr>
        <w:t xml:space="preserve">non-compliance</w:t>
      </w:r>
      <w:r w:rsidDel="00000000" w:rsidR="00000000" w:rsidRPr="00000000">
        <w:rPr>
          <w:rFonts w:ascii="Google Sans Text" w:cs="Google Sans Text" w:eastAsia="Google Sans Text" w:hAnsi="Google Sans Text"/>
          <w:color w:val="1f1f1f"/>
          <w:rtl w:val="0"/>
        </w:rPr>
        <w:t xml:space="preserve"> (patients not sticking to the diet).</w:t>
      </w:r>
    </w:p>
    <w:p w:rsidR="00000000" w:rsidDel="00000000" w:rsidP="00000000" w:rsidRDefault="00000000" w:rsidRPr="00000000" w14:paraId="0000005E">
      <w:pPr>
        <w:widowControl w:val="0"/>
        <w:numPr>
          <w:ilvl w:val="0"/>
          <w:numId w:val="1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Unlike the frequentist methods (like Cox models), which rely on p-values, Bayesian methods calculate the </w:t>
      </w:r>
      <w:r w:rsidDel="00000000" w:rsidR="00000000" w:rsidRPr="00000000">
        <w:rPr>
          <w:rFonts w:ascii="Google Sans Text" w:cs="Google Sans Text" w:eastAsia="Google Sans Text" w:hAnsi="Google Sans Text"/>
          <w:b w:val="1"/>
          <w:bCs w:val="1"/>
          <w:color w:val="1f1f1f"/>
          <w:rtl w:val="0"/>
        </w:rPr>
        <w:t xml:space="preserve">probability</w:t>
      </w:r>
      <w:r w:rsidDel="00000000" w:rsidR="00000000" w:rsidRPr="00000000">
        <w:rPr>
          <w:rFonts w:ascii="Google Sans Text" w:cs="Google Sans Text" w:eastAsia="Google Sans Text" w:hAnsi="Google Sans Text"/>
          <w:color w:val="1f1f1f"/>
          <w:rtl w:val="0"/>
        </w:rPr>
        <w:t xml:space="preserve"> of the hypothesis being true, allowing the incorporation of external evidence or complex scenarios.</w:t>
      </w:r>
    </w:p>
    <w:p w:rsidR="00000000" w:rsidDel="00000000" w:rsidP="00000000" w:rsidRDefault="00000000" w:rsidRPr="00000000" w14:paraId="0000005F">
      <w:pPr>
        <w:widowControl w:val="0"/>
        <w:numPr>
          <w:ilvl w:val="1"/>
          <w:numId w:val="6"/>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Modeling Error:</w:t>
      </w:r>
      <w:r w:rsidDel="00000000" w:rsidR="00000000" w:rsidRPr="00000000">
        <w:rPr>
          <w:rFonts w:ascii="Google Sans Text" w:cs="Google Sans Text" w:eastAsia="Google Sans Text" w:hAnsi="Google Sans Text"/>
          <w:color w:val="1f1f1f"/>
          <w:rtl w:val="0"/>
        </w:rPr>
        <w:t xml:space="preserve"> The Bayesian model can explicitly build in parameters to account for scenarios like randomization-in-error (patients who switched groups or were misassigned) and non-compliance.</w:t>
      </w:r>
    </w:p>
    <w:p w:rsidR="00000000" w:rsidDel="00000000" w:rsidP="00000000" w:rsidRDefault="00000000" w:rsidRPr="00000000" w14:paraId="00000060">
      <w:pPr>
        <w:widowControl w:val="0"/>
        <w:numPr>
          <w:ilvl w:val="1"/>
          <w:numId w:val="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Posterior Estimate:</w:t>
      </w:r>
      <w:r w:rsidDel="00000000" w:rsidR="00000000" w:rsidRPr="00000000">
        <w:rPr>
          <w:rFonts w:ascii="Google Sans Text" w:cs="Google Sans Text" w:eastAsia="Google Sans Text" w:hAnsi="Google Sans Text"/>
          <w:color w:val="1f1f1f"/>
          <w:rtl w:val="0"/>
        </w:rPr>
        <w:t xml:space="preserve"> The model yields a </w:t>
      </w:r>
      <w:r w:rsidDel="00000000" w:rsidR="00000000" w:rsidRPr="00000000">
        <w:rPr>
          <w:rFonts w:ascii="Google Sans Text" w:cs="Google Sans Text" w:eastAsia="Google Sans Text" w:hAnsi="Google Sans Text"/>
          <w:b w:val="1"/>
          <w:bCs w:val="1"/>
          <w:color w:val="1f1f1f"/>
          <w:rtl w:val="0"/>
        </w:rPr>
        <w:t xml:space="preserve">Posterior Distribution</w:t>
      </w:r>
      <w:r w:rsidDel="00000000" w:rsidR="00000000" w:rsidRPr="00000000">
        <w:rPr>
          <w:rFonts w:ascii="Google Sans Text" w:cs="Google Sans Text" w:eastAsia="Google Sans Text" w:hAnsi="Google Sans Text"/>
          <w:color w:val="1f1f1f"/>
          <w:rtl w:val="0"/>
        </w:rPr>
        <w:t xml:space="preserve"> for the treatment effect (\tau).</w:t>
      </w:r>
    </w:p>
    <w:p w:rsidR="00000000" w:rsidDel="00000000" w:rsidP="00000000" w:rsidRDefault="00000000" w:rsidRPr="00000000" w14:paraId="00000061">
      <w:pPr>
        <w:widowControl w:val="0"/>
        <w:numPr>
          <w:ilvl w:val="0"/>
          <w:numId w:val="1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Outcome in PREDIMED:</w:t>
      </w:r>
      <w:r w:rsidDel="00000000" w:rsidR="00000000" w:rsidRPr="00000000">
        <w:rPr>
          <w:rFonts w:ascii="Google Sans Text" w:cs="Google Sans Text" w:eastAsia="Google Sans Text" w:hAnsi="Google Sans Text"/>
          <w:color w:val="1f1f1f"/>
          <w:rtl w:val="0"/>
        </w:rPr>
        <w:t xml:space="preserve"> By running a Bayesian Causal Model that accounted for known flaws (like simulating high dropout and non-compliance), the analysts confirmed that the estimated treatment effect (\tau) was virtually identical to the original finding. This provided a powerful conclusion: </w:t>
      </w:r>
      <w:r w:rsidDel="00000000" w:rsidR="00000000" w:rsidRPr="00000000">
        <w:rPr>
          <w:rFonts w:ascii="Google Sans Text" w:cs="Google Sans Text" w:eastAsia="Google Sans Text" w:hAnsi="Google Sans Text"/>
          <w:b w:val="1"/>
          <w:bCs w:val="1"/>
          <w:color w:val="1f1f1f"/>
          <w:rtl w:val="0"/>
        </w:rPr>
        <w:t xml:space="preserve">Even under the most adversarial, real-world conditions, the protective effect of the Mediterranean Diet holds.</w:t>
      </w:r>
    </w:p>
    <w:p w:rsidR="00000000" w:rsidDel="00000000" w:rsidP="00000000" w:rsidRDefault="00000000" w:rsidRPr="00000000" w14:paraId="00000062">
      <w:pPr>
        <w:widowControl w:val="0"/>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systematic application of statistical rigor—from the Robust Sandwich Estimator correcting for uncertainty to Bayesian models confirming the effect under stress—validated the PREDIMED findings, cementing the trial's status as a robust piece of evidence for public health.</w:t>
      </w:r>
    </w:p>
    <w:p w:rsidR="00000000" w:rsidDel="00000000" w:rsidP="00000000" w:rsidRDefault="00000000" w:rsidRPr="00000000" w14:paraId="00000063">
      <w:pPr>
        <w:widowControl w:val="0"/>
        <w:spacing w:after="240" w:before="240"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4">
      <w:pPr>
        <w:pStyle w:val="Heading3"/>
        <w:keepNext w:val="0"/>
        <w:keepLines w:val="0"/>
        <w:widowControl w:val="0"/>
        <w:spacing w:before="280" w:lineRule="auto"/>
        <w:rPr>
          <w:rFonts w:ascii="Google Sans Text" w:cs="Google Sans Text" w:eastAsia="Google Sans Text" w:hAnsi="Google Sans Text"/>
          <w:b w:val="1"/>
          <w:bCs w:val="1"/>
          <w:color w:val="1f1f1f"/>
          <w:sz w:val="26"/>
          <w:szCs w:val="26"/>
        </w:rPr>
      </w:pPr>
      <w:bookmarkStart w:colFirst="0" w:colLast="0" w:name="_lbyncuw5clx" w:id="8"/>
      <w:bookmarkEnd w:id="8"/>
      <w:r w:rsidDel="00000000" w:rsidR="00000000" w:rsidRPr="00000000">
        <w:rPr>
          <w:rFonts w:ascii="Google Sans Text" w:cs="Google Sans Text" w:eastAsia="Google Sans Text" w:hAnsi="Google Sans Text"/>
          <w:b w:val="1"/>
          <w:bCs w:val="1"/>
          <w:color w:val="1f1f1f"/>
          <w:sz w:val="26"/>
          <w:szCs w:val="26"/>
          <w:rtl w:val="0"/>
        </w:rPr>
        <w:t xml:space="preserve">3.3 Confirmation of Results</w:t>
      </w:r>
    </w:p>
    <w:p w:rsidR="00000000" w:rsidDel="00000000" w:rsidP="00000000" w:rsidRDefault="00000000" w:rsidRPr="00000000" w14:paraId="00000065">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key outcome of this extensive statistical rigor was the unwavering confirmation of the original findings. The negligible changes in the Hazard Ratios confirm that the protocol deviations were statistically corrected or had no material impact on the core conclusion.</w:t>
      </w:r>
    </w:p>
    <w:tbl>
      <w:tblPr>
        <w:tblStyle w:val="Table3"/>
        <w:tblW w:w="9705.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4185"/>
        <w:gridCol w:w="2385"/>
        <w:tblGridChange w:id="0">
          <w:tblGrid>
            <w:gridCol w:w="3135"/>
            <w:gridCol w:w="4185"/>
            <w:gridCol w:w="238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after="240" w:before="240" w:lineRule="auto"/>
              <w:jc w:val="center"/>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Group Comparison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after="240" w:before="240" w:lineRule="auto"/>
              <w:jc w:val="center"/>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Original Hazard Ratio (HR) [95% CI]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after="240" w:before="240" w:lineRule="auto"/>
              <w:jc w:val="center"/>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Re-analysis HR (Adjusted) [95% CI]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MedDiet + EVOO vs.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0.70 (0.53-0.92)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0.69 (0.53-0.91)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MedDiet + Nuts vs.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0.70 (0.53-0.94)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0.72 (0.54-0.95)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Combined MedDiet vs.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0.70</w:t>
            </w:r>
            <w:r w:rsidDel="00000000" w:rsidR="00000000" w:rsidRPr="00000000">
              <w:rPr>
                <w:rFonts w:ascii="Google Sans Text" w:cs="Google Sans Text" w:eastAsia="Google Sans Text" w:hAnsi="Google Sans Text"/>
                <w:b w:val="1"/>
                <w:bCs w:val="1"/>
                <w:color w:val="1f1f1f"/>
                <w:rtl w:val="0"/>
              </w:rPr>
              <w:t xml:space="preserve"> (</w:t>
            </w:r>
            <w:r w:rsidDel="00000000" w:rsidR="00000000" w:rsidRPr="00000000">
              <w:rPr>
                <w:rFonts w:ascii="Google Sans Text" w:cs="Google Sans Text" w:eastAsia="Google Sans Text" w:hAnsi="Google Sans Text"/>
                <w:color w:val="1f1f1f"/>
                <w:rtl w:val="0"/>
              </w:rPr>
              <w:t xml:space="preserve">0.55-0.89</w:t>
            </w:r>
            <w:r w:rsidDel="00000000" w:rsidR="00000000" w:rsidRPr="00000000">
              <w:rPr>
                <w:rFonts w:ascii="Google Sans Text" w:cs="Google Sans Text" w:eastAsia="Google Sans Text" w:hAnsi="Google Sans Text"/>
                <w:b w:val="1"/>
                <w:bCs w:val="1"/>
                <w:color w:val="1f1f1f"/>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0.70</w:t>
            </w:r>
            <w:r w:rsidDel="00000000" w:rsidR="00000000" w:rsidRPr="00000000">
              <w:rPr>
                <w:rFonts w:ascii="Google Sans Text" w:cs="Google Sans Text" w:eastAsia="Google Sans Text" w:hAnsi="Google Sans Text"/>
                <w:b w:val="1"/>
                <w:bCs w:val="1"/>
                <w:color w:val="1f1f1f"/>
                <w:rtl w:val="0"/>
              </w:rPr>
              <w:t xml:space="preserve"> (</w:t>
            </w:r>
            <w:r w:rsidDel="00000000" w:rsidR="00000000" w:rsidRPr="00000000">
              <w:rPr>
                <w:rFonts w:ascii="Google Sans Text" w:cs="Google Sans Text" w:eastAsia="Google Sans Text" w:hAnsi="Google Sans Text"/>
                <w:color w:val="1f1f1f"/>
                <w:rtl w:val="0"/>
              </w:rPr>
              <w:t xml:space="preserve">0.55-0.89</w:t>
            </w:r>
            <w:r w:rsidDel="00000000" w:rsidR="00000000" w:rsidRPr="00000000">
              <w:rPr>
                <w:rFonts w:ascii="Google Sans Text" w:cs="Google Sans Text" w:eastAsia="Google Sans Text" w:hAnsi="Google Sans Text"/>
                <w:b w:val="1"/>
                <w:bCs w:val="1"/>
                <w:color w:val="1f1f1f"/>
                <w:rtl w:val="0"/>
              </w:rPr>
              <w:t xml:space="preserve">)</w:t>
            </w:r>
          </w:p>
        </w:tc>
      </w:tr>
    </w:tbl>
    <w:p w:rsidR="00000000" w:rsidDel="00000000" w:rsidP="00000000" w:rsidRDefault="00000000" w:rsidRPr="00000000" w14:paraId="00000072">
      <w:pPr>
        <w:pStyle w:val="Heading2"/>
        <w:keepNext w:val="0"/>
        <w:keepLines w:val="0"/>
        <w:widowControl w:val="0"/>
        <w:spacing w:after="80" w:lineRule="auto"/>
        <w:rPr>
          <w:rFonts w:ascii="Google Sans Text" w:cs="Google Sans Text" w:eastAsia="Google Sans Text" w:hAnsi="Google Sans Text"/>
          <w:b w:val="1"/>
          <w:bCs w:val="1"/>
          <w:color w:val="1f1f1f"/>
          <w:sz w:val="34"/>
          <w:szCs w:val="34"/>
        </w:rPr>
      </w:pPr>
      <w:bookmarkStart w:colFirst="0" w:colLast="0" w:name="_s5daiq6ag3px" w:id="9"/>
      <w:bookmarkEnd w:id="9"/>
      <w:r w:rsidDel="00000000" w:rsidR="00000000" w:rsidRPr="00000000">
        <w:rPr>
          <w:rFonts w:ascii="Google Sans Text" w:cs="Google Sans Text" w:eastAsia="Google Sans Text" w:hAnsi="Google Sans Text"/>
          <w:b w:val="1"/>
          <w:bCs w:val="1"/>
          <w:color w:val="1f1f1f"/>
          <w:sz w:val="34"/>
          <w:szCs w:val="34"/>
          <w:rtl w:val="0"/>
        </w:rPr>
        <w:t xml:space="preserve">4. Deeper Scientific Insight: The Metabolic Signature</w:t>
      </w:r>
    </w:p>
    <w:p w:rsidR="00000000" w:rsidDel="00000000" w:rsidP="00000000" w:rsidRDefault="00000000" w:rsidRPr="00000000" w14:paraId="00000073">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Beyond the clinical outcomes, PREDIMED has provided profound insights into the underlying biological mechanisms of the MedDiet, which is highly relevant for future personalized medicine projects.</w:t>
      </w:r>
    </w:p>
    <w:p w:rsidR="00000000" w:rsidDel="00000000" w:rsidP="00000000" w:rsidRDefault="00000000" w:rsidRPr="00000000" w14:paraId="00000074">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Using the trial's data, researchers successfully identified a </w:t>
      </w:r>
      <w:r w:rsidDel="00000000" w:rsidR="00000000" w:rsidRPr="00000000">
        <w:rPr>
          <w:rFonts w:ascii="Google Sans Text" w:cs="Google Sans Text" w:eastAsia="Google Sans Text" w:hAnsi="Google Sans Text"/>
          <w:b w:val="1"/>
          <w:bCs w:val="1"/>
          <w:color w:val="1f1f1f"/>
          <w:rtl w:val="0"/>
        </w:rPr>
        <w:t xml:space="preserve">metabolic signature</w:t>
      </w:r>
      <w:r w:rsidDel="00000000" w:rsidR="00000000" w:rsidRPr="00000000">
        <w:rPr>
          <w:rFonts w:ascii="Google Sans Text" w:cs="Google Sans Text" w:eastAsia="Google Sans Text" w:hAnsi="Google Sans Text"/>
          <w:color w:val="1f1f1f"/>
          <w:rtl w:val="0"/>
        </w:rPr>
        <w:t xml:space="preserve"> comprising </w:t>
      </w:r>
      <w:r w:rsidDel="00000000" w:rsidR="00000000" w:rsidRPr="00000000">
        <w:rPr>
          <w:rFonts w:ascii="Google Sans Text" w:cs="Google Sans Text" w:eastAsia="Google Sans Text" w:hAnsi="Google Sans Text"/>
          <w:b w:val="1"/>
          <w:bCs w:val="1"/>
          <w:color w:val="1f1f1f"/>
          <w:rtl w:val="0"/>
        </w:rPr>
        <w:t xml:space="preserve">67 specific metabolites</w:t>
      </w:r>
      <w:r w:rsidDel="00000000" w:rsidR="00000000" w:rsidRPr="00000000">
        <w:rPr>
          <w:rFonts w:ascii="Google Sans Text" w:cs="Google Sans Text" w:eastAsia="Google Sans Text" w:hAnsi="Google Sans Text"/>
          <w:color w:val="1f1f1f"/>
          <w:rtl w:val="0"/>
        </w:rPr>
        <w:t xml:space="preserve"> that robustly correlated with adherence to the Mediterranean diet.</w:t>
      </w:r>
    </w:p>
    <w:p w:rsidR="00000000" w:rsidDel="00000000" w:rsidP="00000000" w:rsidRDefault="00000000" w:rsidRPr="00000000" w14:paraId="00000075">
      <w:pPr>
        <w:widowControl w:val="0"/>
        <w:numPr>
          <w:ilvl w:val="0"/>
          <w:numId w:val="9"/>
        </w:numPr>
        <w:spacing w:after="0" w:afterAutospacing="0" w:before="24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metabolite signature was subsequently shown to have an inverse prospective association with cardiovascular events across multiple analyses (training set, internal replication set, and external validation in US cohorts).</w:t>
      </w:r>
    </w:p>
    <w:p w:rsidR="00000000" w:rsidDel="00000000" w:rsidP="00000000" w:rsidRDefault="00000000" w:rsidRPr="00000000" w14:paraId="00000076">
      <w:pPr>
        <w:widowControl w:val="0"/>
        <w:numPr>
          <w:ilvl w:val="0"/>
          <w:numId w:val="9"/>
        </w:numPr>
        <w:spacing w:after="240" w:before="0" w:before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Mendelian randomization analyses showed an inverse association between the genetic component of this signature and major outcomes like coronary heart disease and total stroke.</w:t>
      </w:r>
    </w:p>
    <w:p w:rsidR="00000000" w:rsidDel="00000000" w:rsidP="00000000" w:rsidRDefault="00000000" w:rsidRPr="00000000" w14:paraId="00000077">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work moves the field past simply observing diet-disease links to identifying the molecular pathways through which the MedDiet confers protection.</w:t>
      </w:r>
    </w:p>
    <w:p w:rsidR="00000000" w:rsidDel="00000000" w:rsidP="00000000" w:rsidRDefault="00000000" w:rsidRPr="00000000" w14:paraId="00000078">
      <w:pPr>
        <w:pStyle w:val="Heading2"/>
        <w:keepNext w:val="0"/>
        <w:keepLines w:val="0"/>
        <w:widowControl w:val="0"/>
        <w:spacing w:after="80" w:lineRule="auto"/>
        <w:rPr>
          <w:rFonts w:ascii="Google Sans Text" w:cs="Google Sans Text" w:eastAsia="Google Sans Text" w:hAnsi="Google Sans Text"/>
          <w:b w:val="1"/>
          <w:bCs w:val="1"/>
          <w:color w:val="1f1f1f"/>
          <w:sz w:val="34"/>
          <w:szCs w:val="34"/>
        </w:rPr>
      </w:pPr>
      <w:bookmarkStart w:colFirst="0" w:colLast="0" w:name="_atahbsa8iraw" w:id="10"/>
      <w:bookmarkEnd w:id="10"/>
      <w:r w:rsidDel="00000000" w:rsidR="00000000" w:rsidRPr="00000000">
        <w:rPr>
          <w:rFonts w:ascii="Google Sans Text" w:cs="Google Sans Text" w:eastAsia="Google Sans Text" w:hAnsi="Google Sans Text"/>
          <w:b w:val="1"/>
          <w:bCs w:val="1"/>
          <w:color w:val="1f1f1f"/>
          <w:sz w:val="34"/>
          <w:szCs w:val="34"/>
          <w:rtl w:val="0"/>
        </w:rPr>
        <w:t xml:space="preserve">5. Addressing Key Controversies</w:t>
      </w:r>
    </w:p>
    <w:tbl>
      <w:tblPr>
        <w:tblStyle w:val="Table4"/>
        <w:tblW w:w="1039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0"/>
        <w:gridCol w:w="5595"/>
        <w:tblGridChange w:id="0">
          <w:tblGrid>
            <w:gridCol w:w="4800"/>
            <w:gridCol w:w="5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after="240" w:before="240" w:lineRule="auto"/>
              <w:jc w:val="center"/>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Controversy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after="240" w:before="240" w:lineRule="auto"/>
              <w:jc w:val="center"/>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PREDIMED Investigators' Explanation (Project Insight)</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Intervention Intensity (Low-Fat Advice)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control group initially received low support (yearly leaflet). When the protocol was corrected in 2006 to match the intensity of the MedDiet groups (quarterly counseling), analysis of participants joining </w:t>
            </w:r>
            <w:r w:rsidDel="00000000" w:rsidR="00000000" w:rsidRPr="00000000">
              <w:rPr>
                <w:rFonts w:ascii="Google Sans Text" w:cs="Google Sans Text" w:eastAsia="Google Sans Text" w:hAnsi="Google Sans Text"/>
                <w:i w:val="1"/>
                <w:iCs w:val="1"/>
                <w:color w:val="1f1f1f"/>
                <w:rtl w:val="0"/>
              </w:rPr>
              <w:t xml:space="preserve">after</w:t>
            </w:r>
            <w:r w:rsidDel="00000000" w:rsidR="00000000" w:rsidRPr="00000000">
              <w:rPr>
                <w:rFonts w:ascii="Google Sans Text" w:cs="Google Sans Text" w:eastAsia="Google Sans Text" w:hAnsi="Google Sans Text"/>
                <w:color w:val="1f1f1f"/>
                <w:rtl w:val="0"/>
              </w:rPr>
              <w:t xml:space="preserve"> the correction showed an </w:t>
            </w:r>
            <w:r w:rsidDel="00000000" w:rsidR="00000000" w:rsidRPr="00000000">
              <w:rPr>
                <w:rFonts w:ascii="Google Sans Text" w:cs="Google Sans Text" w:eastAsia="Google Sans Text" w:hAnsi="Google Sans Text"/>
                <w:b w:val="1"/>
                <w:bCs w:val="1"/>
                <w:color w:val="1f1f1f"/>
                <w:rtl w:val="0"/>
              </w:rPr>
              <w:t xml:space="preserve">even stronger</w:t>
            </w:r>
            <w:r w:rsidDel="00000000" w:rsidR="00000000" w:rsidRPr="00000000">
              <w:rPr>
                <w:rFonts w:ascii="Google Sans Text" w:cs="Google Sans Text" w:eastAsia="Google Sans Text" w:hAnsi="Google Sans Text"/>
                <w:color w:val="1f1f1f"/>
                <w:rtl w:val="0"/>
              </w:rPr>
              <w:t xml:space="preserve"> MedDiet benefit (HR: 0.49) than those joining earlier (HR: 0.77). This confirmed the benefit was intrinsic to the MedDiet composition, not an artifact of poor control group support.</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Control Group Compliance (Low-Fat Intake)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Control group participants were older adults in a Mediterranean country where olive oil use is abundant, and the low palatability of recommended low-fat foods hindered compliance. The low retention rate in the control group is a result in itself, demonstrating the inherent difficulty of long-term compliance with restrictive low-fat diets compared to the MedDiet.</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Early Termination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trial was stopped after 4.8 years of a planned 6 years due to the </w:t>
            </w:r>
            <w:r w:rsidDel="00000000" w:rsidR="00000000" w:rsidRPr="00000000">
              <w:rPr>
                <w:rFonts w:ascii="Google Sans Text" w:cs="Google Sans Text" w:eastAsia="Google Sans Text" w:hAnsi="Google Sans Text"/>
                <w:b w:val="1"/>
                <w:bCs w:val="1"/>
                <w:color w:val="1f1f1f"/>
                <w:rtl w:val="0"/>
              </w:rPr>
              <w:t xml:space="preserve">overwhelming evidence of benefit</w:t>
            </w:r>
            <w:r w:rsidDel="00000000" w:rsidR="00000000" w:rsidRPr="00000000">
              <w:rPr>
                <w:rFonts w:ascii="Google Sans Text" w:cs="Google Sans Text" w:eastAsia="Google Sans Text" w:hAnsi="Google Sans Text"/>
                <w:color w:val="1f1f1f"/>
                <w:rtl w:val="0"/>
              </w:rPr>
              <w:t xml:space="preserve">, which was consistent with predicted benefits from prior observational data. Preplanned interim analyses, stopping rules, and the Data Safety and Monitoring Board assured the decision was ethical and transparent.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Control Group Diet Quality (Sugar/Carbohydrates)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control group was advised to consume whole-grain, not refined, carbohydrates. No significant differences in added sugars, refined carbohydrates, or potatoes were found at the end of the trial between the three intervention groups.</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Control Group Diet Quality (Fish/Omega-3)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control group maintained a high fish intake (median &gt;5 servings/week) and adequate long-chain omega-3 fatty acid intake (&gt;700 mg/d), well above the 500 mg/d threshold for cardiovascular protection. Therefore, restricted fatty fish intake did not explain the advantage of the MedDiet groups.</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Specific CVD Outcomes (Stroke vs. MI/Mortality)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trial was statistically powered only for the </w:t>
            </w:r>
            <w:r w:rsidDel="00000000" w:rsidR="00000000" w:rsidRPr="00000000">
              <w:rPr>
                <w:rFonts w:ascii="Google Sans Text" w:cs="Google Sans Text" w:eastAsia="Google Sans Text" w:hAnsi="Google Sans Text"/>
                <w:b w:val="1"/>
                <w:bCs w:val="1"/>
                <w:color w:val="1f1f1f"/>
                <w:rtl w:val="0"/>
              </w:rPr>
              <w:t xml:space="preserve">composite primary endpoint</w:t>
            </w:r>
            <w:r w:rsidDel="00000000" w:rsidR="00000000" w:rsidRPr="00000000">
              <w:rPr>
                <w:rFonts w:ascii="Google Sans Text" w:cs="Google Sans Text" w:eastAsia="Google Sans Text" w:hAnsi="Google Sans Text"/>
                <w:color w:val="1f1f1f"/>
                <w:rtl w:val="0"/>
              </w:rPr>
              <w:t xml:space="preserve">. While individual components (MI, stroke, CVD death) were not all statistically significant, their point estimates were consistently in the beneficial direction, and low statistical power explains the non-significant associations for individual components.</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All-Cause Mortality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sample size was estimated for the composite endpoint, not total mortality. Showing statistically significant results for total mortality requires a much larger sample size and a longer follow-up period due to a larger induction period from exposure to observable reduction in death.</w:t>
            </w:r>
          </w:p>
        </w:tc>
      </w:tr>
    </w:tbl>
    <w:p w:rsidR="00000000" w:rsidDel="00000000" w:rsidP="00000000" w:rsidRDefault="00000000" w:rsidRPr="00000000" w14:paraId="00000089">
      <w:pPr>
        <w:pStyle w:val="Heading2"/>
        <w:keepNext w:val="0"/>
        <w:keepLines w:val="0"/>
        <w:widowControl w:val="0"/>
        <w:spacing w:after="80" w:lineRule="auto"/>
        <w:rPr>
          <w:rFonts w:ascii="Google Sans Text" w:cs="Google Sans Text" w:eastAsia="Google Sans Text" w:hAnsi="Google Sans Text"/>
          <w:b w:val="1"/>
          <w:bCs w:val="1"/>
          <w:color w:val="1f1f1f"/>
          <w:sz w:val="34"/>
          <w:szCs w:val="34"/>
        </w:rPr>
      </w:pPr>
      <w:bookmarkStart w:colFirst="0" w:colLast="0" w:name="_v07vpl2txowx" w:id="11"/>
      <w:bookmarkEnd w:id="11"/>
      <w:r w:rsidDel="00000000" w:rsidR="00000000" w:rsidRPr="00000000">
        <w:rPr>
          <w:rFonts w:ascii="Google Sans Text" w:cs="Google Sans Text" w:eastAsia="Google Sans Text" w:hAnsi="Google Sans Text"/>
          <w:b w:val="1"/>
          <w:bCs w:val="1"/>
          <w:color w:val="1f1f1f"/>
          <w:sz w:val="34"/>
          <w:szCs w:val="34"/>
          <w:rtl w:val="0"/>
        </w:rPr>
        <w:t xml:space="preserve">6. External Validation and Risk of Bias Assessment</w:t>
      </w:r>
    </w:p>
    <w:p w:rsidR="00000000" w:rsidDel="00000000" w:rsidP="00000000" w:rsidRDefault="00000000" w:rsidRPr="00000000" w14:paraId="0000008A">
      <w:pPr>
        <w:pStyle w:val="Heading3"/>
        <w:keepNext w:val="0"/>
        <w:keepLines w:val="0"/>
        <w:widowControl w:val="0"/>
        <w:spacing w:before="280" w:lineRule="auto"/>
        <w:rPr>
          <w:rFonts w:ascii="Google Sans Text" w:cs="Google Sans Text" w:eastAsia="Google Sans Text" w:hAnsi="Google Sans Text"/>
          <w:b w:val="1"/>
          <w:bCs w:val="1"/>
          <w:color w:val="1f1f1f"/>
          <w:sz w:val="26"/>
          <w:szCs w:val="26"/>
        </w:rPr>
      </w:pPr>
      <w:bookmarkStart w:colFirst="0" w:colLast="0" w:name="_v2iemen36emo" w:id="12"/>
      <w:bookmarkEnd w:id="12"/>
      <w:r w:rsidDel="00000000" w:rsidR="00000000" w:rsidRPr="00000000">
        <w:rPr>
          <w:rFonts w:ascii="Google Sans Text" w:cs="Google Sans Text" w:eastAsia="Google Sans Text" w:hAnsi="Google Sans Text"/>
          <w:b w:val="1"/>
          <w:bCs w:val="1"/>
          <w:color w:val="1f1f1f"/>
          <w:sz w:val="26"/>
          <w:szCs w:val="26"/>
          <w:rtl w:val="0"/>
        </w:rPr>
        <w:t xml:space="preserve">6.1 The Carlisle Validation Approach</w:t>
      </w:r>
    </w:p>
    <w:p w:rsidR="00000000" w:rsidDel="00000000" w:rsidP="00000000" w:rsidRDefault="00000000" w:rsidRPr="00000000" w14:paraId="0000008B">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need for re-analysis following the discovery of the cluster randomization flaw led the PREDIMED investigators to perform a validation exercise similar to the re-randomization checks described by </w:t>
      </w:r>
      <w:r w:rsidDel="00000000" w:rsidR="00000000" w:rsidRPr="00000000">
        <w:rPr>
          <w:rFonts w:ascii="Google Sans Text" w:cs="Google Sans Text" w:eastAsia="Google Sans Text" w:hAnsi="Google Sans Text"/>
          <w:b w:val="1"/>
          <w:bCs w:val="1"/>
          <w:color w:val="1f1f1f"/>
          <w:rtl w:val="0"/>
        </w:rPr>
        <w:t xml:space="preserve">Carlisle</w:t>
      </w:r>
      <w:r w:rsidDel="00000000" w:rsidR="00000000" w:rsidRPr="00000000">
        <w:rPr>
          <w:rFonts w:ascii="Google Sans Text" w:cs="Google Sans Text" w:eastAsia="Google Sans Text" w:hAnsi="Google Sans Text"/>
          <w:color w:val="1f1f1f"/>
          <w:rtl w:val="0"/>
        </w:rPr>
        <w:t xml:space="preserve">. This comprehensive approach proved that the Hazard Ratios remained virtually unchanged, confirming that the core finding was robust, despite the initial randomization errors.</w:t>
      </w:r>
    </w:p>
    <w:p w:rsidR="00000000" w:rsidDel="00000000" w:rsidP="00000000" w:rsidRDefault="00000000" w:rsidRPr="00000000" w14:paraId="0000008C">
      <w:pPr>
        <w:pStyle w:val="Heading3"/>
        <w:keepNext w:val="0"/>
        <w:keepLines w:val="0"/>
        <w:widowControl w:val="0"/>
        <w:spacing w:before="280" w:lineRule="auto"/>
        <w:rPr>
          <w:rFonts w:ascii="Google Sans Text" w:cs="Google Sans Text" w:eastAsia="Google Sans Text" w:hAnsi="Google Sans Text"/>
          <w:b w:val="1"/>
          <w:bCs w:val="1"/>
          <w:color w:val="1f1f1f"/>
          <w:sz w:val="26"/>
          <w:szCs w:val="26"/>
        </w:rPr>
      </w:pPr>
      <w:bookmarkStart w:colFirst="0" w:colLast="0" w:name="_co6h0wlabibq" w:id="13"/>
      <w:bookmarkEnd w:id="13"/>
      <w:r w:rsidDel="00000000" w:rsidR="00000000" w:rsidRPr="00000000">
        <w:rPr>
          <w:rFonts w:ascii="Google Sans Text" w:cs="Google Sans Text" w:eastAsia="Google Sans Text" w:hAnsi="Google Sans Text"/>
          <w:b w:val="1"/>
          <w:bCs w:val="1"/>
          <w:color w:val="1f1f1f"/>
          <w:sz w:val="26"/>
          <w:szCs w:val="26"/>
          <w:rtl w:val="0"/>
        </w:rPr>
        <w:t xml:space="preserve">6.2 Application of the Cochrane Risk of Bias (RoB 2) Tool</w:t>
      </w:r>
    </w:p>
    <w:p w:rsidR="00000000" w:rsidDel="00000000" w:rsidP="00000000" w:rsidRDefault="00000000" w:rsidRPr="00000000" w14:paraId="0000008D">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Cochrane RoB 2 tool assesses bias across five domains in randomized trials. Based on the documented departures and methodological issues, the PREDIMED trial's risk of bias can be formally summarized:</w:t>
      </w:r>
    </w:p>
    <w:tbl>
      <w:tblPr>
        <w:tblStyle w:val="Table5"/>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2205"/>
        <w:gridCol w:w="4065"/>
        <w:tblGridChange w:id="0">
          <w:tblGrid>
            <w:gridCol w:w="3330"/>
            <w:gridCol w:w="2205"/>
            <w:gridCol w:w="406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after="240" w:before="240" w:lineRule="auto"/>
              <w:jc w:val="center"/>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after="240" w:before="240" w:lineRule="auto"/>
              <w:jc w:val="center"/>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Risk of Bias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after="240" w:before="240" w:lineRule="auto"/>
              <w:jc w:val="center"/>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Justification</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Bias arising from the randomization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High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randomization process failed due to multiple technical errors, including unblinded, </w:t>
            </w:r>
            <w:r w:rsidDel="00000000" w:rsidR="00000000" w:rsidRPr="00000000">
              <w:rPr>
                <w:rFonts w:ascii="Google Sans Text" w:cs="Google Sans Text" w:eastAsia="Google Sans Text" w:hAnsi="Google Sans Text"/>
                <w:b w:val="1"/>
                <w:bCs w:val="1"/>
                <w:color w:val="1f1f1f"/>
                <w:rtl w:val="0"/>
              </w:rPr>
              <w:t xml:space="preserve">local randomization tables</w:t>
            </w:r>
            <w:r w:rsidDel="00000000" w:rsidR="00000000" w:rsidRPr="00000000">
              <w:rPr>
                <w:rFonts w:ascii="Google Sans Text" w:cs="Google Sans Text" w:eastAsia="Google Sans Text" w:hAnsi="Google Sans Text"/>
                <w:color w:val="1f1f1f"/>
                <w:rtl w:val="0"/>
              </w:rPr>
              <w:t xml:space="preserve">, extensive use of </w:t>
            </w:r>
            <w:r w:rsidDel="00000000" w:rsidR="00000000" w:rsidRPr="00000000">
              <w:rPr>
                <w:rFonts w:ascii="Google Sans Text" w:cs="Google Sans Text" w:eastAsia="Google Sans Text" w:hAnsi="Google Sans Text"/>
                <w:b w:val="1"/>
                <w:bCs w:val="1"/>
                <w:color w:val="1f1f1f"/>
                <w:rtl w:val="0"/>
              </w:rPr>
              <w:t xml:space="preserve">cluster allocation</w:t>
            </w:r>
            <w:r w:rsidDel="00000000" w:rsidR="00000000" w:rsidRPr="00000000">
              <w:rPr>
                <w:rFonts w:ascii="Google Sans Text" w:cs="Google Sans Text" w:eastAsia="Google Sans Text" w:hAnsi="Google Sans Text"/>
                <w:color w:val="1f1f1f"/>
                <w:rtl w:val="0"/>
              </w:rPr>
              <w:t xml:space="preserve"> (violating independence), and failure to adequately </w:t>
            </w:r>
            <w:r w:rsidDel="00000000" w:rsidR="00000000" w:rsidRPr="00000000">
              <w:rPr>
                <w:rFonts w:ascii="Google Sans Text" w:cs="Google Sans Text" w:eastAsia="Google Sans Text" w:hAnsi="Google Sans Text"/>
                <w:b w:val="1"/>
                <w:bCs w:val="1"/>
                <w:color w:val="1f1f1f"/>
                <w:rtl w:val="0"/>
              </w:rPr>
              <w:t xml:space="preserve">stratify</w:t>
            </w:r>
            <w:r w:rsidDel="00000000" w:rsidR="00000000" w:rsidRPr="00000000">
              <w:rPr>
                <w:rFonts w:ascii="Google Sans Text" w:cs="Google Sans Text" w:eastAsia="Google Sans Text" w:hAnsi="Google Sans Text"/>
                <w:color w:val="1f1f1f"/>
                <w:rtl w:val="0"/>
              </w:rPr>
              <w:t xml:space="preserve"> by key baseline risk factors.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Bias due to deviations from intended interventions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Low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blinding of diet is impossible, the protocol was well-defined, and the </w:t>
            </w:r>
            <w:r w:rsidDel="00000000" w:rsidR="00000000" w:rsidRPr="00000000">
              <w:rPr>
                <w:rFonts w:ascii="Google Sans Text" w:cs="Google Sans Text" w:eastAsia="Google Sans Text" w:hAnsi="Google Sans Text"/>
                <w:b w:val="1"/>
                <w:bCs w:val="1"/>
                <w:color w:val="1f1f1f"/>
                <w:rtl w:val="0"/>
              </w:rPr>
              <w:t xml:space="preserve">primary outcome was adjudicated by a committee blinded</w:t>
            </w:r>
            <w:r w:rsidDel="00000000" w:rsidR="00000000" w:rsidRPr="00000000">
              <w:rPr>
                <w:rFonts w:ascii="Google Sans Text" w:cs="Google Sans Text" w:eastAsia="Google Sans Text" w:hAnsi="Google Sans Text"/>
                <w:color w:val="1f1f1f"/>
                <w:rtl w:val="0"/>
              </w:rPr>
              <w:t xml:space="preserve"> to the participants' assignment (minimizing detection bias).</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Bias due to missing outcome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High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trial exhibited significant </w:t>
            </w:r>
            <w:r w:rsidDel="00000000" w:rsidR="00000000" w:rsidRPr="00000000">
              <w:rPr>
                <w:rFonts w:ascii="Google Sans Text" w:cs="Google Sans Text" w:eastAsia="Google Sans Text" w:hAnsi="Google Sans Text"/>
                <w:b w:val="1"/>
                <w:bCs w:val="1"/>
                <w:color w:val="1f1f1f"/>
                <w:rtl w:val="0"/>
              </w:rPr>
              <w:t xml:space="preserve">differential dropout</w:t>
            </w:r>
            <w:r w:rsidDel="00000000" w:rsidR="00000000" w:rsidRPr="00000000">
              <w:rPr>
                <w:rFonts w:ascii="Google Sans Text" w:cs="Google Sans Text" w:eastAsia="Google Sans Text" w:hAnsi="Google Sans Text"/>
                <w:color w:val="1f1f1f"/>
                <w:rtl w:val="0"/>
              </w:rPr>
              <w:t xml:space="preserve"> (higher attrition in the control group). Although the investigators argue this bias would only obscure the beneficial results (bias toward the null), the non-random nature of the missing data remains a technical violation of the Intention-to-Treat principle.</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 Bias in measurement of the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Low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composite primary outcome (stroke, MI, CVD death) is an objective, "hard" outcome, and its assessment by the independent, </w:t>
            </w:r>
            <w:r w:rsidDel="00000000" w:rsidR="00000000" w:rsidRPr="00000000">
              <w:rPr>
                <w:rFonts w:ascii="Google Sans Text" w:cs="Google Sans Text" w:eastAsia="Google Sans Text" w:hAnsi="Google Sans Text"/>
                <w:b w:val="1"/>
                <w:bCs w:val="1"/>
                <w:color w:val="1f1f1f"/>
                <w:rtl w:val="0"/>
              </w:rPr>
              <w:t xml:space="preserve">blinded Events Adjudication Committee</w:t>
            </w:r>
            <w:r w:rsidDel="00000000" w:rsidR="00000000" w:rsidRPr="00000000">
              <w:rPr>
                <w:rFonts w:ascii="Google Sans Text" w:cs="Google Sans Text" w:eastAsia="Google Sans Text" w:hAnsi="Google Sans Text"/>
                <w:color w:val="1f1f1f"/>
                <w:rtl w:val="0"/>
              </w:rPr>
              <w:t xml:space="preserve"> ensured low risk of bias in measurement.</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5. Bias in selection of the reported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after="240" w:before="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Low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outcome was pre-specified in the protocol, and the re-analysis following the randomization concerns was conducted with </w:t>
            </w:r>
            <w:r w:rsidDel="00000000" w:rsidR="00000000" w:rsidRPr="00000000">
              <w:rPr>
                <w:rFonts w:ascii="Google Sans Text" w:cs="Google Sans Text" w:eastAsia="Google Sans Text" w:hAnsi="Google Sans Text"/>
                <w:b w:val="1"/>
                <w:bCs w:val="1"/>
                <w:color w:val="1f1f1f"/>
                <w:rtl w:val="0"/>
              </w:rPr>
              <w:t xml:space="preserve">complete transparency</w:t>
            </w:r>
            <w:r w:rsidDel="00000000" w:rsidR="00000000" w:rsidRPr="00000000">
              <w:rPr>
                <w:rFonts w:ascii="Google Sans Text" w:cs="Google Sans Text" w:eastAsia="Google Sans Text" w:hAnsi="Google Sans Text"/>
                <w:color w:val="1f1f1f"/>
                <w:rtl w:val="0"/>
              </w:rPr>
              <w:t xml:space="preserve">, with all statistical methods and results made public.</w:t>
            </w:r>
          </w:p>
        </w:tc>
      </w:tr>
    </w:tbl>
    <w:p w:rsidR="00000000" w:rsidDel="00000000" w:rsidP="00000000" w:rsidRDefault="00000000" w:rsidRPr="00000000" w14:paraId="000000A0">
      <w:pPr>
        <w:pStyle w:val="Heading2"/>
        <w:keepNext w:val="0"/>
        <w:keepLines w:val="0"/>
        <w:widowControl w:val="0"/>
        <w:spacing w:after="80" w:lineRule="auto"/>
        <w:rPr>
          <w:rFonts w:ascii="Google Sans Text" w:cs="Google Sans Text" w:eastAsia="Google Sans Text" w:hAnsi="Google Sans Text"/>
          <w:b w:val="1"/>
          <w:bCs w:val="1"/>
          <w:color w:val="1f1f1f"/>
          <w:sz w:val="34"/>
          <w:szCs w:val="34"/>
        </w:rPr>
      </w:pPr>
      <w:bookmarkStart w:colFirst="0" w:colLast="0" w:name="_tyf4p36jnoam" w:id="14"/>
      <w:bookmarkEnd w:id="14"/>
      <w:r w:rsidDel="00000000" w:rsidR="00000000" w:rsidRPr="00000000">
        <w:rPr>
          <w:rFonts w:ascii="Google Sans Text" w:cs="Google Sans Text" w:eastAsia="Google Sans Text" w:hAnsi="Google Sans Text"/>
          <w:b w:val="1"/>
          <w:bCs w:val="1"/>
          <w:color w:val="1f1f1f"/>
          <w:sz w:val="34"/>
          <w:szCs w:val="34"/>
          <w:rtl w:val="0"/>
        </w:rPr>
        <w:t xml:space="preserve">7. External Validity: The Strength of Consistency Against Methodological Flaws</w:t>
      </w:r>
    </w:p>
    <w:p w:rsidR="00000000" w:rsidDel="00000000" w:rsidP="00000000" w:rsidRDefault="00000000" w:rsidRPr="00000000" w14:paraId="000000A1">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defense of the PREDIMED findings, particularly in light of the high risk of bias identified in Section 6, lies in the trial's </w:t>
      </w:r>
      <w:r w:rsidDel="00000000" w:rsidR="00000000" w:rsidRPr="00000000">
        <w:rPr>
          <w:rFonts w:ascii="Google Sans Text" w:cs="Google Sans Text" w:eastAsia="Google Sans Text" w:hAnsi="Google Sans Text"/>
          <w:b w:val="1"/>
          <w:bCs w:val="1"/>
          <w:color w:val="1f1f1f"/>
          <w:rtl w:val="0"/>
        </w:rPr>
        <w:t xml:space="preserve">external validity</w:t>
      </w:r>
      <w:r w:rsidDel="00000000" w:rsidR="00000000" w:rsidRPr="00000000">
        <w:rPr>
          <w:rFonts w:ascii="Google Sans Text" w:cs="Google Sans Text" w:eastAsia="Google Sans Text" w:hAnsi="Google Sans Text"/>
          <w:color w:val="1f1f1f"/>
          <w:rtl w:val="0"/>
        </w:rPr>
        <w:t xml:space="preserve"> and the consistency of its results with the broader body of epidemiological and interventional evidence. The project theme—evaluating trial integrity—demands a clear understanding of how these results hold up outside the trial's specific context.</w:t>
      </w:r>
    </w:p>
    <w:p w:rsidR="00000000" w:rsidDel="00000000" w:rsidP="00000000" w:rsidRDefault="00000000" w:rsidRPr="00000000" w14:paraId="000000A2">
      <w:pPr>
        <w:pStyle w:val="Heading3"/>
        <w:keepNext w:val="0"/>
        <w:keepLines w:val="0"/>
        <w:widowControl w:val="0"/>
        <w:spacing w:before="280" w:lineRule="auto"/>
        <w:rPr>
          <w:rFonts w:ascii="Google Sans Text" w:cs="Google Sans Text" w:eastAsia="Google Sans Text" w:hAnsi="Google Sans Text"/>
          <w:b w:val="1"/>
          <w:bCs w:val="1"/>
          <w:color w:val="1f1f1f"/>
          <w:sz w:val="26"/>
          <w:szCs w:val="26"/>
        </w:rPr>
      </w:pPr>
      <w:bookmarkStart w:colFirst="0" w:colLast="0" w:name="_o3hccny8b0rt" w:id="15"/>
      <w:bookmarkEnd w:id="15"/>
      <w:r w:rsidDel="00000000" w:rsidR="00000000" w:rsidRPr="00000000">
        <w:rPr>
          <w:rFonts w:ascii="Google Sans Text" w:cs="Google Sans Text" w:eastAsia="Google Sans Text" w:hAnsi="Google Sans Text"/>
          <w:b w:val="1"/>
          <w:bCs w:val="1"/>
          <w:color w:val="1f1f1f"/>
          <w:sz w:val="26"/>
          <w:szCs w:val="26"/>
          <w:rtl w:val="0"/>
        </w:rPr>
        <w:t xml:space="preserve">7.1 Consistency of the Protective Effect</w:t>
      </w:r>
    </w:p>
    <w:p w:rsidR="00000000" w:rsidDel="00000000" w:rsidP="00000000" w:rsidRDefault="00000000" w:rsidRPr="00000000" w14:paraId="000000A3">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true measure of PREDIMED's integrity is not just its internal re-analysis, but the fact that its core findings are replicated across diverse populations and study designs. When PREDIMED is pooled with other major randomized controlled trials (RCTs) and large, long-term prospective cohorts, a coherent picture emerges.</w:t>
      </w:r>
    </w:p>
    <w:p w:rsidR="00000000" w:rsidDel="00000000" w:rsidP="00000000" w:rsidRDefault="00000000" w:rsidRPr="00000000" w14:paraId="000000A4">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summarized in meta-analyses, the protective effect of the Mediterranean Diet is consistently validated:</w:t>
      </w:r>
    </w:p>
    <w:p w:rsidR="00000000" w:rsidDel="00000000" w:rsidP="00000000" w:rsidRDefault="00000000" w:rsidRPr="00000000" w14:paraId="000000A5">
      <w:pPr>
        <w:widowControl w:val="0"/>
        <w:numPr>
          <w:ilvl w:val="0"/>
          <w:numId w:val="1"/>
        </w:numPr>
        <w:spacing w:after="0" w:afterAutospacing="0" w:before="24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Total CVD Incidence (Pooled RCTs):</w:t>
      </w:r>
      <w:r w:rsidDel="00000000" w:rsidR="00000000" w:rsidRPr="00000000">
        <w:rPr>
          <w:rFonts w:ascii="Google Sans Text" w:cs="Google Sans Text" w:eastAsia="Google Sans Text" w:hAnsi="Google Sans Text"/>
          <w:color w:val="1f1f1f"/>
          <w:rtl w:val="0"/>
        </w:rPr>
        <w:t xml:space="preserve"> The overall pooled Risk Ratio (RR) is approximately 0.62 (95\% CI, 0.50, 0.76), indicating a substantial and consistently found 38\% relative reduction in total CVD incidence.</w:t>
      </w:r>
    </w:p>
    <w:p w:rsidR="00000000" w:rsidDel="00000000" w:rsidP="00000000" w:rsidRDefault="00000000" w:rsidRPr="00000000" w14:paraId="000000A6">
      <w:pPr>
        <w:widowControl w:val="0"/>
        <w:numPr>
          <w:ilvl w:val="0"/>
          <w:numId w:val="1"/>
        </w:numPr>
        <w:spacing w:after="0" w:afterAutospacing="0" w:before="0" w:before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Coronary Heart Disease (CHD) Incidence (Pooled RCTs):</w:t>
      </w:r>
      <w:r w:rsidDel="00000000" w:rsidR="00000000" w:rsidRPr="00000000">
        <w:rPr>
          <w:rFonts w:ascii="Google Sans Text" w:cs="Google Sans Text" w:eastAsia="Google Sans Text" w:hAnsi="Google Sans Text"/>
          <w:color w:val="1f1f1f"/>
          <w:rtl w:val="0"/>
        </w:rPr>
        <w:t xml:space="preserve"> The effect is even stronger for CHD events, with a pooled RR of approximately 0.50 (95\% CI, 0.33, 0.71).</w:t>
      </w:r>
    </w:p>
    <w:p w:rsidR="00000000" w:rsidDel="00000000" w:rsidP="00000000" w:rsidRDefault="00000000" w:rsidRPr="00000000" w14:paraId="000000A7">
      <w:pPr>
        <w:widowControl w:val="0"/>
        <w:numPr>
          <w:ilvl w:val="0"/>
          <w:numId w:val="1"/>
        </w:numPr>
        <w:spacing w:after="240" w:before="0" w:before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Stroke Incidence (Pooled RCTs):</w:t>
      </w:r>
      <w:r w:rsidDel="00000000" w:rsidR="00000000" w:rsidRPr="00000000">
        <w:rPr>
          <w:rFonts w:ascii="Google Sans Text" w:cs="Google Sans Text" w:eastAsia="Google Sans Text" w:hAnsi="Google Sans Text"/>
          <w:color w:val="1f1f1f"/>
          <w:rtl w:val="0"/>
        </w:rPr>
        <w:t xml:space="preserve"> The pooled RR for stroke incidence is approximately 0.68 (95\% CI, 0.42, 0.91).</w:t>
      </w:r>
    </w:p>
    <w:p w:rsidR="00000000" w:rsidDel="00000000" w:rsidP="00000000" w:rsidRDefault="00000000" w:rsidRPr="00000000" w14:paraId="000000A8">
      <w:pPr>
        <w:pStyle w:val="Heading3"/>
        <w:keepNext w:val="0"/>
        <w:keepLines w:val="0"/>
        <w:widowControl w:val="0"/>
        <w:spacing w:before="280" w:lineRule="auto"/>
        <w:rPr>
          <w:rFonts w:ascii="Google Sans Text" w:cs="Google Sans Text" w:eastAsia="Google Sans Text" w:hAnsi="Google Sans Text"/>
          <w:b w:val="1"/>
          <w:bCs w:val="1"/>
          <w:color w:val="1f1f1f"/>
          <w:sz w:val="26"/>
          <w:szCs w:val="26"/>
        </w:rPr>
      </w:pPr>
      <w:bookmarkStart w:colFirst="0" w:colLast="0" w:name="_uhegd0tqz6t9" w:id="16"/>
      <w:bookmarkEnd w:id="16"/>
      <w:r w:rsidDel="00000000" w:rsidR="00000000" w:rsidRPr="00000000">
        <w:rPr>
          <w:rFonts w:ascii="Google Sans Text" w:cs="Google Sans Text" w:eastAsia="Google Sans Text" w:hAnsi="Google Sans Text"/>
          <w:b w:val="1"/>
          <w:bCs w:val="1"/>
          <w:color w:val="1f1f1f"/>
          <w:sz w:val="26"/>
          <w:szCs w:val="26"/>
          <w:rtl w:val="0"/>
        </w:rPr>
        <w:t xml:space="preserve">7.2 Mitigation of Internal Bias through Coherent Evidence</w:t>
      </w:r>
    </w:p>
    <w:p w:rsidR="00000000" w:rsidDel="00000000" w:rsidP="00000000" w:rsidRDefault="00000000" w:rsidRPr="00000000" w14:paraId="000000A9">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consistent finding of a protective effect (Risk Ratios &lt; 1.0) across multiple, independent studies is fundamentally important because it addresses the internal biases of PREDIMED:</w:t>
      </w:r>
    </w:p>
    <w:p w:rsidR="00000000" w:rsidDel="00000000" w:rsidP="00000000" w:rsidRDefault="00000000" w:rsidRPr="00000000" w14:paraId="000000AA">
      <w:pPr>
        <w:widowControl w:val="0"/>
        <w:numPr>
          <w:ilvl w:val="0"/>
          <w:numId w:val="4"/>
        </w:numPr>
        <w:spacing w:after="0" w:afterAutospacing="0" w:before="24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Addressing Randomization Bias:</w:t>
      </w:r>
      <w:r w:rsidDel="00000000" w:rsidR="00000000" w:rsidRPr="00000000">
        <w:rPr>
          <w:rFonts w:ascii="Google Sans Text" w:cs="Google Sans Text" w:eastAsia="Google Sans Text" w:hAnsi="Google Sans Text"/>
          <w:color w:val="1f1f1f"/>
          <w:rtl w:val="0"/>
        </w:rPr>
        <w:t xml:space="preserve"> While PREDIMED’s randomization was flawed, the fact that other, perhaps cleaner, RCTs and observational studies—using entirely different methods—arrive at the same conclusion strongly suggests the randomization errors did not </w:t>
      </w:r>
      <w:r w:rsidDel="00000000" w:rsidR="00000000" w:rsidRPr="00000000">
        <w:rPr>
          <w:rFonts w:ascii="Google Sans Text" w:cs="Google Sans Text" w:eastAsia="Google Sans Text" w:hAnsi="Google Sans Text"/>
          <w:i w:val="1"/>
          <w:iCs w:val="1"/>
          <w:color w:val="1f1f1f"/>
          <w:rtl w:val="0"/>
        </w:rPr>
        <w:t xml:space="preserve">create</w:t>
      </w:r>
      <w:r w:rsidDel="00000000" w:rsidR="00000000" w:rsidRPr="00000000">
        <w:rPr>
          <w:rFonts w:ascii="Google Sans Text" w:cs="Google Sans Text" w:eastAsia="Google Sans Text" w:hAnsi="Google Sans Text"/>
          <w:color w:val="1f1f1f"/>
          <w:rtl w:val="0"/>
        </w:rPr>
        <w:t xml:space="preserve"> a spurious positive result.</w:t>
      </w:r>
    </w:p>
    <w:p w:rsidR="00000000" w:rsidDel="00000000" w:rsidP="00000000" w:rsidRDefault="00000000" w:rsidRPr="00000000" w14:paraId="000000AB">
      <w:pPr>
        <w:widowControl w:val="0"/>
        <w:numPr>
          <w:ilvl w:val="0"/>
          <w:numId w:val="4"/>
        </w:numPr>
        <w:spacing w:after="240" w:before="0" w:before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Addressing Attrition Bias:</w:t>
      </w:r>
      <w:r w:rsidDel="00000000" w:rsidR="00000000" w:rsidRPr="00000000">
        <w:rPr>
          <w:rFonts w:ascii="Google Sans Text" w:cs="Google Sans Text" w:eastAsia="Google Sans Text" w:hAnsi="Google Sans Text"/>
          <w:color w:val="1f1f1f"/>
          <w:rtl w:val="0"/>
        </w:rPr>
        <w:t xml:space="preserve"> The high, differential dropout in PREDIMED's control group introduced uncertainty. However, the external evidence confirms that the magnitude of the observed effect in PREDIMED is highly plausible and is not an outlier driven solely by the trial's internal defects.</w:t>
      </w:r>
    </w:p>
    <w:p w:rsidR="00000000" w:rsidDel="00000000" w:rsidP="00000000" w:rsidRDefault="00000000" w:rsidRPr="00000000" w14:paraId="000000AC">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essence, the broader evidence base serves as the ultimate </w:t>
      </w:r>
      <w:r w:rsidDel="00000000" w:rsidR="00000000" w:rsidRPr="00000000">
        <w:rPr>
          <w:rFonts w:ascii="Google Sans Text" w:cs="Google Sans Text" w:eastAsia="Google Sans Text" w:hAnsi="Google Sans Text"/>
          <w:b w:val="1"/>
          <w:bCs w:val="1"/>
          <w:color w:val="1f1f1f"/>
          <w:rtl w:val="0"/>
        </w:rPr>
        <w:t xml:space="preserve">external validation layer</w:t>
      </w:r>
      <w:r w:rsidDel="00000000" w:rsidR="00000000" w:rsidRPr="00000000">
        <w:rPr>
          <w:rFonts w:ascii="Google Sans Text" w:cs="Google Sans Text" w:eastAsia="Google Sans Text" w:hAnsi="Google Sans Text"/>
          <w:color w:val="1f1f1f"/>
          <w:rtl w:val="0"/>
        </w:rPr>
        <w:t xml:space="preserve"> for PREDIMED. It confirms that the observed biological effect of the Mediterranean Diet is real, powerful, and generalizable, thus anchoring the findings of the methodologically imperfect PREDIMED trial to established scientific consensus.</w:t>
      </w:r>
    </w:p>
    <w:p w:rsidR="00000000" w:rsidDel="00000000" w:rsidP="00000000" w:rsidRDefault="00000000" w:rsidRPr="00000000" w14:paraId="000000AD">
      <w:pPr>
        <w:pStyle w:val="Heading2"/>
        <w:keepNext w:val="0"/>
        <w:keepLines w:val="0"/>
        <w:widowControl w:val="0"/>
        <w:spacing w:after="80" w:lineRule="auto"/>
        <w:rPr>
          <w:rFonts w:ascii="Google Sans Text" w:cs="Google Sans Text" w:eastAsia="Google Sans Text" w:hAnsi="Google Sans Text"/>
          <w:b w:val="1"/>
          <w:bCs w:val="1"/>
          <w:color w:val="1f1f1f"/>
          <w:sz w:val="34"/>
          <w:szCs w:val="34"/>
        </w:rPr>
      </w:pPr>
      <w:bookmarkStart w:colFirst="0" w:colLast="0" w:name="_6bnm51o9goxu" w:id="17"/>
      <w:bookmarkEnd w:id="17"/>
      <w:r w:rsidDel="00000000" w:rsidR="00000000" w:rsidRPr="00000000">
        <w:rPr>
          <w:rFonts w:ascii="Google Sans Text" w:cs="Google Sans Text" w:eastAsia="Google Sans Text" w:hAnsi="Google Sans Text"/>
          <w:b w:val="1"/>
          <w:bCs w:val="1"/>
          <w:color w:val="1f1f1f"/>
          <w:sz w:val="34"/>
          <w:szCs w:val="34"/>
          <w:rtl w:val="0"/>
        </w:rPr>
        <w:t xml:space="preserve">8. Summary of Methodological Challenges and Trial Integrity</w:t>
      </w:r>
    </w:p>
    <w:p w:rsidR="00000000" w:rsidDel="00000000" w:rsidP="00000000" w:rsidRDefault="00000000" w:rsidRPr="00000000" w14:paraId="000000AE">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Despite its compelling clinical findings, the PREDIMED trial’s internal validity was severely tested by a series of technical failures in its randomization methodology. These flaws, which required extensive post-hoc correction and led to a major re-publication, highlight critical vulnerabilities in large-scale dietary trials.</w:t>
      </w:r>
    </w:p>
    <w:p w:rsidR="00000000" w:rsidDel="00000000" w:rsidP="00000000" w:rsidRDefault="00000000" w:rsidRPr="00000000" w14:paraId="000000AF">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technical failures included:</w:t>
      </w:r>
    </w:p>
    <w:p w:rsidR="00000000" w:rsidDel="00000000" w:rsidP="00000000" w:rsidRDefault="00000000" w:rsidRPr="00000000" w14:paraId="000000B0">
      <w:pPr>
        <w:widowControl w:val="0"/>
        <w:numPr>
          <w:ilvl w:val="0"/>
          <w:numId w:val="8"/>
        </w:numPr>
        <w:spacing w:after="0" w:afterAutospacing="0" w:before="24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Violation of Statistical Independence (Cluster Allocation):</w:t>
      </w:r>
      <w:r w:rsidDel="00000000" w:rsidR="00000000" w:rsidRPr="00000000">
        <w:rPr>
          <w:rFonts w:ascii="Google Sans Text" w:cs="Google Sans Text" w:eastAsia="Google Sans Text" w:hAnsi="Google Sans Text"/>
          <w:color w:val="1f1f1f"/>
          <w:rtl w:val="0"/>
        </w:rPr>
        <w:t xml:space="preserve"> A significant portion of participants were assigned by cluster (household or clinic) instead of individually. This violated the core statistical assumption of independent observations, leading to an initial </w:t>
      </w:r>
      <w:r w:rsidDel="00000000" w:rsidR="00000000" w:rsidRPr="00000000">
        <w:rPr>
          <w:rFonts w:ascii="Google Sans Text" w:cs="Google Sans Text" w:eastAsia="Google Sans Text" w:hAnsi="Google Sans Text"/>
          <w:b w:val="1"/>
          <w:bCs w:val="1"/>
          <w:color w:val="1f1f1f"/>
          <w:rtl w:val="0"/>
        </w:rPr>
        <w:t xml:space="preserve">underestimation of standard errors (SEs)</w:t>
      </w:r>
      <w:r w:rsidDel="00000000" w:rsidR="00000000" w:rsidRPr="00000000">
        <w:rPr>
          <w:rFonts w:ascii="Google Sans Text" w:cs="Google Sans Text" w:eastAsia="Google Sans Text" w:hAnsi="Google Sans Text"/>
          <w:color w:val="1f1f1f"/>
          <w:rtl w:val="0"/>
        </w:rPr>
        <w:t xml:space="preserve"> and potentially inflating statistical significance (P-values).</w:t>
      </w:r>
    </w:p>
    <w:p w:rsidR="00000000" w:rsidDel="00000000" w:rsidP="00000000" w:rsidRDefault="00000000" w:rsidRPr="00000000" w14:paraId="000000B1">
      <w:pPr>
        <w:widowControl w:val="0"/>
        <w:numPr>
          <w:ilvl w:val="0"/>
          <w:numId w:val="8"/>
        </w:numPr>
        <w:spacing w:after="0" w:afterAutospacing="0" w:before="0" w:before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Compromised Allocation Concealment:</w:t>
      </w:r>
      <w:r w:rsidDel="00000000" w:rsidR="00000000" w:rsidRPr="00000000">
        <w:rPr>
          <w:rFonts w:ascii="Google Sans Text" w:cs="Google Sans Text" w:eastAsia="Google Sans Text" w:hAnsi="Google Sans Text"/>
          <w:color w:val="1f1f1f"/>
          <w:rtl w:val="0"/>
        </w:rPr>
        <w:t xml:space="preserve"> The use of unblinded, locally generated randomization tables at several sites destroyed </w:t>
      </w:r>
      <w:r w:rsidDel="00000000" w:rsidR="00000000" w:rsidRPr="00000000">
        <w:rPr>
          <w:rFonts w:ascii="Google Sans Text" w:cs="Google Sans Text" w:eastAsia="Google Sans Text" w:hAnsi="Google Sans Text"/>
          <w:b w:val="1"/>
          <w:bCs w:val="1"/>
          <w:color w:val="1f1f1f"/>
          <w:rtl w:val="0"/>
        </w:rPr>
        <w:t xml:space="preserve">allocation concealment</w:t>
      </w:r>
      <w:r w:rsidDel="00000000" w:rsidR="00000000" w:rsidRPr="00000000">
        <w:rPr>
          <w:rFonts w:ascii="Google Sans Text" w:cs="Google Sans Text" w:eastAsia="Google Sans Text" w:hAnsi="Google Sans Text"/>
          <w:color w:val="1f1f1f"/>
          <w:rtl w:val="0"/>
        </w:rPr>
        <w:t xml:space="preserve">, introducing the high risk of </w:t>
      </w:r>
      <w:r w:rsidDel="00000000" w:rsidR="00000000" w:rsidRPr="00000000">
        <w:rPr>
          <w:rFonts w:ascii="Google Sans Text" w:cs="Google Sans Text" w:eastAsia="Google Sans Text" w:hAnsi="Google Sans Text"/>
          <w:b w:val="1"/>
          <w:bCs w:val="1"/>
          <w:color w:val="1f1f1f"/>
          <w:rtl w:val="0"/>
        </w:rPr>
        <w:t xml:space="preserve">selection bias</w:t>
      </w:r>
      <w:r w:rsidDel="00000000" w:rsidR="00000000" w:rsidRPr="00000000">
        <w:rPr>
          <w:rFonts w:ascii="Google Sans Text" w:cs="Google Sans Text" w:eastAsia="Google Sans Text" w:hAnsi="Google Sans Text"/>
          <w:color w:val="1f1f1f"/>
          <w:rtl w:val="0"/>
        </w:rPr>
        <w:t xml:space="preserve"> as investigators could potentially anticipate the next group assignment.</w:t>
      </w:r>
    </w:p>
    <w:p w:rsidR="00000000" w:rsidDel="00000000" w:rsidP="00000000" w:rsidRDefault="00000000" w:rsidRPr="00000000" w14:paraId="000000B2">
      <w:pPr>
        <w:widowControl w:val="0"/>
        <w:numPr>
          <w:ilvl w:val="0"/>
          <w:numId w:val="8"/>
        </w:numPr>
        <w:spacing w:after="0" w:afterAutospacing="0" w:before="0" w:before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Group Imbalance and Confounding:</w:t>
      </w:r>
      <w:r w:rsidDel="00000000" w:rsidR="00000000" w:rsidRPr="00000000">
        <w:rPr>
          <w:rFonts w:ascii="Google Sans Text" w:cs="Google Sans Text" w:eastAsia="Google Sans Text" w:hAnsi="Google Sans Text"/>
          <w:color w:val="1f1f1f"/>
          <w:rtl w:val="0"/>
        </w:rPr>
        <w:t xml:space="preserve"> The randomization failed to adequately stratify participants by key prognostic variables, resulting in unbalanced baseline characteristics (Stratification Failure). While statistical adjustment was successful, this introduced the risk of </w:t>
      </w:r>
      <w:r w:rsidDel="00000000" w:rsidR="00000000" w:rsidRPr="00000000">
        <w:rPr>
          <w:rFonts w:ascii="Google Sans Text" w:cs="Google Sans Text" w:eastAsia="Google Sans Text" w:hAnsi="Google Sans Text"/>
          <w:b w:val="1"/>
          <w:bCs w:val="1"/>
          <w:color w:val="1f1f1f"/>
          <w:rtl w:val="0"/>
        </w:rPr>
        <w:t xml:space="preserve">residual confounding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3">
      <w:pPr>
        <w:widowControl w:val="0"/>
        <w:numPr>
          <w:ilvl w:val="0"/>
          <w:numId w:val="8"/>
        </w:numPr>
        <w:spacing w:after="240" w:before="0" w:before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Attrition Bias: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Differential dropout</w:t>
      </w:r>
      <w:r w:rsidDel="00000000" w:rsidR="00000000" w:rsidRPr="00000000">
        <w:rPr>
          <w:rFonts w:ascii="Google Sans Text" w:cs="Google Sans Text" w:eastAsia="Google Sans Text" w:hAnsi="Google Sans Text"/>
          <w:color w:val="1f1f1f"/>
          <w:rtl w:val="0"/>
        </w:rPr>
        <w:t xml:space="preserve"> (higher loss to follow-up in the control group) introduced </w:t>
      </w:r>
      <w:r w:rsidDel="00000000" w:rsidR="00000000" w:rsidRPr="00000000">
        <w:rPr>
          <w:rFonts w:ascii="Google Sans Text" w:cs="Google Sans Text" w:eastAsia="Google Sans Text" w:hAnsi="Google Sans Text"/>
          <w:b w:val="1"/>
          <w:bCs w:val="1"/>
          <w:color w:val="1f1f1f"/>
          <w:rtl w:val="0"/>
        </w:rPr>
        <w:t xml:space="preserve">attrition bias</w:t>
      </w:r>
      <w:r w:rsidDel="00000000" w:rsidR="00000000" w:rsidRPr="00000000">
        <w:rPr>
          <w:rFonts w:ascii="Google Sans Text" w:cs="Google Sans Text" w:eastAsia="Google Sans Text" w:hAnsi="Google Sans Text"/>
          <w:color w:val="1f1f1f"/>
          <w:rtl w:val="0"/>
        </w:rPr>
        <w:t xml:space="preserve">. Although the investigators successfully argued this bias was likely directed </w:t>
      </w:r>
      <w:r w:rsidDel="00000000" w:rsidR="00000000" w:rsidRPr="00000000">
        <w:rPr>
          <w:rFonts w:ascii="Google Sans Text" w:cs="Google Sans Text" w:eastAsia="Google Sans Text" w:hAnsi="Google Sans Text"/>
          <w:i w:val="1"/>
          <w:iCs w:val="1"/>
          <w:color w:val="1f1f1f"/>
          <w:rtl w:val="0"/>
        </w:rPr>
        <w:t xml:space="preserve">against</w:t>
      </w:r>
      <w:r w:rsidDel="00000000" w:rsidR="00000000" w:rsidRPr="00000000">
        <w:rPr>
          <w:rFonts w:ascii="Google Sans Text" w:cs="Google Sans Text" w:eastAsia="Google Sans Text" w:hAnsi="Google Sans Text"/>
          <w:color w:val="1f1f1f"/>
          <w:rtl w:val="0"/>
        </w:rPr>
        <w:t xml:space="preserve"> finding a MedDiet benefit (bias toward the null), it fundamentally undermined the strict </w:t>
      </w:r>
      <w:r w:rsidDel="00000000" w:rsidR="00000000" w:rsidRPr="00000000">
        <w:rPr>
          <w:rFonts w:ascii="Google Sans Text" w:cs="Google Sans Text" w:eastAsia="Google Sans Text" w:hAnsi="Google Sans Text"/>
          <w:b w:val="1"/>
          <w:bCs w:val="1"/>
          <w:color w:val="1f1f1f"/>
          <w:rtl w:val="0"/>
        </w:rPr>
        <w:t xml:space="preserve">Intention-to-Treat</w:t>
      </w:r>
      <w:r w:rsidDel="00000000" w:rsidR="00000000" w:rsidRPr="00000000">
        <w:rPr>
          <w:rFonts w:ascii="Google Sans Text" w:cs="Google Sans Text" w:eastAsia="Google Sans Text" w:hAnsi="Google Sans Text"/>
          <w:color w:val="1f1f1f"/>
          <w:rtl w:val="0"/>
        </w:rPr>
        <w:t xml:space="preserve"> principle.</w:t>
      </w:r>
    </w:p>
    <w:p w:rsidR="00000000" w:rsidDel="00000000" w:rsidP="00000000" w:rsidRDefault="00000000" w:rsidRPr="00000000" w14:paraId="000000B4">
      <w:pPr>
        <w:widowControl w:val="0"/>
        <w:spacing w:after="240" w:before="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summary, the PREDIMED experience underscores the necessity of strictly centralized, automated, and concealed allocation mechanisms in clinical trials. While the subsequent robust re-analysis, employing techniques like the cluster-adjusted variance, successfully confirmed the </w:t>
      </w:r>
      <w:r w:rsidDel="00000000" w:rsidR="00000000" w:rsidRPr="00000000">
        <w:rPr>
          <w:rFonts w:ascii="Google Sans Text" w:cs="Google Sans Text" w:eastAsia="Google Sans Text" w:hAnsi="Google Sans Text"/>
          <w:i w:val="1"/>
          <w:iCs w:val="1"/>
          <w:color w:val="1f1f1f"/>
          <w:rtl w:val="0"/>
        </w:rPr>
        <w:t xml:space="preserve">direction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significance</w:t>
      </w:r>
      <w:r w:rsidDel="00000000" w:rsidR="00000000" w:rsidRPr="00000000">
        <w:rPr>
          <w:rFonts w:ascii="Google Sans Text" w:cs="Google Sans Text" w:eastAsia="Google Sans Text" w:hAnsi="Google Sans Text"/>
          <w:color w:val="1f1f1f"/>
          <w:rtl w:val="0"/>
        </w:rPr>
        <w:t xml:space="preserve"> of the Mediterranean Diet's protective effect, the initial procedural failures serve as a crucial case study in trial integrity and the dangers of non-adherence to randomization protocols.</w:t>
      </w:r>
    </w:p>
    <w:p w:rsidR="00000000" w:rsidDel="00000000" w:rsidP="00000000" w:rsidRDefault="00000000" w:rsidRPr="00000000" w14:paraId="000000B5">
      <w:pPr>
        <w:numPr>
          <w:ilvl w:val="0"/>
          <w:numId w:val="5"/>
        </w:numPr>
        <w:ind w:left="720" w:hanging="360"/>
      </w:pPr>
      <w:hyperlink r:id="rId10">
        <w:r w:rsidDel="00000000" w:rsidR="00000000" w:rsidRPr="00000000">
          <w:rPr>
            <w:color w:val="1155cc"/>
            <w:u w:val="single"/>
            <w:rtl w:val="0"/>
          </w:rPr>
          <w:t xml:space="preserve">https://www.sciencedirect.com/science/article/pii/S0015028220303460</w:t>
        </w:r>
      </w:hyperlink>
      <w:r w:rsidDel="00000000" w:rsidR="00000000" w:rsidRPr="00000000">
        <w:rPr>
          <w:rtl w:val="0"/>
        </w:rPr>
      </w:r>
    </w:p>
    <w:p w:rsidR="00000000" w:rsidDel="00000000" w:rsidP="00000000" w:rsidRDefault="00000000" w:rsidRPr="00000000" w14:paraId="000000B6">
      <w:pPr>
        <w:numPr>
          <w:ilvl w:val="0"/>
          <w:numId w:val="5"/>
        </w:numPr>
        <w:ind w:left="720" w:hanging="360"/>
      </w:pPr>
      <w:hyperlink r:id="rId11">
        <w:r w:rsidDel="00000000" w:rsidR="00000000" w:rsidRPr="00000000">
          <w:rPr>
            <w:color w:val="1155cc"/>
            <w:u w:val="single"/>
            <w:rtl w:val="0"/>
          </w:rPr>
          <w:t xml:space="preserve">https://pmc.ncbi.nlm.nih.gov/articles/PMC4509880/</w:t>
        </w:r>
      </w:hyperlink>
      <w:r w:rsidDel="00000000" w:rsidR="00000000" w:rsidRPr="00000000">
        <w:rPr>
          <w:rtl w:val="0"/>
        </w:rPr>
      </w:r>
    </w:p>
    <w:p w:rsidR="00000000" w:rsidDel="00000000" w:rsidP="00000000" w:rsidRDefault="00000000" w:rsidRPr="00000000" w14:paraId="000000B7">
      <w:pPr>
        <w:numPr>
          <w:ilvl w:val="0"/>
          <w:numId w:val="5"/>
        </w:numPr>
        <w:ind w:left="720" w:hanging="360"/>
      </w:pPr>
      <w:hyperlink r:id="rId12">
        <w:r w:rsidDel="00000000" w:rsidR="00000000" w:rsidRPr="00000000">
          <w:rPr>
            <w:color w:val="1155cc"/>
            <w:u w:val="single"/>
            <w:rtl w:val="0"/>
          </w:rPr>
          <w:t xml:space="preserve">https://www.nytimes.com/2018/06/13/health/mediterranean-diet-heart-disease.html</w:t>
        </w:r>
      </w:hyperlink>
      <w:r w:rsidDel="00000000" w:rsidR="00000000" w:rsidRPr="00000000">
        <w:rPr>
          <w:rtl w:val="0"/>
        </w:rPr>
      </w:r>
    </w:p>
    <w:p w:rsidR="00000000" w:rsidDel="00000000" w:rsidP="00000000" w:rsidRDefault="00000000" w:rsidRPr="00000000" w14:paraId="000000B8">
      <w:pPr>
        <w:numPr>
          <w:ilvl w:val="0"/>
          <w:numId w:val="5"/>
        </w:numPr>
        <w:ind w:left="720" w:hanging="360"/>
      </w:pPr>
      <w:hyperlink r:id="rId13">
        <w:r w:rsidDel="00000000" w:rsidR="00000000" w:rsidRPr="00000000">
          <w:rPr>
            <w:color w:val="1155cc"/>
            <w:u w:val="single"/>
            <w:rtl w:val="0"/>
          </w:rPr>
          <w:t xml:space="preserve">https://www.sciencedirect.com/science/article/pii/S1551714424003471</w:t>
        </w:r>
      </w:hyperlink>
      <w:r w:rsidDel="00000000" w:rsidR="00000000" w:rsidRPr="00000000">
        <w:rPr>
          <w:rtl w:val="0"/>
        </w:rPr>
      </w:r>
    </w:p>
    <w:p w:rsidR="00000000" w:rsidDel="00000000" w:rsidP="00000000" w:rsidRDefault="00000000" w:rsidRPr="00000000" w14:paraId="000000B9">
      <w:pPr>
        <w:numPr>
          <w:ilvl w:val="0"/>
          <w:numId w:val="5"/>
        </w:numPr>
        <w:ind w:left="720" w:hanging="360"/>
      </w:pPr>
      <w:hyperlink r:id="rId14">
        <w:r w:rsidDel="00000000" w:rsidR="00000000" w:rsidRPr="00000000">
          <w:rPr>
            <w:color w:val="1155cc"/>
            <w:u w:val="single"/>
            <w:rtl w:val="0"/>
          </w:rPr>
          <w:t xml:space="preserve">https://www.sciencedirect.com/science/article/pii/S0939475317300984?via%3Dihub</w:t>
        </w:r>
      </w:hyperlink>
      <w:r w:rsidDel="00000000" w:rsidR="00000000" w:rsidRPr="00000000">
        <w:rPr>
          <w:rtl w:val="0"/>
        </w:rPr>
      </w:r>
    </w:p>
    <w:p w:rsidR="00000000" w:rsidDel="00000000" w:rsidP="00000000" w:rsidRDefault="00000000" w:rsidRPr="00000000" w14:paraId="000000BA">
      <w:pPr>
        <w:numPr>
          <w:ilvl w:val="0"/>
          <w:numId w:val="5"/>
        </w:numPr>
        <w:ind w:left="720" w:hanging="360"/>
      </w:pPr>
      <w:hyperlink r:id="rId15">
        <w:r w:rsidDel="00000000" w:rsidR="00000000" w:rsidRPr="00000000">
          <w:rPr>
            <w:color w:val="1155cc"/>
            <w:u w:val="single"/>
            <w:rtl w:val="0"/>
          </w:rPr>
          <w:t xml:space="preserve">https://www.nejm.org/doi/full/10.1056/NEJMoa1200303?query=recirc_curatedRelated_article</w:t>
        </w:r>
      </w:hyperlink>
      <w:r w:rsidDel="00000000" w:rsidR="00000000" w:rsidRPr="00000000">
        <w:rPr>
          <w:rtl w:val="0"/>
        </w:rPr>
      </w:r>
    </w:p>
    <w:p w:rsidR="00000000" w:rsidDel="00000000" w:rsidP="00000000" w:rsidRDefault="00000000" w:rsidRPr="00000000" w14:paraId="000000BB">
      <w:pPr>
        <w:numPr>
          <w:ilvl w:val="0"/>
          <w:numId w:val="5"/>
        </w:numPr>
        <w:ind w:left="720" w:hanging="360"/>
      </w:pPr>
      <w:hyperlink r:id="rId16">
        <w:r w:rsidDel="00000000" w:rsidR="00000000" w:rsidRPr="00000000">
          <w:rPr>
            <w:color w:val="1155cc"/>
            <w:u w:val="single"/>
            <w:rtl w:val="0"/>
          </w:rPr>
          <w:t xml:space="preserve">https://nutritionsource.hsph.harvard.edu/2018/06/22/predimed-retraction-republication/</w:t>
        </w:r>
      </w:hyperlink>
      <w:r w:rsidDel="00000000" w:rsidR="00000000" w:rsidRPr="00000000">
        <w:rPr>
          <w:rtl w:val="0"/>
        </w:rPr>
      </w:r>
    </w:p>
    <w:p w:rsidR="00000000" w:rsidDel="00000000" w:rsidP="00000000" w:rsidRDefault="00000000" w:rsidRPr="00000000" w14:paraId="000000BC">
      <w:pPr>
        <w:numPr>
          <w:ilvl w:val="0"/>
          <w:numId w:val="5"/>
        </w:numPr>
        <w:ind w:left="720" w:hanging="360"/>
      </w:pPr>
      <w:hyperlink r:id="rId17">
        <w:r w:rsidDel="00000000" w:rsidR="00000000" w:rsidRPr="00000000">
          <w:rPr>
            <w:color w:val="1155cc"/>
            <w:u w:val="single"/>
            <w:rtl w:val="0"/>
          </w:rPr>
          <w:t xml:space="preserve">https://pubmed.ncbi.nlm.nih.gov/28288977/</w:t>
        </w:r>
      </w:hyperlink>
      <w:r w:rsidDel="00000000" w:rsidR="00000000" w:rsidRPr="00000000">
        <w:rPr>
          <w:rtl w:val="0"/>
        </w:rPr>
      </w:r>
    </w:p>
    <w:p w:rsidR="00000000" w:rsidDel="00000000" w:rsidP="00000000" w:rsidRDefault="00000000" w:rsidRPr="00000000" w14:paraId="000000BD">
      <w:pPr>
        <w:numPr>
          <w:ilvl w:val="0"/>
          <w:numId w:val="5"/>
        </w:numPr>
        <w:ind w:left="720" w:hanging="360"/>
      </w:pPr>
      <w:hyperlink r:id="rId18">
        <w:r w:rsidDel="00000000" w:rsidR="00000000" w:rsidRPr="00000000">
          <w:rPr>
            <w:color w:val="1155cc"/>
            <w:u w:val="single"/>
            <w:rtl w:val="0"/>
          </w:rPr>
          <w:t xml:space="preserve">https://academic.oup.com/jcem/article/104/2/337/5091417?login=true</w:t>
        </w:r>
      </w:hyperlink>
      <w:r w:rsidDel="00000000" w:rsidR="00000000" w:rsidRPr="00000000">
        <w:rPr>
          <w:rtl w:val="0"/>
        </w:rPr>
      </w:r>
    </w:p>
    <w:p w:rsidR="00000000" w:rsidDel="00000000" w:rsidP="00000000" w:rsidRDefault="00000000" w:rsidRPr="00000000" w14:paraId="000000BE">
      <w:pPr>
        <w:numPr>
          <w:ilvl w:val="0"/>
          <w:numId w:val="5"/>
        </w:numPr>
        <w:ind w:left="720" w:hanging="360"/>
      </w:pPr>
      <w:hyperlink r:id="rId19">
        <w:r w:rsidDel="00000000" w:rsidR="00000000" w:rsidRPr="00000000">
          <w:rPr>
            <w:color w:val="1155cc"/>
            <w:u w:val="single"/>
            <w:rtl w:val="0"/>
          </w:rPr>
          <w:t xml:space="preserve">https://www.tandfonline.com/doi/full/10.1080/19466315.2023.2238645#abstract</w:t>
        </w:r>
      </w:hyperlink>
      <w:r w:rsidDel="00000000" w:rsidR="00000000" w:rsidRPr="00000000">
        <w:rPr>
          <w:rtl w:val="0"/>
        </w:rPr>
      </w:r>
    </w:p>
    <w:p w:rsidR="00000000" w:rsidDel="00000000" w:rsidP="00000000" w:rsidRDefault="00000000" w:rsidRPr="00000000" w14:paraId="000000BF">
      <w:pPr>
        <w:numPr>
          <w:ilvl w:val="0"/>
          <w:numId w:val="5"/>
        </w:numPr>
        <w:ind w:left="720" w:hanging="360"/>
      </w:pPr>
      <w:hyperlink r:id="rId20">
        <w:r w:rsidDel="00000000" w:rsidR="00000000" w:rsidRPr="00000000">
          <w:rPr>
            <w:color w:val="1155cc"/>
            <w:u w:val="single"/>
            <w:rtl w:val="0"/>
          </w:rPr>
          <w:t xml:space="preserve">https://onlinelibrary.wiley.com/doi/10.1111/acem.70181</w:t>
        </w:r>
      </w:hyperlink>
      <w:r w:rsidDel="00000000" w:rsidR="00000000" w:rsidRPr="00000000">
        <w:rPr>
          <w:rtl w:val="0"/>
        </w:rPr>
      </w:r>
    </w:p>
    <w:p w:rsidR="00000000" w:rsidDel="00000000" w:rsidP="00000000" w:rsidRDefault="00000000" w:rsidRPr="00000000" w14:paraId="000000C0">
      <w:pPr>
        <w:numPr>
          <w:ilvl w:val="0"/>
          <w:numId w:val="5"/>
        </w:numPr>
        <w:ind w:left="720" w:hanging="360"/>
      </w:pPr>
      <w:hyperlink r:id="rId21">
        <w:r w:rsidDel="00000000" w:rsidR="00000000" w:rsidRPr="00000000">
          <w:rPr>
            <w:color w:val="1155cc"/>
            <w:u w:val="single"/>
            <w:rtl w:val="0"/>
          </w:rPr>
          <w:t xml:space="preserve">https://associationofanaesthetists-publications.onlinelibrary.wiley.com/doi/epdf/10.1111/anae.13938</w:t>
        </w:r>
      </w:hyperlink>
      <w:r w:rsidDel="00000000" w:rsidR="00000000" w:rsidRPr="00000000">
        <w:rPr>
          <w:rtl w:val="0"/>
        </w:rPr>
      </w:r>
    </w:p>
    <w:p w:rsidR="00000000" w:rsidDel="00000000" w:rsidP="00000000" w:rsidRDefault="00000000" w:rsidRPr="00000000" w14:paraId="000000C1">
      <w:pPr>
        <w:numPr>
          <w:ilvl w:val="0"/>
          <w:numId w:val="5"/>
        </w:numPr>
        <w:ind w:left="720" w:hanging="360"/>
      </w:pPr>
      <w:hyperlink r:id="rId22">
        <w:r w:rsidDel="00000000" w:rsidR="00000000" w:rsidRPr="00000000">
          <w:rPr>
            <w:color w:val="1155cc"/>
            <w:u w:val="single"/>
            <w:rtl w:val="0"/>
          </w:rPr>
          <w:t xml:space="preserve">https://onlinelibrary.wiley.com/doi/full/10.1002/ejhf.750</w:t>
        </w:r>
      </w:hyperlink>
      <w:r w:rsidDel="00000000" w:rsidR="00000000" w:rsidRPr="00000000">
        <w:rPr>
          <w:rtl w:val="0"/>
        </w:rPr>
      </w:r>
    </w:p>
    <w:p w:rsidR="00000000" w:rsidDel="00000000" w:rsidP="00000000" w:rsidRDefault="00000000" w:rsidRPr="00000000" w14:paraId="000000C2">
      <w:pPr>
        <w:numPr>
          <w:ilvl w:val="0"/>
          <w:numId w:val="5"/>
        </w:numPr>
        <w:ind w:left="720" w:hanging="360"/>
      </w:pPr>
      <w:hyperlink r:id="rId23">
        <w:r w:rsidDel="00000000" w:rsidR="00000000" w:rsidRPr="00000000">
          <w:rPr>
            <w:color w:val="1155cc"/>
            <w:u w:val="single"/>
            <w:rtl w:val="0"/>
          </w:rPr>
          <w:t xml:space="preserve">https://www.sciencedirect.com/science/article/pii/S0895435624003688</w:t>
        </w:r>
      </w:hyperlink>
      <w:r w:rsidDel="00000000" w:rsidR="00000000" w:rsidRPr="00000000">
        <w:rPr>
          <w:rtl w:val="0"/>
        </w:rPr>
      </w:r>
    </w:p>
    <w:p w:rsidR="00000000" w:rsidDel="00000000" w:rsidP="00000000" w:rsidRDefault="00000000" w:rsidRPr="00000000" w14:paraId="000000C3">
      <w:pPr>
        <w:numPr>
          <w:ilvl w:val="0"/>
          <w:numId w:val="5"/>
        </w:numPr>
        <w:ind w:left="720" w:hanging="360"/>
      </w:pPr>
      <w:hyperlink r:id="rId24">
        <w:r w:rsidDel="00000000" w:rsidR="00000000" w:rsidRPr="00000000">
          <w:rPr>
            <w:color w:val="1155cc"/>
            <w:u w:val="single"/>
            <w:rtl w:val="0"/>
          </w:rPr>
          <w:t xml:space="preserve">https://www.quanticate.com/blog/adaptive-randomization-patient-characteristics</w:t>
        </w:r>
      </w:hyperlink>
      <w:r w:rsidDel="00000000" w:rsidR="00000000" w:rsidRPr="00000000">
        <w:rPr>
          <w:rtl w:val="0"/>
        </w:rPr>
      </w:r>
    </w:p>
    <w:p w:rsidR="00000000" w:rsidDel="00000000" w:rsidP="00000000" w:rsidRDefault="00000000" w:rsidRPr="00000000" w14:paraId="000000C4">
      <w:pPr>
        <w:numPr>
          <w:ilvl w:val="0"/>
          <w:numId w:val="5"/>
        </w:numPr>
        <w:ind w:left="720" w:hanging="360"/>
      </w:pPr>
      <w:hyperlink r:id="rId25">
        <w:r w:rsidDel="00000000" w:rsidR="00000000" w:rsidRPr="00000000">
          <w:rPr>
            <w:color w:val="1155cc"/>
            <w:u w:val="single"/>
            <w:rtl w:val="0"/>
          </w:rPr>
          <w:t xml:space="preserve">https://www.sciencedirect.com/science/article/pii/S0015028220303460</w:t>
        </w:r>
      </w:hyperlink>
      <w:r w:rsidDel="00000000" w:rsidR="00000000" w:rsidRPr="00000000">
        <w:rPr>
          <w:rtl w:val="0"/>
        </w:rPr>
      </w:r>
    </w:p>
    <w:p w:rsidR="00000000" w:rsidDel="00000000" w:rsidP="00000000" w:rsidRDefault="00000000" w:rsidRPr="00000000" w14:paraId="000000C5">
      <w:pPr>
        <w:numPr>
          <w:ilvl w:val="0"/>
          <w:numId w:val="5"/>
        </w:numPr>
        <w:ind w:left="720" w:hanging="360"/>
      </w:pPr>
      <w:hyperlink r:id="rId26">
        <w:r w:rsidDel="00000000" w:rsidR="00000000" w:rsidRPr="00000000">
          <w:rPr>
            <w:color w:val="1155cc"/>
            <w:u w:val="single"/>
            <w:rtl w:val="0"/>
          </w:rPr>
          <w:t xml:space="preserve">https://pubmed.ncbi.nlm.nih.gov/28684083/</w:t>
        </w:r>
      </w:hyperlink>
      <w:r w:rsidDel="00000000" w:rsidR="00000000" w:rsidRPr="00000000">
        <w:rPr>
          <w:rtl w:val="0"/>
        </w:rPr>
      </w:r>
    </w:p>
    <w:p w:rsidR="00000000" w:rsidDel="00000000" w:rsidP="00000000" w:rsidRDefault="00000000" w:rsidRPr="00000000" w14:paraId="000000C6">
      <w:pPr>
        <w:numPr>
          <w:ilvl w:val="0"/>
          <w:numId w:val="5"/>
        </w:numPr>
        <w:ind w:left="720" w:hanging="360"/>
      </w:pPr>
      <w:hyperlink r:id="rId27">
        <w:r w:rsidDel="00000000" w:rsidR="00000000" w:rsidRPr="00000000">
          <w:rPr>
            <w:color w:val="1155cc"/>
            <w:u w:val="single"/>
            <w:rtl w:val="0"/>
          </w:rPr>
          <w:t xml:space="preserve">https://pubmed.ncbi.nlm.nih.gov/33315620/</w:t>
        </w:r>
      </w:hyperlink>
      <w:r w:rsidDel="00000000" w:rsidR="00000000" w:rsidRPr="00000000">
        <w:rPr>
          <w:rtl w:val="0"/>
        </w:rPr>
      </w:r>
    </w:p>
    <w:p w:rsidR="00000000" w:rsidDel="00000000" w:rsidP="00000000" w:rsidRDefault="00000000" w:rsidRPr="00000000" w14:paraId="000000C7">
      <w:pPr>
        <w:numPr>
          <w:ilvl w:val="0"/>
          <w:numId w:val="5"/>
        </w:numPr>
        <w:ind w:left="720" w:hanging="360"/>
      </w:pPr>
      <w:hyperlink r:id="rId28">
        <w:r w:rsidDel="00000000" w:rsidR="00000000" w:rsidRPr="00000000">
          <w:rPr>
            <w:color w:val="1155cc"/>
            <w:u w:val="single"/>
            <w:rtl w:val="0"/>
          </w:rPr>
          <w:t xml:space="preserve">https://pmc.ncbi.nlm.nih.gov/articles/PMC6547231/</w:t>
        </w:r>
      </w:hyperlink>
      <w:r w:rsidDel="00000000" w:rsidR="00000000" w:rsidRPr="00000000">
        <w:rPr>
          <w:rtl w:val="0"/>
        </w:rPr>
      </w:r>
    </w:p>
    <w:p w:rsidR="00000000" w:rsidDel="00000000" w:rsidP="00000000" w:rsidRDefault="00000000" w:rsidRPr="00000000" w14:paraId="000000C8">
      <w:pPr>
        <w:numPr>
          <w:ilvl w:val="0"/>
          <w:numId w:val="5"/>
        </w:numPr>
        <w:ind w:left="720" w:hanging="360"/>
      </w:pPr>
      <w:hyperlink r:id="rId29">
        <w:r w:rsidDel="00000000" w:rsidR="00000000" w:rsidRPr="00000000">
          <w:rPr>
            <w:color w:val="1155cc"/>
            <w:u w:val="single"/>
            <w:rtl w:val="0"/>
          </w:rPr>
          <w:t xml:space="preserve">https://onlinelibrary.wiley.com/doi/full/10.1002/ejhf.750</w:t>
        </w:r>
      </w:hyperlink>
      <w:r w:rsidDel="00000000" w:rsidR="00000000" w:rsidRPr="00000000">
        <w:rPr>
          <w:rtl w:val="0"/>
        </w:rPr>
      </w:r>
    </w:p>
    <w:p w:rsidR="00000000" w:rsidDel="00000000" w:rsidP="00000000" w:rsidRDefault="00000000" w:rsidRPr="00000000" w14:paraId="000000C9">
      <w:pPr>
        <w:numPr>
          <w:ilvl w:val="0"/>
          <w:numId w:val="5"/>
        </w:numPr>
        <w:ind w:left="720" w:hanging="360"/>
      </w:pPr>
      <w:hyperlink r:id="rId30">
        <w:r w:rsidDel="00000000" w:rsidR="00000000" w:rsidRPr="00000000">
          <w:rPr>
            <w:color w:val="1155cc"/>
            <w:u w:val="single"/>
            <w:rtl w:val="0"/>
          </w:rPr>
          <w:t xml:space="preserve">https://www.ahajournals.org/doi/full/10.1161/CIRCRESAHA.118.313348\</w:t>
        </w:r>
      </w:hyperlink>
      <w:r w:rsidDel="00000000" w:rsidR="00000000" w:rsidRPr="00000000">
        <w:rPr>
          <w:rtl w:val="0"/>
        </w:rPr>
      </w:r>
    </w:p>
    <w:p w:rsidR="00000000" w:rsidDel="00000000" w:rsidP="00000000" w:rsidRDefault="00000000" w:rsidRPr="00000000" w14:paraId="000000CA">
      <w:pPr>
        <w:numPr>
          <w:ilvl w:val="0"/>
          <w:numId w:val="5"/>
        </w:numPr>
        <w:ind w:left="720" w:hanging="360"/>
      </w:pPr>
      <w:hyperlink r:id="rId31">
        <w:r w:rsidDel="00000000" w:rsidR="00000000" w:rsidRPr="00000000">
          <w:rPr>
            <w:color w:val="1155cc"/>
            <w:u w:val="single"/>
            <w:rtl w:val="0"/>
          </w:rPr>
          <w:t xml:space="preserve">https://pmc.ncbi.nlm.nih.gov/articles/PMC4509880/</w:t>
        </w:r>
      </w:hyperlink>
      <w:r w:rsidDel="00000000" w:rsidR="00000000" w:rsidRPr="00000000">
        <w:rPr>
          <w:rtl w:val="0"/>
        </w:rPr>
      </w:r>
    </w:p>
    <w:p w:rsidR="00000000" w:rsidDel="00000000" w:rsidP="00000000" w:rsidRDefault="00000000" w:rsidRPr="00000000" w14:paraId="000000CB">
      <w:pPr>
        <w:numPr>
          <w:ilvl w:val="0"/>
          <w:numId w:val="5"/>
        </w:numPr>
        <w:ind w:left="720" w:hanging="360"/>
      </w:pPr>
      <w:hyperlink r:id="rId32">
        <w:r w:rsidDel="00000000" w:rsidR="00000000" w:rsidRPr="00000000">
          <w:rPr>
            <w:color w:val="1155cc"/>
            <w:u w:val="single"/>
            <w:rtl w:val="0"/>
          </w:rPr>
          <w:t xml:space="preserve">https://www.nytimes.com/2018/06/13/health/mediterranean-diet-heart-disease.html</w:t>
        </w:r>
      </w:hyperlink>
      <w:r w:rsidDel="00000000" w:rsidR="00000000" w:rsidRPr="00000000">
        <w:rPr>
          <w:rtl w:val="0"/>
        </w:rPr>
      </w:r>
    </w:p>
    <w:p w:rsidR="00000000" w:rsidDel="00000000" w:rsidP="00000000" w:rsidRDefault="00000000" w:rsidRPr="00000000" w14:paraId="000000CC">
      <w:pPr>
        <w:widowControl w:val="0"/>
        <w:spacing w:after="240" w:before="240"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D">
      <w:pPr>
        <w:rPr>
          <w:sz w:val="28"/>
          <w:szCs w:val="28"/>
        </w:rPr>
      </w:pPr>
      <w:r w:rsidDel="00000000" w:rsidR="00000000" w:rsidRPr="00000000">
        <w:rPr>
          <w:rtl w:val="0"/>
        </w:rPr>
      </w:r>
    </w:p>
    <w:p w:rsidR="00000000" w:rsidDel="00000000" w:rsidP="00000000" w:rsidRDefault="00000000" w:rsidRPr="00000000" w14:paraId="000000CE">
      <w:pP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F">
      <w:pP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0">
      <w:pP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onlinelibrary.wiley.com/doi/10.1111/acem.70181" TargetMode="External"/><Relationship Id="rId22" Type="http://schemas.openxmlformats.org/officeDocument/2006/relationships/hyperlink" Target="https://onlinelibrary.wiley.com/doi/full/10.1002/ejhf.750" TargetMode="External"/><Relationship Id="rId21" Type="http://schemas.openxmlformats.org/officeDocument/2006/relationships/hyperlink" Target="https://associationofanaesthetists-publications.onlinelibrary.wiley.com/doi/epdf/10.1111/anae.13938" TargetMode="External"/><Relationship Id="rId24" Type="http://schemas.openxmlformats.org/officeDocument/2006/relationships/hyperlink" Target="https://www.quanticate.com/blog/adaptive-randomization-patient-characteristics" TargetMode="External"/><Relationship Id="rId23" Type="http://schemas.openxmlformats.org/officeDocument/2006/relationships/hyperlink" Target="https://www.sciencedirect.com/science/article/pii/S089543562400368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pubmed.ncbi.nlm.nih.gov/28684083/" TargetMode="External"/><Relationship Id="rId25" Type="http://schemas.openxmlformats.org/officeDocument/2006/relationships/hyperlink" Target="https://www.sciencedirect.com/science/article/pii/S0015028220303460" TargetMode="External"/><Relationship Id="rId28" Type="http://schemas.openxmlformats.org/officeDocument/2006/relationships/hyperlink" Target="https://pmc.ncbi.nlm.nih.gov/articles/PMC6547231/" TargetMode="External"/><Relationship Id="rId27" Type="http://schemas.openxmlformats.org/officeDocument/2006/relationships/hyperlink" Target="https://pubmed.ncbi.nlm.nih.gov/33315620/"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onlinelibrary.wiley.com/doi/full/10.1002/ejhf.750" TargetMode="External"/><Relationship Id="rId7" Type="http://schemas.openxmlformats.org/officeDocument/2006/relationships/image" Target="media/image4.png"/><Relationship Id="rId8" Type="http://schemas.openxmlformats.org/officeDocument/2006/relationships/image" Target="media/image3.png"/><Relationship Id="rId31" Type="http://schemas.openxmlformats.org/officeDocument/2006/relationships/hyperlink" Target="https://pmc.ncbi.nlm.nih.gov/articles/PMC4509880/" TargetMode="External"/><Relationship Id="rId30" Type="http://schemas.openxmlformats.org/officeDocument/2006/relationships/hyperlink" Target="https://www.ahajournals.org/doi/full/10.1161/CIRCRESAHA.118.313348%5C" TargetMode="External"/><Relationship Id="rId11" Type="http://schemas.openxmlformats.org/officeDocument/2006/relationships/hyperlink" Target="https://pmc.ncbi.nlm.nih.gov/articles/PMC4509880/" TargetMode="External"/><Relationship Id="rId10" Type="http://schemas.openxmlformats.org/officeDocument/2006/relationships/hyperlink" Target="https://www.sciencedirect.com/science/article/pii/S0015028220303460" TargetMode="External"/><Relationship Id="rId32" Type="http://schemas.openxmlformats.org/officeDocument/2006/relationships/hyperlink" Target="https://www.nytimes.com/2018/06/13/health/mediterranean-diet-heart-disease.html" TargetMode="External"/><Relationship Id="rId13" Type="http://schemas.openxmlformats.org/officeDocument/2006/relationships/hyperlink" Target="https://www.sciencedirect.com/science/article/pii/S1551714424003471" TargetMode="External"/><Relationship Id="rId12" Type="http://schemas.openxmlformats.org/officeDocument/2006/relationships/hyperlink" Target="https://www.nytimes.com/2018/06/13/health/mediterranean-diet-heart-disease.html" TargetMode="External"/><Relationship Id="rId15" Type="http://schemas.openxmlformats.org/officeDocument/2006/relationships/hyperlink" Target="https://www.nejm.org/doi/full/10.1056/NEJMoa1200303?query=recirc_curatedRelated_article" TargetMode="External"/><Relationship Id="rId14" Type="http://schemas.openxmlformats.org/officeDocument/2006/relationships/hyperlink" Target="https://www.sciencedirect.com/science/article/pii/S0939475317300984?via%3Dihub" TargetMode="External"/><Relationship Id="rId17" Type="http://schemas.openxmlformats.org/officeDocument/2006/relationships/hyperlink" Target="https://pubmed.ncbi.nlm.nih.gov/28288977/" TargetMode="External"/><Relationship Id="rId16" Type="http://schemas.openxmlformats.org/officeDocument/2006/relationships/hyperlink" Target="https://nutritionsource.hsph.harvard.edu/2018/06/22/predimed-retraction-republication/" TargetMode="External"/><Relationship Id="rId19" Type="http://schemas.openxmlformats.org/officeDocument/2006/relationships/hyperlink" Target="https://www.tandfonline.com/doi/full/10.1080/19466315.2023.2238645#abstract" TargetMode="External"/><Relationship Id="rId18" Type="http://schemas.openxmlformats.org/officeDocument/2006/relationships/hyperlink" Target="https://academic.oup.com/jcem/article/104/2/337/5091417?login=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