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WiDS 5.0  ·  Plant Disease Classification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1A7A4A"/>
          <w:sz w:val="48"/>
          <w:szCs w:val="48"/>
        </w:rPr>
        <w:t xml:space="preserve">Week 2: The Shallow Baseline Challenge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Dataset: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PlantVillage (15 classes)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Approach: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Classical ML on raw pixels 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Best result: </w:t>
      </w:r>
      <w:r>
        <w:rPr>
          <w:rFonts w:ascii="Arial" w:cs="Arial" w:eastAsia="Arial" w:hAnsi="Arial"/>
          <w:b/>
          <w:bCs/>
          <w:i w:val="false"/>
          <w:iCs w:val="false"/>
          <w:color w:val="1A7A4A"/>
          <w:sz w:val="20"/>
          <w:szCs w:val="20"/>
        </w:rPr>
        <w:t xml:space="preserve">SVM 72.93%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1. Objective</w:t>
      </w: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Before building deep learning models, we established a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scientific baseline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using classical machine learning. The Golden Rule of ML: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never deploy a complex model if a simple one works just as well.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This week's results become the benchmark our CNN (Week 3) must beat.</w:t>
      </w: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We defined two levels of baseline: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Level 1 — The Floor: A Dummy Classifier that always predicts the most frequent class. Any real model must beat this, or the code has a 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Level 2 — The Ceiling of Classical ML: Random Forest and SVM on raw flattened pixel vectors. Push this as high as possible — this is the score our CNN must comfortably exceed to justify its complexity.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2. Dataset</w:t>
      </w: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The PlantVillage dataset was used, containing labelled images of healthy and diseased plant leaves across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15 disease/health classes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spanning pepper, potato, and tomato plants. The dummy classifier's accuracy of 6.77% — close to 1/15 ≈ 6.67% — confirms the dataset is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well-balanced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across classes, with no single dominant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Classes: Pepper (Bacterial Spot, Healthy), Potato (Early Blight, Late Blight, Healthy), Tomato (9 diseases + Healthy)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Image format: .JPG / .png, variable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Preprocessing: Resized to 64×64 pixels, flattened to 12,288-dimensional vectors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Max 200 images per class loaded for Kaggle performance; stratified 80/20 train-test split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3. Approach — The Pixel Flattening Pipeline</w:t>
      </w: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Classical ML models cannot process 2D image structure. The image grid must be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destroyed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 and handed to the model as a flat list of numbers. This is the fundamental limitation that CNNs are designed to solve.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336633"/>
          <w:sz w:val="19"/>
          <w:szCs w:val="19"/>
        </w:rPr>
        <w:t xml:space="preserve">     Image (64 × 64 × 3)   →   flatten()   →   vector of 12,288 numbers   →   RF / SVM</w:t>
      </w:r>
    </w:p>
    <w:p>
      <w:pPr>
        <w:spacing w:after="80" w:before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Resize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256×256 → 64×64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12,288 features vs 196,608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Flatten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(64,64,3) → (12288,)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Classical ML needs 1D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Scale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StandardScaler (train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Critical for SVM margin calc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PCA (SVM only)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12,288 → 150 components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~95% variance, 80× speedup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Train / Predict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RF: 100 trees, n_jobs=-1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SVM: RBF kernel, C=10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1A"/>
        </w:rPr>
        <w:t xml:space="preserve">StandardScaler — Why It Matters for SVM</w:t>
      </w:r>
    </w:p>
    <w:p>
      <w:pPr>
        <w:spacing w:after="14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SVM finds the hyperplane that maximises margin between classes. If pixel values range 0–255 but are unscaled, the SVM's distance calculations are dominated by high-magnitude features. StandardScaler transforms every feature to mean=0, std=1. Critically, the scaler is fit only on training data and applied to the test set — fitting on test data would be a form of data leakage.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1A"/>
        </w:rPr>
        <w:t xml:space="preserve">PCA — Why It Matters for SVM Speed</w:t>
      </w: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SVM training complexity is O(n²) to O(n³). On thousands of samples with 12,288 features each, training is prohibitively slow. PCA reduces the feature space to 150 components while retaining approximately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95% of the dataset's variance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, giving roughly an 80× reduction in dimensionality and making training tractable in minutes.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4.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1560"/>
        <w:gridCol w:w="150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vs. Dummy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Train Time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Level 1 — Dummy Classifier (most frequent)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6.77%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Level 2A — Random Forest (64×64 raw pixels)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59.73%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+53.0 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~30–60s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Level 2B — SVM RBF (PCA-150 features)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72.93%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+66.2 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~3–5 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Week 3 Target — CNN (aim for)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≥ 90%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+83.2 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1A"/>
        </w:rPr>
        <w:t xml:space="preserve">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13-point gap between RF (59.7%) and SVM (72.9%) is significant. It shows that SVM's margin-maximisation on compressed PCA features is far better suited to this problem than RF's axis-aligned splits on raw pixels.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72.93% is a tough shallow baseline — better than typical for this approach. A basic CNN without augmentation may only reach 80%, which is better but not impressively 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Dummy at 6.77% (≈ 1/15) confirms no class dominance — a balanced dataset is harder to game with simple heuristics, which is good for model development.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5. Evaluation &amp; Insights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1A"/>
        </w:rPr>
        <w:t xml:space="preserve">Confusion Matrix Observations</w:t>
      </w:r>
    </w:p>
    <w:p>
      <w:pPr>
        <w:spacing w:after="14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normalised confusion matrix reveals which classes are most often confused. The hardest classes for both models are visually similar diseases on the same plant — consistent with what the EDA's t-SNE cluster map showed about feature proximity in embedding space. The easiest classes tend to be either visually distinct plants or severe infections with unique colour profiles.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Hardest: Visually similar fungal diseases on the same plant species (e.g., Early Blight vs. Late Blight on tomato — similar brown lesion patterns)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Easiest: Classes with distinctive colour signatures or unique visual texture (e.g., Tomato Yellow Leaf Curl Virus — characteristic yellowing and curling)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1A"/>
        </w:rPr>
        <w:t xml:space="preserve">Pixel Importance Heatmap</w:t>
      </w:r>
    </w:p>
    <w:p>
      <w:pPr>
        <w:spacing w:after="14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Random Forest's feature importances, reshaped back to 64×64, reveal where the model is "looking". Unlike a CNN which develops focused, local receptive fields (edge detectors, texture filters), the RF importance map tends to be diffuse — spread across the image rather than concentrated on lesion regions. This confirms the model is predominantly learning global colour distributions rather than disease-specific spatial patterns.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Green channel typically carries the highest total importance — unsurprising for leaf disease images where chlorophyll loss (yellowing, browning) is the primary visual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CNN's learned filters, by contrast, will activate on specific textures — spots, rings, lesion edges — regardless of where they appear in the image (translation invariance)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color w:val="1A1A1A"/>
        </w:rPr>
        <w:t xml:space="preserve">Why Classical Models Hit a Ceiling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spatial awareness: flattening destroys the 2D relationship between pixels. A spot at position (20,20) and the same spot at (21,21) look completely different as vectors.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No translation invariance: a disease lesion shifted 5 pixels from training images looks like a new, unseen pattern.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Colour dominance: the models learn that 'this shade of brown in this pixel region correlates with Early Blight' — not the actual texture pattern of the lesion.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6. Benchmark Context for Week 3</w:t>
      </w:r>
    </w:p>
    <w:p>
      <w:pPr>
        <w:spacing w:after="14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These results place our shallow baseline in the context of what is achievable with progressively more powerful approaches: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Accuracy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Constraint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Dummy Classifier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~6–7%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learning at all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RF / SVM on raw pixels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55–75%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spatial awareness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CNN from scratch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85–92%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Needs augmentation + tuning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 learning (ResNet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95–99%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Pretrained weights from ImageNet</w:t>
            </w:r>
          </w:p>
        </w:tc>
      </w:tr>
    </w:tbl>
    <w:p>
      <w:pPr>
        <w:spacing w:after="80" w:before="160"/>
      </w:pPr>
    </w:p>
    <w:p>
      <w:pPr>
        <w:spacing w:after="1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Our SVM at 72.93% sits comfortably in the Classical ML band. To justify the complexity of a CNN, Week 3 must reach at least </w:t>
      </w:r>
      <w:r>
        <w:rPr>
          <w:rFonts w:ascii="Arial" w:cs="Arial" w:eastAsia="Arial" w:hAnsi="Arial"/>
          <w:b/>
          <w:bCs/>
          <w:i w:val="false"/>
          <w:iCs w:val="false"/>
          <w:color w:val="1A7A4A"/>
          <w:sz w:val="20"/>
          <w:szCs w:val="20"/>
        </w:rPr>
        <w:t xml:space="preserve">~90%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. The real leap — to 95%+ — will likely require transfer learning from a pretrained backbone (ResNet50, EfficientNet), which is the direction the course is building toward.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well-balanced 15-class dataset has a natural floor of ~6.7% for a zero-skill classifier. Any model below 20% accuracy has a pipeline 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Random Forest on raw pixels (59.7%) is a strong sanity check — fast to train, no scaling required, interpretable via feature importances.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SVM with PCA-150 (72.93%) is the best achievable without spatial reasoning. The PCA step is not a compromise — it actively improves SVM by removing noise dimensions.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The confusion matrix is more informative than accuracy alone. The classes hardest for classical models are the ones a CNN must specifically learn to separate via texture-level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72.9% is a genuinely tough benchmark. A basic 2-layer CNN might only beat it by ~7–10 points. The architecture and augmentation choices in Week 3 will determine whether we reach the target convincingly.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color w:val="1A1A1A"/>
        </w:rPr>
        <w:t xml:space="preserve">8. Next Steps — Week 3</w:t>
      </w:r>
    </w:p>
    <w:p>
      <w:pPr>
        <w:spacing w:after="140" w:before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Armed with a 72.93% shallow baseline, Week 3 will build Convolutional Neural Networks that address exactly the limitations identified above: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Convolutional layers learn local patterns (edges, textures, spots) — spatial awareness that flattening destroys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Max pooling provides translation invariance — the same disease lesion anywhere in the image activates the same 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Data augmentation (flips, rotations, colour jitter) will be essential to exceed the baseline by a large margin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Transfer learning from ImageNet-pretrained backbones (ResNet50, EfficientNet-B0) as the path to 95%+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Target for Week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beat 72.93% by a large margin. Aim for ≥ 90%. If the CNN only matches the SVM, it is not worth its compute cost.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PlantVillage Dataset  •  15 Classes  •  Classical ML Baseline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WiDS 5.0  —  Plant Disease Classification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Week 2: Shallow Baseline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7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7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2026-06-25T11:56:24.614Z</dcterms:created>
  <dcterms:modified xsi:type="dcterms:W3CDTF">2026-06-25T11:56:24.614Z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