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 w:cs="Arial"/>
          <w:b/>
          <w:color w:val="173A5E"/>
          <w:sz w:val="58"/>
        </w:rPr>
        <w:t>Dubai Real Estate</w:t>
        <w:br/>
        <w:t>Market Analysis</w:t>
      </w:r>
    </w:p>
    <w:p>
      <w:pPr>
        <w:spacing w:after="200" w:before="20"/>
        <w:jc w:val="left"/>
      </w:pPr>
      <w:r>
        <w:rPr>
          <w:rFonts w:ascii="Arial" w:hAnsi="Arial" w:eastAsia="Arial" w:cs="Arial"/>
          <w:b/>
          <w:color w:val="5B6570"/>
          <w:sz w:val="26"/>
        </w:rPr>
        <w:t>Power BI Portfolio Case Study</w:t>
      </w:r>
    </w:p>
    <w:p>
      <w:pPr>
        <w:spacing w:after="240" w:before="0" w:line="144" w:lineRule="auto"/>
      </w:pPr>
      <w:r>
        <w:rPr>
          <w:rFonts w:ascii="Arial" w:hAnsi="Arial" w:eastAsia="Arial" w:cs="Arial"/>
          <w:b w:val="0"/>
          <w:color w:val="2B7A78"/>
          <w:sz w:val="11"/>
        </w:rPr>
        <w:t>━━━━━━━━━━━━━━━━━━━━━━━━━━━━━━━━━━━━━━━━━━━━━━━━━━━━━━</w:t>
      </w:r>
    </w:p>
    <w:p>
      <w:pPr>
        <w:pStyle w:val="Heading1"/>
        <w:keepNext/>
      </w:pPr>
      <w:r>
        <w:rPr>
          <w:rFonts w:ascii="Arial" w:hAnsi="Arial" w:eastAsia="Arial" w:cs="Arial"/>
          <w:b/>
          <w:color w:val="173A5E"/>
          <w:sz w:val="34"/>
        </w:rPr>
        <w:t>Executive Summary</w:t>
      </w:r>
    </w:p>
    <w:p>
      <w:pPr>
        <w:spacing w:after="200" w:line="252" w:lineRule="auto"/>
      </w:pPr>
      <w:r>
        <w:rPr>
          <w:rFonts w:ascii="Arial" w:hAnsi="Arial" w:eastAsia="Arial" w:cs="Arial"/>
          <w:b w:val="0"/>
          <w:color w:val="2B2F33"/>
          <w:sz w:val="20"/>
        </w:rPr>
        <w:t>Built an end-to-end Power BI solution to analyze Dubai real-estate pricing, rental performance, off-plan premiums, investment yield, market activity, and location/property characteristics. The project combines five source datasets into a dimensional semantic model and a five-page analytical report designed for fast business interpretation.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5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SOURCE DATASETS</w:t>
            </w:r>
          </w:p>
        </w:tc>
        <w:tc>
          <w:tcPr>
            <w:tcW w:type="dxa" w:w="2056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4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FACT TABLES</w:t>
            </w:r>
          </w:p>
        </w:tc>
        <w:tc>
          <w:tcPr>
            <w:tcW w:type="dxa" w:w="2056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5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DIMENSIONS</w:t>
            </w:r>
          </w:p>
        </w:tc>
        <w:tc>
          <w:tcPr>
            <w:tcW w:type="dxa" w:w="2056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14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RELATIONSHIPS</w:t>
            </w:r>
          </w:p>
        </w:tc>
        <w:tc>
          <w:tcPr>
            <w:tcW w:type="dxa" w:w="2056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5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REPORT PAGES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" w:cs="Arial"/>
          <w:b/>
          <w:color w:val="173A5E"/>
          <w:sz w:val="34"/>
        </w:rPr>
        <w:t>Business Questions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Is Dubai property pricing becoming more expensive over time?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Are off-plan properties priced at a premium to secondary-market properties?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Which communities are most expensive and which show stronger rental-yield potential?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How do property type, bedroom count, property size, and accessibility relate to secondary-market property prices?</w:t>
      </w:r>
    </w:p>
    <w:p>
      <w:pPr>
        <w:pStyle w:val="Heading1"/>
        <w:keepNext/>
      </w:pPr>
      <w:r>
        <w:rPr>
          <w:rFonts w:ascii="Arial" w:hAnsi="Arial" w:eastAsia="Arial" w:cs="Arial"/>
          <w:b/>
          <w:color w:val="173A5E"/>
          <w:sz w:val="34"/>
        </w:rPr>
        <w:t>Tools &amp; Approach</w:t>
      </w:r>
    </w:p>
    <w:p>
      <w:pPr>
        <w:spacing w:after="200" w:line="252" w:lineRule="auto"/>
      </w:pPr>
      <w:r>
        <w:rPr>
          <w:rFonts w:ascii="Arial" w:hAnsi="Arial" w:eastAsia="Arial" w:cs="Arial"/>
          <w:b w:val="0"/>
          <w:color w:val="2B2F33"/>
          <w:sz w:val="20"/>
        </w:rPr>
        <w:t>Power BI Desktop • Power Query • DAX • Dimensional modeling • Data profiling • Time intelligence • Interactive visualization</w:t>
      </w:r>
    </w:p>
    <w:p>
      <w:pPr>
        <w:pStyle w:val="Heading1"/>
        <w:keepNext/>
      </w:pPr>
      <w:r>
        <w:rPr>
          <w:rFonts w:ascii="Arial" w:hAnsi="Arial" w:eastAsia="Arial" w:cs="Arial"/>
          <w:b/>
          <w:color w:val="173A5E"/>
          <w:sz w:val="34"/>
        </w:rPr>
        <w:t>Market Definitions</w:t>
      </w:r>
    </w:p>
    <w:p>
      <w:pPr>
        <w:shd w:fill="F7FAFA" w:val="clear"/>
        <w:spacing w:before="40" w:after="160" w:line="269" w:lineRule="auto"/>
        <w:ind w:left="144" w:right="115"/>
        <w:pBdr>
          <w:bottom w:val="single" w:sz="4" w:space="2" w:color="DDE9E7"/>
        </w:pBdr>
      </w:pPr>
      <w:r>
        <w:rPr>
          <w:rFonts w:ascii="Arial" w:hAnsi="Arial" w:eastAsia="Arial" w:cs="Arial"/>
          <w:b/>
          <w:color w:val="2B7A78"/>
          <w:sz w:val="20"/>
        </w:rPr>
        <w:t>Off Plan:</w:t>
      </w:r>
      <w:r>
        <w:rPr>
          <w:rFonts w:ascii="Arial" w:hAnsi="Arial" w:eastAsia="Arial" w:cs="Arial"/>
          <w:b w:val="0"/>
          <w:color w:val="2B2F33"/>
          <w:sz w:val="20"/>
        </w:rPr>
        <w:t xml:space="preserve"> Property marketed or sold before construction is complete and before final handover, typically by a developer. In this project it supports project, pricing, launch/handover, payment-plan, and price-per-sq-ft premium analysis.</w:t>
      </w:r>
    </w:p>
    <w:p>
      <w:pPr>
        <w:shd w:fill="F7FAFA" w:val="clear"/>
        <w:spacing w:before="40" w:after="160" w:line="269" w:lineRule="auto"/>
        <w:ind w:left="144" w:right="115"/>
        <w:pBdr>
          <w:bottom w:val="single" w:sz="4" w:space="2" w:color="DDE9E7"/>
        </w:pBdr>
      </w:pPr>
      <w:r>
        <w:rPr>
          <w:rFonts w:ascii="Arial" w:hAnsi="Arial" w:eastAsia="Arial" w:cs="Arial"/>
          <w:b/>
          <w:color w:val="2B7A78"/>
          <w:sz w:val="20"/>
        </w:rPr>
        <w:t>Secondary Market:</w:t>
      </w:r>
      <w:r>
        <w:rPr>
          <w:rFonts w:ascii="Arial" w:hAnsi="Arial" w:eastAsia="Arial" w:cs="Arial"/>
          <w:b w:val="0"/>
          <w:color w:val="2B2F33"/>
          <w:sz w:val="20"/>
        </w:rPr>
        <w:t xml:space="preserve"> Property resold by an existing owner/investor rather than as the developer’s initial sale. In this project Secondary Sales is the established resale-market pricing benchmark and the main source for Location &amp; Property Analysis.</w:t>
      </w:r>
    </w:p>
    <w:p>
      <w:r>
        <w:rPr>
          <w:rFonts w:ascii="Arial" w:hAnsi="Arial" w:eastAsia="Arial" w:cs="Arial"/>
          <w:b w:val="0"/>
          <w:color w:val="2B2F33"/>
          <w:sz w:val="20"/>
        </w:rPr>
        <w:br w:type="page"/>
      </w:r>
    </w:p>
    <w:p>
      <w:pPr>
        <w:pStyle w:val="Heading1"/>
        <w:keepNext/>
        <w:pBdr>
          <w:bottom w:val="single" w:sz="4" w:space="3" w:color="DCE6EC"/>
        </w:pBdr>
      </w:pPr>
      <w:r>
        <w:rPr>
          <w:rFonts w:ascii="Arial" w:hAnsi="Arial" w:eastAsia="Arial" w:cs="Arial"/>
          <w:b/>
          <w:color w:val="173A5E"/>
          <w:sz w:val="34"/>
        </w:rPr>
        <w:t>1. Data Preparation &amp; Modeling</w:t>
      </w:r>
    </w:p>
    <w:p>
      <w:pPr>
        <w:spacing w:after="100" w:line="252" w:lineRule="auto"/>
      </w:pPr>
      <w:r>
        <w:rPr>
          <w:rFonts w:ascii="Arial" w:hAnsi="Arial" w:eastAsia="Arial" w:cs="Arial"/>
          <w:b w:val="0"/>
          <w:color w:val="2B2F33"/>
          <w:sz w:val="20"/>
        </w:rPr>
        <w:t>Source: Kaggle. The data contains realistically calibrated, modelled listing-level records with real geographic and market anchors. It is suitable for analytical demonstration but should not be interpreted as official Dubai Land Department transaction data.</w:t>
      </w:r>
    </w:p>
    <w:p>
      <w:pPr>
        <w:pStyle w:val="Heading2"/>
        <w:keepNext/>
      </w:pPr>
      <w:r>
        <w:rPr>
          <w:rFonts w:ascii="Arial" w:hAnsi="Arial" w:eastAsia="Arial" w:cs="Arial"/>
          <w:b/>
          <w:color w:val="2B7A78"/>
          <w:sz w:val="24"/>
        </w:rPr>
        <w:t>Source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Role / Grain</w:t>
            </w:r>
          </w:p>
        </w:tc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Off Plan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Listing-level fact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12,000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Rentals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Listing-level fact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25,000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Secondary Sales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Listing-level fact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50,000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Area Prices Monthly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Community × month fact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6,384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Metro Stations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Reference source for station dimension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55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Arial" w:hAnsi="Arial" w:eastAsia="Arial" w:cs="Arial"/>
          <w:b/>
          <w:color w:val="2B7A78"/>
          <w:sz w:val="24"/>
        </w:rPr>
        <w:t>Key Preparation Decisions</w:t>
      </w:r>
    </w:p>
    <w:p>
      <w:pPr>
        <w:pStyle w:val="ListBullet"/>
        <w:spacing w:after="210" w:line="259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Profiled full datasets for Off Plan, Rentals, and Secondary Sales; retained important data-quality findings and standardized naming/data types.</w:t>
      </w:r>
    </w:p>
    <w:p>
      <w:pPr>
        <w:pStyle w:val="ListBullet"/>
        <w:spacing w:after="210" w:line="259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Standardized currency and price/rent fields, property labels, date fields, metro-distance naming, and location-related columns.</w:t>
      </w:r>
    </w:p>
    <w:p>
      <w:pPr>
        <w:pStyle w:val="ListBullet"/>
        <w:spacing w:after="210" w:line="259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Preserved nulls where analytically valid rather than forcing replacements; for example, Secondary Sales floor fields are ~36% empty.</w:t>
      </w:r>
    </w:p>
    <w:p>
      <w:pPr>
        <w:pStyle w:val="ListBullet"/>
        <w:spacing w:after="210" w:line="259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Retained physically required source columns where query dependencies existed, but hid redundant/technical fields from report view to keep the semantic layer clean.</w:t>
      </w:r>
    </w:p>
    <w:p>
      <w:pPr>
        <w:pStyle w:val="ListBullet"/>
        <w:spacing w:before="0" w:after="210" w:line="259" w:lineRule="auto"/>
      </w:pPr>
      <w:r>
        <w:rPr>
          <w:rFonts w:ascii="Arial" w:hAnsi="Arial" w:eastAsia="Arial" w:cs="Arial"/>
          <w:b w:val="0"/>
          <w:color w:val="2B2F33"/>
          <w:sz w:val="20"/>
        </w:rPr>
        <w:t>Final QA corrected Dim Community coverage by sourcing Community and Zone from Area Prices Monthly, expanding the dimension from 43 to all 84 communities and eliminating unmatched blank Community categories.</w:t>
      </w:r>
    </w:p>
    <w:p>
      <w:pPr>
        <w:pStyle w:val="Heading2"/>
        <w:keepNext/>
        <w:spacing w:before="180" w:after="120"/>
      </w:pPr>
      <w:r>
        <w:rPr>
          <w:rFonts w:ascii="Arial" w:hAnsi="Arial" w:eastAsia="Arial" w:cs="Arial"/>
          <w:b/>
          <w:color w:val="2B7A78"/>
          <w:sz w:val="24"/>
        </w:rPr>
        <w:t>Semantic Model</w:t>
      </w:r>
    </w:p>
    <w:p>
      <w:pPr>
        <w:spacing w:after="140" w:line="252" w:lineRule="auto"/>
      </w:pPr>
      <w:r>
        <w:rPr>
          <w:rFonts w:ascii="Arial" w:hAnsi="Arial" w:eastAsia="Arial" w:cs="Arial"/>
          <w:b w:val="0"/>
          <w:color w:val="2B2F33"/>
          <w:sz w:val="20"/>
        </w:rPr>
        <w:t>A star-schema-oriented model was created with five conformed dimensions: Dim Date, Dim Community, Dim Project, Dim Metro Station, and Dim Bedrooms. The earlier Dim Location design was removed because it duplicated filtering responsibilities and complicated the shared model.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84"/>
            <w:shd w:fill="173A5E" w:val="clear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5184"/>
            <w:shd w:fill="173A5E" w:val="clear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Connected Facts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Dim Date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Off Plan, Rentals, Secondary Sales, Area Prices Monthly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Dim Community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Off Plan, Rentals, Secondary Sales, Area Prices Monthly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Dim Project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Off Plan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Dim Metro Station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Off Plan, Rentals, Secondary Sales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Dim Bedrooms</w:t>
            </w:r>
          </w:p>
        </w:tc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Rentals, Secondary Sales</w:t>
            </w:r>
          </w:p>
        </w:tc>
      </w:tr>
    </w:tbl>
    <w:p>
      <w:pPr>
        <w:spacing w:after="0" w:line="264" w:lineRule="auto" w:before="100"/>
      </w:pPr>
      <w:r>
        <w:rPr>
          <w:rFonts w:ascii="Arial" w:hAnsi="Arial" w:eastAsia="Arial" w:cs="Arial"/>
          <w:b w:val="0"/>
          <w:color w:val="2B2F33"/>
          <w:sz w:val="20"/>
        </w:rPr>
        <w:t>All 14 relationships are active, many-to-one, and single-direction. No fact-to-fact relationships are used. The two added relationships connect Dim Bedrooms[Bedrooms] (1) to Rentals[Bedrooms] (*) and Secondary Sales[Bedrooms] (*), enabling one shared Bedroom Label slicer across both fact tables.</w:t>
      </w:r>
    </w:p>
    <w:p>
      <w:r>
        <w:rPr>
          <w:rFonts w:ascii="Arial" w:hAnsi="Arial" w:eastAsia="Arial" w:cs="Arial"/>
          <w:b w:val="0"/>
          <w:color w:val="2B2F33"/>
          <w:sz w:val="20"/>
        </w:rPr>
        <w:br w:type="page"/>
      </w:r>
    </w:p>
    <w:p>
      <w:pPr>
        <w:pStyle w:val="Heading1"/>
        <w:keepNext/>
        <w:pBdr>
          <w:bottom w:val="single" w:sz="4" w:space="3" w:color="DCE6EC"/>
        </w:pBdr>
      </w:pPr>
      <w:r>
        <w:rPr>
          <w:rFonts w:ascii="Arial" w:hAnsi="Arial" w:eastAsia="Arial" w:cs="Arial"/>
          <w:b/>
          <w:color w:val="173A5E"/>
          <w:sz w:val="34"/>
        </w:rPr>
        <w:t>2. Analytical Logic</w:t>
      </w:r>
    </w:p>
    <w:p>
      <w:pPr>
        <w:spacing w:after="180" w:line="252" w:lineRule="auto"/>
      </w:pPr>
      <w:r>
        <w:rPr>
          <w:rFonts w:ascii="Arial" w:hAnsi="Arial" w:eastAsia="Arial" w:cs="Arial"/>
          <w:b w:val="0"/>
          <w:color w:val="2B2F33"/>
          <w:sz w:val="20"/>
        </w:rPr>
        <w:t>The measure layer focuses on reusable business metrics rather than visual-specific calculations. Temporary/debug measures were removed during final cleanup.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/>
          <w:color w:val="2B7A78"/>
          <w:sz w:val="20"/>
        </w:rPr>
        <w:t xml:space="preserve">Off Plan Price per Sq Ft Premium %: </w:t>
      </w:r>
      <w:r>
        <w:rPr>
          <w:rFonts w:ascii="Arial" w:hAnsi="Arial" w:eastAsia="Arial" w:cs="Arial"/>
          <w:b w:val="0"/>
          <w:color w:val="2B2F33"/>
          <w:sz w:val="20"/>
        </w:rPr>
        <w:t>Compares average off-plan PPSF with secondary PPSF in the current filter context.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 w:val="0"/>
          <w:color w:val="2B2F33"/>
          <w:sz w:val="20"/>
        </w:rPr>
        <w:t>Estimated Gross Rental Yield %: Average annual rent ÷ average secondary price in the current filter context. It is a market-level screening metric, not a matched-property return, because Rentals and Secondary Sales do not share a common property/unit ID.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/>
          <w:color w:val="2B7A78"/>
          <w:sz w:val="20"/>
        </w:rPr>
        <w:t xml:space="preserve">Rental Listings YoY %: </w:t>
      </w:r>
      <w:r>
        <w:rPr>
          <w:rFonts w:ascii="Arial" w:hAnsi="Arial" w:eastAsia="Arial" w:cs="Arial"/>
          <w:b w:val="0"/>
          <w:color w:val="2B2F33"/>
          <w:sz w:val="20"/>
        </w:rPr>
        <w:t>Uses same-period prior-year logic so partial 2026 is compared fairly with the equivalent 2025 period.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/>
          <w:color w:val="2B7A78"/>
          <w:sz w:val="20"/>
        </w:rPr>
        <w:t xml:space="preserve">Average Annual Rent YoY %: </w:t>
      </w:r>
      <w:r>
        <w:rPr>
          <w:rFonts w:ascii="Arial" w:hAnsi="Arial" w:eastAsia="Arial" w:cs="Arial"/>
          <w:b w:val="0"/>
          <w:color w:val="2B2F33"/>
          <w:sz w:val="20"/>
        </w:rPr>
        <w:t>Measures annual-rent change versus the previous-year date context.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 w:val="0"/>
          <w:color w:val="2B2F33"/>
          <w:sz w:val="20"/>
        </w:rPr>
        <w:t>Listing Share &amp; Activity Measures: Track Off Plan, Secondary, and Rental market activity across time and segments. Rental Listing Records counts rental-table rows under the active filters and does not represent unique physical properties.</w:t>
      </w:r>
    </w:p>
    <w:p>
      <w:pPr>
        <w:spacing w:after="240" w:before="40" w:line="266" w:lineRule="auto"/>
        <w:ind w:left="158" w:right="43"/>
        <w:pBdr>
          <w:left w:val="single" w:sz="10" w:space="6" w:color="2B7A78"/>
        </w:pBdr>
      </w:pPr>
      <w:r>
        <w:rPr>
          <w:rFonts w:ascii="Arial" w:hAnsi="Arial" w:eastAsia="Arial" w:cs="Arial"/>
          <w:b/>
          <w:color w:val="2B7A78"/>
          <w:sz w:val="20"/>
        </w:rPr>
        <w:t xml:space="preserve">Average / Median Price &amp; Rent: </w:t>
      </w:r>
      <w:r>
        <w:rPr>
          <w:rFonts w:ascii="Arial" w:hAnsi="Arial" w:eastAsia="Arial" w:cs="Arial"/>
          <w:b w:val="0"/>
          <w:color w:val="2B2F33"/>
          <w:sz w:val="20"/>
        </w:rPr>
        <w:t>Provides both central-tendency views to reduce distortion from luxury-property outliers.</w:t>
      </w:r>
    </w:p>
    <w:p>
      <w:pPr>
        <w:pStyle w:val="Heading1"/>
        <w:keepNext/>
        <w:pBdr>
          <w:bottom w:val="single" w:sz="4" w:space="3" w:color="DCE6EC"/>
        </w:pBdr>
      </w:pPr>
      <w:r>
        <w:rPr>
          <w:rFonts w:ascii="Arial" w:hAnsi="Arial" w:eastAsia="Arial" w:cs="Arial"/>
          <w:b/>
          <w:color w:val="173A5E"/>
          <w:sz w:val="34"/>
        </w:rPr>
        <w:t>3. Report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456"/>
            <w:shd w:fill="173A5E" w:val="clear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Examples of Analysis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1. Market Overview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Market direction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Price/rent trends, financing rates, annual listing activity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2. Off Plan vs Secondary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Pricing comparison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PPSF premium, listing share, community/property-type comparison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3. Rental Market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Rental performance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Rent levels, annual rent PPSF, furnishing status, community comparison, YoY movement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4. Investment &amp; Yield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Investment screening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Gross yield, price vs rent positioning, community opportunities</w:t>
            </w:r>
          </w:p>
        </w:tc>
      </w:tr>
      <w:tr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5. Location &amp; Property Analysis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Secondary-market property &amp; accessibility</w:t>
            </w:r>
          </w:p>
        </w:tc>
        <w:tc>
          <w:tcPr>
            <w:tcW w:type="dxa" w:w="34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Secondary price, metro travel time, bedrooms, size, decomposition tree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Arial" w:hAnsi="Arial" w:eastAsia="Arial" w:cs="Arial"/>
          <w:b/>
          <w:color w:val="2B7A78"/>
          <w:sz w:val="24"/>
        </w:rPr>
        <w:t>Design Standards</w:t>
      </w:r>
    </w:p>
    <w:p>
      <w:pPr>
        <w:spacing w:after="0" w:line="269" w:lineRule="auto"/>
      </w:pPr>
      <w:r>
        <w:rPr>
          <w:rFonts w:ascii="Arial" w:hAnsi="Arial" w:eastAsia="Arial" w:cs="Arial"/>
          <w:b w:val="0"/>
          <w:color w:val="2B2F33"/>
          <w:sz w:val="20"/>
        </w:rPr>
        <w:t>Continuous date axes were used for monthly trends to preserve chronology. Currency uses USD with consistent decimal formatting; rental PPSF is annual USD per sq ft; rate fields stored as percentage points remain decimal values; and count measures are whole numbers. Fact-table copies of dimension attributes were hidden from report view to guide users toward conformed dimensions. Location &amp; Property Analysis uses Secondary Sales for its analytical values; measure Home-table placement is organizational only and does not determine DAX source logic.</w:t>
      </w:r>
    </w:p>
    <w:p>
      <w:r>
        <w:rPr>
          <w:rFonts w:ascii="Arial" w:hAnsi="Arial" w:eastAsia="Arial" w:cs="Arial"/>
          <w:b w:val="0"/>
          <w:color w:val="2B2F33"/>
          <w:sz w:val="20"/>
        </w:rPr>
        <w:br w:type="page"/>
      </w:r>
    </w:p>
    <w:p>
      <w:pPr>
        <w:pStyle w:val="Heading1"/>
        <w:keepNext/>
        <w:pBdr>
          <w:bottom w:val="single" w:sz="4" w:space="3" w:color="DCE6EC"/>
        </w:pBdr>
      </w:pPr>
      <w:r>
        <w:rPr>
          <w:rFonts w:ascii="Arial" w:hAnsi="Arial" w:eastAsia="Arial" w:cs="Arial"/>
          <w:b/>
          <w:color w:val="173A5E"/>
          <w:sz w:val="34"/>
        </w:rPr>
        <w:t>4. Key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$1.70M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AVG OFF PLAN PRICE</w:t>
            </w:r>
          </w:p>
        </w:tc>
        <w:tc>
          <w:tcPr>
            <w:tcW w:type="dxa" w:w="2570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$1.01M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AVG SECONDARY PRICE</w:t>
            </w:r>
          </w:p>
        </w:tc>
        <w:tc>
          <w:tcPr>
            <w:tcW w:type="dxa" w:w="2570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$83.69K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AVG ANNUAL RENT</w:t>
            </w:r>
          </w:p>
        </w:tc>
        <w:tc>
          <w:tcPr>
            <w:tcW w:type="dxa" w:w="2570"/>
            <w:shd w:fill="F3F6F8" w:val="clear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  <w:tcBorders>
              <w:top w:val="single" w:sz="18" w:color="2B7A78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34"/>
              </w:rPr>
              <w:t>8.25%</w:t>
            </w:r>
            <w:r>
              <w:br/>
            </w:r>
            <w:r>
              <w:rPr>
                <w:rFonts w:ascii="Arial" w:hAnsi="Arial" w:eastAsia="Arial" w:cs="Arial"/>
                <w:b/>
                <w:color w:val="5B6570"/>
                <w:sz w:val="16"/>
              </w:rPr>
              <w:t>EST. GROSS YIELD</w:t>
            </w:r>
          </w:p>
        </w:tc>
      </w:tr>
    </w:tbl>
    <w:p>
      <w:pPr>
        <w:spacing w:after="40"/>
      </w:pPr>
    </w:p>
    <w:p>
      <w:pPr>
        <w:spacing w:after="260" w:before="40" w:line="271" w:lineRule="auto"/>
        <w:ind w:left="43" w:right="29"/>
        <w:pBdr>
          <w:bottom w:val="single" w:sz="4" w:space="4" w:color="E4EBEF"/>
        </w:pBdr>
      </w:pPr>
      <w:r>
        <w:rPr>
          <w:rFonts w:ascii="Arial" w:hAnsi="Arial" w:eastAsia="Arial" w:cs="Arial"/>
          <w:b/>
          <w:color w:val="173A5E"/>
          <w:sz w:val="20"/>
        </w:rPr>
        <w:t xml:space="preserve">Off-plan pricing carries a clear premium. </w:t>
      </w:r>
      <w:r>
        <w:rPr>
          <w:rFonts w:ascii="Arial" w:hAnsi="Arial" w:eastAsia="Arial" w:cs="Arial"/>
          <w:b w:val="0"/>
          <w:color w:val="2B2F33"/>
          <w:sz w:val="20"/>
        </w:rPr>
        <w:t>Average off-plan price per sq ft is consistently above secondary-market pricing, making the premium measure a central comparison metric.</w:t>
      </w:r>
    </w:p>
    <w:p>
      <w:pPr>
        <w:spacing w:after="260" w:before="40" w:line="271" w:lineRule="auto"/>
        <w:ind w:left="43" w:right="29"/>
        <w:pBdr>
          <w:bottom w:val="single" w:sz="4" w:space="4" w:color="E4EBEF"/>
        </w:pBdr>
      </w:pPr>
      <w:r>
        <w:rPr>
          <w:rFonts w:ascii="Arial" w:hAnsi="Arial" w:eastAsia="Arial" w:cs="Arial"/>
          <w:b/>
          <w:color w:val="173A5E"/>
          <w:sz w:val="20"/>
        </w:rPr>
        <w:t xml:space="preserve">Luxury communities behave differently from yield leaders. </w:t>
      </w:r>
      <w:r>
        <w:rPr>
          <w:rFonts w:ascii="Arial" w:hAnsi="Arial" w:eastAsia="Arial" w:cs="Arial"/>
          <w:b w:val="0"/>
          <w:color w:val="2B2F33"/>
          <w:sz w:val="20"/>
        </w:rPr>
        <w:t>Emirates Hills and Bulgari Resort sit in a high-price/high-rent luxury position, while the highest estimated yields are found in other communities.</w:t>
      </w:r>
    </w:p>
    <w:p>
      <w:pPr>
        <w:spacing w:after="260" w:before="40" w:line="271" w:lineRule="auto"/>
        <w:ind w:left="43" w:right="29"/>
        <w:pBdr>
          <w:bottom w:val="single" w:sz="4" w:space="4" w:color="E4EBEF"/>
        </w:pBdr>
      </w:pPr>
      <w:r>
        <w:rPr>
          <w:rFonts w:ascii="Arial" w:hAnsi="Arial" w:eastAsia="Arial" w:cs="Arial"/>
          <w:b/>
          <w:color w:val="173A5E"/>
          <w:sz w:val="20"/>
        </w:rPr>
        <w:t xml:space="preserve">High price does not automatically mean high yield. </w:t>
      </w:r>
      <w:r>
        <w:rPr>
          <w:rFonts w:ascii="Arial" w:hAnsi="Arial" w:eastAsia="Arial" w:cs="Arial"/>
          <w:b w:val="0"/>
          <w:color w:val="2B2F33"/>
          <w:sz w:val="20"/>
        </w:rPr>
        <w:t>The investment page separates capital-entry price, rental income, rent growth, activity, and estimated yield instead of treating price alone as attractiveness.</w:t>
      </w:r>
    </w:p>
    <w:p>
      <w:pPr>
        <w:spacing w:after="260" w:before="40" w:line="271" w:lineRule="auto"/>
        <w:ind w:left="43" w:right="29"/>
        <w:pBdr>
          <w:bottom w:val="single" w:sz="4" w:space="4" w:color="E4EBEF"/>
        </w:pBdr>
      </w:pPr>
      <w:r>
        <w:rPr>
          <w:rFonts w:ascii="Arial" w:hAnsi="Arial" w:eastAsia="Arial" w:cs="Arial"/>
          <w:b/>
          <w:color w:val="173A5E"/>
          <w:sz w:val="20"/>
        </w:rPr>
        <w:t xml:space="preserve">Property characteristics show a clear price gradient. </w:t>
      </w:r>
      <w:r>
        <w:rPr>
          <w:rFonts w:ascii="Arial" w:hAnsi="Arial" w:eastAsia="Arial" w:cs="Arial"/>
          <w:b w:val="0"/>
          <w:color w:val="2B2F33"/>
          <w:sz w:val="20"/>
        </w:rPr>
        <w:t>Average property price rises strongly with bedroom count, while property type and size help explain segmentation across the market.</w:t>
      </w:r>
    </w:p>
    <w:p>
      <w:pPr>
        <w:spacing w:after="260" w:before="40" w:line="271" w:lineRule="auto"/>
        <w:ind w:left="43" w:right="29"/>
        <w:pBdr>
          <w:bottom w:val="single" w:sz="4" w:space="4" w:color="E4EBEF"/>
        </w:pBdr>
      </w:pPr>
      <w:r>
        <w:rPr>
          <w:rFonts w:ascii="Arial" w:hAnsi="Arial" w:eastAsia="Arial" w:cs="Arial"/>
          <w:b/>
          <w:color w:val="173A5E"/>
          <w:sz w:val="20"/>
        </w:rPr>
        <w:t xml:space="preserve">Accessibility varies materially by community. </w:t>
      </w:r>
      <w:r>
        <w:rPr>
          <w:rFonts w:ascii="Arial" w:hAnsi="Arial" w:eastAsia="Arial" w:cs="Arial"/>
          <w:b w:val="0"/>
          <w:color w:val="2B2F33"/>
          <w:sz w:val="20"/>
        </w:rPr>
        <w:t>Metro travel time and Burj Khalifa distance provide a location lens; The Valley stands out as a high-travel-time observation rather than being removed as an error.</w:t>
      </w:r>
    </w:p>
    <w:p>
      <w:pPr>
        <w:spacing w:after="260" w:before="40" w:line="271" w:lineRule="auto"/>
        <w:ind w:left="43" w:right="29"/>
      </w:pPr>
      <w:r>
        <w:rPr>
          <w:rFonts w:ascii="Arial" w:hAnsi="Arial" w:eastAsia="Arial" w:cs="Arial"/>
          <w:b/>
          <w:color w:val="173A5E"/>
          <w:sz w:val="20"/>
        </w:rPr>
        <w:t xml:space="preserve">2026 requires partial-year interpretation. </w:t>
      </w:r>
      <w:r>
        <w:rPr>
          <w:rFonts w:ascii="Arial" w:hAnsi="Arial" w:eastAsia="Arial" w:cs="Arial"/>
          <w:b w:val="0"/>
          <w:color w:val="2B2F33"/>
          <w:sz w:val="20"/>
        </w:rPr>
        <w:t>Listing and YoY comparisons explicitly account for data availability through April 2026 rather than comparing a partial year with a full prior year.</w:t>
      </w:r>
    </w:p>
    <w:p>
      <w:pPr>
        <w:pStyle w:val="Heading2"/>
        <w:keepNext/>
        <w:spacing w:before="180" w:after="120"/>
      </w:pPr>
      <w:r>
        <w:rPr>
          <w:rFonts w:ascii="Arial" w:hAnsi="Arial" w:eastAsia="Arial" w:cs="Arial"/>
          <w:b/>
          <w:color w:val="2B7A78"/>
          <w:sz w:val="24"/>
        </w:rPr>
        <w:t>Community Yield Interpretation</w:t>
      </w:r>
    </w:p>
    <w:p>
      <w:pPr>
        <w:spacing w:after="0" w:line="271" w:lineRule="auto"/>
        <w:shd w:fill="F4F9F8" w:val="clear"/>
        <w:ind w:left="144" w:right="144"/>
      </w:pPr>
      <w:r>
        <w:rPr>
          <w:rFonts w:ascii="Arial" w:hAnsi="Arial" w:eastAsia="Arial" w:cs="Arial"/>
          <w:b w:val="0"/>
          <w:color w:val="2B2F33"/>
          <w:sz w:val="20"/>
        </w:rPr>
        <w:t>Community yield rankings are aggregate screening indicators based on rental and secondary-market averages under the active filter context, not realized matched-property returns. After Dim Community was expanded to all 84 communities, the Investment &amp; Yield page evaluates the complete community set without grouping unmatched records under a blank member; rankings should therefore be read from the current report and slicer context.</w:t>
      </w:r>
    </w:p>
    <w:p>
      <w:r>
        <w:rPr>
          <w:rFonts w:ascii="Arial" w:hAnsi="Arial" w:eastAsia="Arial" w:cs="Arial"/>
          <w:b w:val="0"/>
          <w:color w:val="2B2F33"/>
          <w:sz w:val="20"/>
        </w:rPr>
        <w:br w:type="page"/>
      </w:r>
    </w:p>
    <w:p>
      <w:pPr>
        <w:pStyle w:val="Heading1"/>
        <w:keepNext/>
        <w:pBdr>
          <w:bottom w:val="single" w:sz="4" w:space="3" w:color="DCE6EC"/>
        </w:pBdr>
      </w:pPr>
      <w:r>
        <w:rPr>
          <w:rFonts w:ascii="Arial" w:hAnsi="Arial" w:eastAsia="Arial" w:cs="Arial"/>
          <w:b/>
          <w:color w:val="173A5E"/>
          <w:sz w:val="34"/>
        </w:rPr>
        <w:t>5. Limitations &amp; Professional Considerations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Listing-level records are synthetic/modelled and calibrated to real market/geographic anchors; results are analytical demonstrations rather than official transaction statistics.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Estimated gross rental yield combines rental and secondary-market averages under the same filter context; properties are not individually matched.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2026 coverage is partial through April, so annual comparisons must be interpreted as year-to-date where relevant.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Financing-rate analysis uses a shorter common window (Apr 2020-Mar 2024) than the full market dataset.</w:t>
      </w:r>
    </w:p>
    <w:p>
      <w:pPr>
        <w:pStyle w:val="ListBullet"/>
        <w:spacing w:after="200" w:line="264" w:lineRule="auto" w:before="0"/>
      </w:pPr>
      <w:r>
        <w:rPr>
          <w:rFonts w:ascii="Arial" w:hAnsi="Arial" w:eastAsia="Arial" w:cs="Arial"/>
          <w:b w:val="0"/>
          <w:color w:val="2B2F33"/>
          <w:sz w:val="20"/>
        </w:rPr>
        <w:t>Some source fields contain meaningful missingness, notably floor and total-floor information in Secondary Sales (~36% empty).</w:t>
      </w:r>
    </w:p>
    <w:p>
      <w:pPr>
        <w:pStyle w:val="Heading2"/>
        <w:keepNext/>
        <w:spacing w:after="120" w:before="180"/>
      </w:pPr>
      <w:r>
        <w:rPr>
          <w:rFonts w:ascii="Arial" w:hAnsi="Arial" w:eastAsia="Arial" w:cs="Arial"/>
          <w:b/>
          <w:color w:val="2B7A78"/>
          <w:sz w:val="24"/>
        </w:rPr>
        <w:t>Data Source &amp; Attribution</w:t>
      </w:r>
    </w:p>
    <w:p>
      <w:pPr>
        <w:spacing w:after="140" w:before="40"/>
      </w:pPr>
      <w:r>
        <w:rPr>
          <w:rFonts w:ascii="Arial" w:hAnsi="Arial" w:eastAsia="Arial" w:cs="Arial"/>
          <w:b/>
          <w:color w:val="2B2F33"/>
          <w:sz w:val="20"/>
        </w:rPr>
        <w:t xml:space="preserve">Source dataset: </w:t>
      </w:r>
      <w:r>
        <w:rPr>
          <w:rFonts w:ascii="Arial" w:hAnsi="Arial" w:eastAsia="Arial" w:cs="Arial"/>
          <w:b w:val="0"/>
          <w:i/>
          <w:color w:val="2B2F33"/>
          <w:sz w:val="20"/>
        </w:rPr>
        <w:t>Dubai Real Estate: Sales, Off-Plan &amp; Rentals (2020–2026)</w:t>
      </w:r>
      <w:r>
        <w:rPr>
          <w:rFonts w:ascii="Arial" w:hAnsi="Arial" w:eastAsia="Arial" w:cs="Arial"/>
          <w:b w:val="0"/>
          <w:color w:val="2B2F33"/>
          <w:sz w:val="20"/>
        </w:rPr>
        <w:t xml:space="preserve"> by Kaggle user sergionefedov, licensed under Apache License 2.0. </w:t>
      </w:r>
      <w:r>
        <w:rPr>
          <w:rFonts w:ascii="Arial" w:hAnsi="Arial" w:eastAsia="Arial" w:cs="Arial"/>
          <w:b w:val="0"/>
          <w:color w:val="2B2F33"/>
          <w:sz w:val="20"/>
        </w:rPr>
        <w:t>The Power Query transformations, dimensional model, DAX measures, dashboard design, analysis, and portfolio documentation were developed independently for this project.</w:t>
      </w:r>
    </w:p>
    <w:p>
      <w:pPr>
        <w:spacing w:after="180" w:before="40"/>
      </w:pPr>
      <w:r>
        <w:rPr>
          <w:rFonts w:ascii="Arial" w:hAnsi="Arial" w:eastAsia="Arial" w:cs="Arial"/>
          <w:b/>
          <w:color w:val="2B7A78"/>
          <w:sz w:val="20"/>
        </w:rPr>
        <w:t xml:space="preserve">Source link: </w:t>
      </w:r>
      <w:r>
        <w:rPr>
          <w:rFonts w:ascii="Arial" w:hAnsi="Arial" w:eastAsia="Arial" w:cs="Arial"/>
          <w:b w:val="0"/>
          <w:color w:val="2B2F33"/>
          <w:sz w:val="20"/>
        </w:rPr>
        <w:t>https://www.kaggle.com/datasets/sergionefedov/dubai-real-estate-sales-and-rentals-20202026</w:t>
      </w:r>
    </w:p>
    <w:p>
      <w:pPr>
        <w:pStyle w:val="Heading1"/>
        <w:keepNext/>
        <w:spacing w:before="240"/>
      </w:pPr>
      <w:r>
        <w:rPr>
          <w:rFonts w:ascii="Arial" w:hAnsi="Arial" w:eastAsia="Arial" w:cs="Arial"/>
          <w:b/>
          <w:color w:val="173A5E"/>
          <w:sz w:val="34"/>
        </w:rPr>
        <w:t>Skills Demonstrated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84"/>
            <w:shd w:fill="173A5E" w:val="clear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184"/>
            <w:shd w:fill="173A5E" w:val="clear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Evidence in Project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Power Query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profiling, cleaning, transformation, standardization, dependency-aware model preparation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Data Modeling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fact/dimension design, conformed dimensions, relationship cardinality/filter direction, shared bedroom dimension, referential-integrity QA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DAX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business measures, context-aware comparisons, time intelligence, same-period YoY logic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Visualization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KPI design, trend analysis, scatter analysis, conditional formatting, decomposition tree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Model Optimization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semantic-layer cleanup, hiding redundant technical fields, removing duplicate/debug measures</w:t>
            </w:r>
          </w:p>
        </w:tc>
      </w:tr>
      <w:tr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Business Analysis</w:t>
            </w:r>
          </w:p>
        </w:tc>
        <w:tc>
          <w:tcPr>
            <w:tcW w:type="dxa" w:w="51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8FAFB" w:val="clear"/>
            <w:tcBorders>
              <w:top w:val="single" w:sz="5" w:color="C9D4DC"/>
              <w:left w:val="single" w:sz="5" w:color="C9D4DC"/>
              <w:bottom w:val="single" w:sz="5" w:color="C9D4DC"/>
              <w:right w:val="single" w:sz="5" w:color="C9D4DC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eastAsia="Arial" w:cs="Arial"/>
                <w:b w:val="0"/>
                <w:color w:val="2B2F33"/>
                <w:sz w:val="18"/>
              </w:rPr>
              <w:t>translating real-estate questions into interpretable metrics and investment-oriented insights</w:t>
            </w:r>
          </w:p>
        </w:tc>
      </w:tr>
    </w:tbl>
    <w:p>
      <w:pPr>
        <w:pStyle w:val="Heading1"/>
        <w:keepNext/>
        <w:spacing w:before="240"/>
      </w:pPr>
      <w:r>
        <w:rPr>
          <w:rFonts w:ascii="Arial" w:hAnsi="Arial" w:eastAsia="Arial" w:cs="Arial"/>
          <w:b/>
          <w:color w:val="173A5E"/>
          <w:sz w:val="34"/>
        </w:rPr>
        <w:t>Outcome</w:t>
      </w:r>
    </w:p>
    <w:p>
      <w:pPr>
        <w:spacing w:after="0" w:line="271" w:lineRule="auto"/>
      </w:pPr>
      <w:r>
        <w:rPr>
          <w:rFonts w:ascii="Arial" w:hAnsi="Arial" w:eastAsia="Arial" w:cs="Arial"/>
          <w:b w:val="0"/>
          <w:color w:val="2B2F33"/>
          <w:sz w:val="20"/>
        </w:rPr>
        <w:t>The final solution is a concise, analysis-ready Power BI portfolio project with a clean semantic model, reusable DAX layer, five business-focused report pages, and documented assumptions. It demonstrates the complete workflow from raw-data preparation through dimensional modeling, analytical calculation, visualization, and business interpretation.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bottom w:val="single" w:sz="4" w:space="2" w:color="C9D4DC"/>
      </w:pBdr>
    </w:pPr>
    <w:r>
      <w:rPr>
        <w:rFonts w:ascii="Arial" w:hAnsi="Arial" w:eastAsia="Arial" w:cs="Arial"/>
        <w:b w:val="0"/>
        <w:color w:val="5B6570"/>
        <w:sz w:val="16"/>
      </w:rPr>
      <w:t>Dubai Real Estate Market Analysis | Power BI Portfolio</w:t>
    </w:r>
  </w:p>
  <w:p>
    <w:pPr>
      <w:spacing w:before="0" w:after="0"/>
      <w:jc w:val="right"/>
    </w:pPr>
    <w:r>
      <w:rPr>
        <w:rFonts w:ascii="Arial" w:hAnsi="Arial" w:eastAsia="Arial" w:cs="Arial"/>
        <w:b w:val="0"/>
        <w:color w:val="5B657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 w:cs="Arial"/>
      <w:b w:val="0"/>
      <w:color w:val="2B2F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4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B7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30" w:line="262" w:lineRule="auto" w:before="0"/>
      <w:ind w:left="432" w:hanging="202"/>
      <w:contextualSpacing/>
    </w:pPr>
    <w:rPr>
      <w:rFonts w:ascii="Arial" w:hAnsi="Arial" w:eastAsia="Arial" w:cs="Arial"/>
      <w:b w:val="0"/>
      <w:color w:val="2B2F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Dubai Real Estate Market Analysis - Power BI Portfolio Case Study</dc:title>
  <dc:subject>Employer-facing Power BI portfolio documentation</dc:subject>
  <dc:creator/>
  <cp:keywords>Power BI, Dubai Real Estate, DAX, Power Query, Data Modeling,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