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aps/>
          <w:color w:val="C0392B"/>
          <w:sz w:val="20"/>
          <w:szCs w:val="20"/>
        </w:rPr>
        <w:t xml:space="preserve">RESEARCH PAPER</w:t>
      </w:r>
    </w:p>
    <w:p>
      <w:pPr>
        <w:spacing w:after="120" w:before="0"/>
        <w:jc w:val="center"/>
      </w:pPr>
      <w:r>
        <w:rPr>
          <w:rFonts w:ascii="Times New Roman" w:cs="Times New Roman" w:eastAsia="Times New Roman" w:hAnsi="Times New Roman"/>
          <w:b/>
          <w:bCs/>
          <w:color w:val="1F3864"/>
          <w:sz w:val="40"/>
          <w:szCs w:val="40"/>
        </w:rPr>
        <w:t xml:space="preserve">Predictive Modeling and Risk Scoring for Bank Customer Churn</w:t>
      </w:r>
    </w:p>
    <w:p>
      <w:pPr>
        <w:pBdr>
          <w:bottom w:val="single" w:color="1F3864" w:sz="6" w:space="1"/>
        </w:pBdr>
        <w:spacing w:after="160" w:before="0"/>
      </w:pPr>
      <w:r>
        <w:t xml:space="preserve"/>
      </w:r>
    </w:p>
    <w:p>
      <w:pPr>
        <w:spacing w:after="200" w:before="0"/>
        <w:jc w:val="center"/>
      </w:pPr>
      <w:r>
        <w:rPr>
          <w:rFonts w:ascii="Times New Roman" w:cs="Times New Roman" w:eastAsia="Times New Roman" w:hAnsi="Times New Roman"/>
          <w:color w:val="555F6E"/>
          <w:sz w:val="24"/>
          <w:szCs w:val="24"/>
        </w:rPr>
        <w:t xml:space="preserve">A Machine Learning Framework for Proactive Customer Retention Intelligence</w:t>
      </w:r>
    </w:p>
    <w:p>
      <w:pPr>
        <w:spacing w:after="40" w:before="0"/>
        <w:jc w:val="center"/>
      </w:pPr>
      <w:r>
        <w:rPr>
          <w:rFonts w:ascii="Times New Roman" w:cs="Times New Roman" w:eastAsia="Times New Roman" w:hAnsi="Times New Roman"/>
          <w:b/>
          <w:bCs/>
          <w:color w:val="1F3864"/>
          <w:sz w:val="22"/>
          <w:szCs w:val="22"/>
        </w:rPr>
        <w:t xml:space="preserve">Author: </w:t>
      </w:r>
      <w:r>
        <w:rPr>
          <w:rFonts w:ascii="Times New Roman" w:cs="Times New Roman" w:eastAsia="Times New Roman" w:hAnsi="Times New Roman"/>
          <w:color w:val="1A1A1A"/>
          <w:sz w:val="22"/>
          <w:szCs w:val="22"/>
        </w:rPr>
        <w:t xml:space="preserve">Vaibhav Madival</w:t>
      </w:r>
    </w:p>
    <w:p>
      <w:pPr>
        <w:spacing w:after="40" w:before="0"/>
        <w:jc w:val="center"/>
      </w:pPr>
      <w:r>
        <w:rPr>
          <w:rFonts w:ascii="Times New Roman" w:cs="Times New Roman" w:eastAsia="Times New Roman" w:hAnsi="Times New Roman"/>
          <w:b/>
          <w:bCs/>
          <w:color w:val="1F3864"/>
          <w:sz w:val="22"/>
          <w:szCs w:val="22"/>
        </w:rPr>
        <w:t xml:space="preserve">Organisation: </w:t>
      </w:r>
      <w:r>
        <w:rPr>
          <w:rFonts w:ascii="Times New Roman" w:cs="Times New Roman" w:eastAsia="Times New Roman" w:hAnsi="Times New Roman"/>
          <w:color w:val="1A1A1A"/>
          <w:sz w:val="22"/>
          <w:szCs w:val="22"/>
        </w:rPr>
        <w:t xml:space="preserve">Unified Mentor Private Limited</w:t>
      </w:r>
    </w:p>
    <w:p>
      <w:pPr>
        <w:spacing w:after="40" w:before="0"/>
        <w:jc w:val="center"/>
      </w:pPr>
      <w:r>
        <w:rPr>
          <w:rFonts w:ascii="Times New Roman" w:cs="Times New Roman" w:eastAsia="Times New Roman" w:hAnsi="Times New Roman"/>
          <w:b/>
          <w:bCs/>
          <w:color w:val="1F3864"/>
          <w:sz w:val="22"/>
          <w:szCs w:val="22"/>
        </w:rPr>
        <w:t xml:space="preserve">Unified Mentor: </w:t>
      </w:r>
      <w:r>
        <w:rPr>
          <w:rFonts w:ascii="Times New Roman" w:cs="Times New Roman" w:eastAsia="Times New Roman" w:hAnsi="Times New Roman"/>
          <w:color w:val="1A1A1A"/>
          <w:sz w:val="22"/>
          <w:szCs w:val="22"/>
        </w:rPr>
        <w:t xml:space="preserve">The European Central Bank</w:t>
      </w:r>
    </w:p>
    <w:p>
      <w:pPr>
        <w:spacing w:after="40" w:before="0"/>
        <w:jc w:val="center"/>
      </w:pPr>
      <w:r>
        <w:rPr>
          <w:rFonts w:ascii="Times New Roman" w:cs="Times New Roman" w:eastAsia="Times New Roman" w:hAnsi="Times New Roman"/>
          <w:b/>
          <w:bCs/>
          <w:color w:val="1F3864"/>
          <w:sz w:val="22"/>
          <w:szCs w:val="22"/>
        </w:rPr>
        <w:t xml:space="preserve">Year: </w:t>
      </w:r>
      <w:r>
        <w:rPr>
          <w:rFonts w:ascii="Times New Roman" w:cs="Times New Roman" w:eastAsia="Times New Roman" w:hAnsi="Times New Roman"/>
          <w:color w:val="1A1A1A"/>
          <w:sz w:val="22"/>
          <w:szCs w:val="22"/>
        </w:rPr>
        <w:t xml:space="preserve">2025</w:t>
      </w:r>
    </w:p>
    <w:p>
      <w:pPr>
        <w:spacing w:after="40" w:before="0"/>
        <w:jc w:val="center"/>
      </w:pPr>
      <w:r>
        <w:rPr>
          <w:rFonts w:ascii="Times New Roman" w:cs="Times New Roman" w:eastAsia="Times New Roman" w:hAnsi="Times New Roman"/>
          <w:b/>
          <w:bCs/>
          <w:color w:val="1F3864"/>
          <w:sz w:val="22"/>
          <w:szCs w:val="22"/>
        </w:rPr>
        <w:t xml:space="preserve">Dataset: </w:t>
      </w:r>
      <w:r>
        <w:rPr>
          <w:rFonts w:ascii="Times New Roman" w:cs="Times New Roman" w:eastAsia="Times New Roman" w:hAnsi="Times New Roman"/>
          <w:color w:val="1A1A1A"/>
          <w:sz w:val="22"/>
          <w:szCs w:val="22"/>
        </w:rPr>
        <w:t xml:space="preserve">European Bank Customer Churn  |  10,000 Records  |  13 Features</w:t>
      </w:r>
    </w:p>
    <w:p>
      <w:pPr>
        <w:spacing w:after="360" w:before="0"/>
        <w:jc w:val="center"/>
      </w:pPr>
      <w:r>
        <w:rPr>
          <w:rFonts w:ascii="Times New Roman" w:cs="Times New Roman" w:eastAsia="Times New Roman" w:hAnsi="Times New Roman"/>
          <w:b/>
          <w:bCs/>
          <w:color w:val="1F3864"/>
          <w:sz w:val="22"/>
          <w:szCs w:val="22"/>
        </w:rPr>
        <w:t xml:space="preserve">Keywords: </w:t>
      </w:r>
      <w:r>
        <w:rPr>
          <w:rFonts w:ascii="Times New Roman" w:cs="Times New Roman" w:eastAsia="Times New Roman" w:hAnsi="Times New Roman"/>
          <w:color w:val="555F6E"/>
          <w:sz w:val="22"/>
          <w:szCs w:val="22"/>
        </w:rPr>
        <w:t xml:space="preserve">Customer Churn, Predictive Modeling, Risk Scoring, Random Forest, Gradient Boosting, SHAP, Retail Banking</w:t>
      </w:r>
    </w:p>
    <w:p>
      <w:pPr>
        <w:pBdr>
          <w:bottom w:val="single" w:color="E2E6ED" w:sz="2" w:space="2"/>
        </w:pBdr>
        <w:spacing w:after="80" w:before="0"/>
      </w:pPr>
      <w:r>
        <w:rPr>
          <w:rFonts w:ascii="Times New Roman" w:cs="Times New Roman" w:eastAsia="Times New Roman" w:hAnsi="Times New Roman"/>
          <w:b/>
          <w:bCs/>
          <w:caps/>
          <w:color w:val="1F3864"/>
          <w:sz w:val="22"/>
          <w:szCs w:val="22"/>
        </w:rPr>
        <w:t xml:space="preserve">ABSTRACT</w:t>
      </w:r>
    </w:p>
    <w:p>
      <w:pPr>
        <w:spacing w:after="400" w:before="120" w:line="340"/>
        <w:jc w:val="both"/>
      </w:pPr>
      <w:r>
        <w:rPr>
          <w:rFonts w:ascii="Times New Roman" w:cs="Times New Roman" w:eastAsia="Times New Roman" w:hAnsi="Times New Roman"/>
          <w:color w:val="1A1A1A"/>
          <w:sz w:val="24"/>
          <w:szCs w:val="24"/>
        </w:rPr>
        <w:t xml:space="preserve">Customer attrition represents one of the most consequential operational risks in retail banking, directly eroding Customer Lifetime Value (CLV), revenue stability, and market competitiveness. This research paper presents a comprehensive predictive modeling and risk scoring framework developed using a 10,000-customer European bank dataset spanning three geographies: France, Germany, and Spain. A multi-model machine learning pipeline — encompassing Logistic Regression, Decision Tree, Random Forest, and Gradient Boosting — was constructed, evaluated, and explained using SHAP value analysis. The best-performing model, Gradient Boosting, achieved an ROC-AUC of 0.87, enabling reliable per-customer churn probability scoring. Key findings include: a disproportionate churn rate of 32.4% in Germany; a non-linear product-churn relationship where 3+ product holders exhibit over 82% churn; age as the strongest demographic predictor (r = 0.29); and active membership status as the most powerful protective behavioral factor. The framework delivers calibrated risk scores, explainable predictions, and targeted business recommendations to support proactive, precision-driven customer retention.</w:t>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1. </w:t>
      </w:r>
      <w:r>
        <w:rPr>
          <w:rFonts w:ascii="Times New Roman" w:cs="Times New Roman" w:eastAsia="Times New Roman" w:hAnsi="Times New Roman"/>
          <w:b/>
          <w:bCs/>
          <w:color w:val="1F3864"/>
          <w:sz w:val="26"/>
          <w:szCs w:val="26"/>
        </w:rPr>
        <w:t xml:space="preserve">INTRODUCTION</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The modern retail banking sector operates under intensifying competitive pressure, rising customer acquisition costs, and growing expectations for personalised service. In this landscape, </w:t>
      </w:r>
      <w:r>
        <w:rPr>
          <w:rFonts w:ascii="Times New Roman" w:cs="Times New Roman" w:eastAsia="Times New Roman" w:hAnsi="Times New Roman"/>
          <w:b/>
          <w:bCs/>
          <w:color w:val="1A1A1A"/>
          <w:sz w:val="24"/>
          <w:szCs w:val="24"/>
        </w:rPr>
        <w:t xml:space="preserve">customer churn</w:t>
      </w:r>
      <w:r>
        <w:rPr>
          <w:rFonts w:ascii="Times New Roman" w:cs="Times New Roman" w:eastAsia="Times New Roman" w:hAnsi="Times New Roman"/>
          <w:color w:val="1A1A1A"/>
          <w:sz w:val="24"/>
          <w:szCs w:val="24"/>
        </w:rPr>
        <w:t xml:space="preserve"> — defined as the voluntary exit of a customer from a financial institution — poses a direct threat to long-term profitability and institutional resilience. Churn erodes Customer Lifetime Value (CLV), diminishes cross-sell and upsell potential, and undermines revenue stability.</w:t>
      </w:r>
    </w:p>
    <w:p>
      <w:pPr>
        <w:spacing w:after="160" w:before="0" w:line="360"/>
        <w:jc w:val="both"/>
      </w:pPr>
      <w:r>
        <w:rPr>
          <w:rFonts w:ascii="Times New Roman" w:cs="Times New Roman" w:eastAsia="Times New Roman" w:hAnsi="Times New Roman"/>
          <w:color w:val="1A1A1A"/>
          <w:sz w:val="24"/>
          <w:szCs w:val="24"/>
        </w:rPr>
        <w:t xml:space="preserve">Traditional approaches to churn management have been retrospective in nature: banks identified who left and why only after the attrition event. The contemporary paradigm demands a forward-looking capability — one that assigns quantitative churn risk probabilities to customers </w:t>
      </w:r>
      <w:r>
        <w:rPr>
          <w:rFonts w:ascii="Times New Roman" w:cs="Times New Roman" w:eastAsia="Times New Roman" w:hAnsi="Times New Roman"/>
          <w:color w:val="1A1A1A"/>
          <w:sz w:val="24"/>
          <w:szCs w:val="24"/>
        </w:rPr>
        <w:t xml:space="preserve">before</w:t>
      </w:r>
      <w:r>
        <w:rPr>
          <w:rFonts w:ascii="Times New Roman" w:cs="Times New Roman" w:eastAsia="Times New Roman" w:hAnsi="Times New Roman"/>
          <w:color w:val="1A1A1A"/>
          <w:sz w:val="24"/>
          <w:szCs w:val="24"/>
        </w:rPr>
        <w:t xml:space="preserve"> departure occurs, enabling proactive and personalised retention interventions. This shift from reactive to predictive retention strategy has the potential to reduce intervention cost, increase campaign precision, and improve customer loyalty metrics measurably.</w:t>
      </w:r>
    </w:p>
    <w:p>
      <w:pPr>
        <w:spacing w:after="80" w:before="320"/>
      </w:pPr>
      <w:r>
        <w:rPr>
          <w:rFonts w:ascii="Times New Roman" w:cs="Times New Roman" w:eastAsia="Times New Roman" w:hAnsi="Times New Roman"/>
          <w:b/>
          <w:bCs/>
          <w:color w:val="2563A8"/>
          <w:sz w:val="24"/>
          <w:szCs w:val="24"/>
        </w:rPr>
        <w:t xml:space="preserve">1.1  Problem Statement</w:t>
      </w:r>
    </w:p>
    <w:p>
      <w:pPr>
        <w:spacing w:after="160" w:before="0" w:line="360"/>
        <w:jc w:val="both"/>
      </w:pPr>
      <w:r>
        <w:rPr>
          <w:rFonts w:ascii="Times New Roman" w:cs="Times New Roman" w:eastAsia="Times New Roman" w:hAnsi="Times New Roman"/>
          <w:color w:val="1A1A1A"/>
          <w:sz w:val="24"/>
          <w:szCs w:val="24"/>
        </w:rPr>
        <w:t xml:space="preserve">Despite access to rich customer-level data, banks commonly lack accurate predictive churn models, calibrated risk scores, and regulatory-grade explanations of churn drivers. Consequently, retention efforts are broad, costly, and poorly targeted. This research addresses these gaps by constructing an end-to-end churn intelligence system that produces interpretable, actionable outputs for relationship managers and strategy teams.</w:t>
      </w:r>
    </w:p>
    <w:p>
      <w:pPr>
        <w:spacing w:after="80" w:before="320"/>
      </w:pPr>
      <w:r>
        <w:rPr>
          <w:rFonts w:ascii="Times New Roman" w:cs="Times New Roman" w:eastAsia="Times New Roman" w:hAnsi="Times New Roman"/>
          <w:b/>
          <w:bCs/>
          <w:color w:val="2563A8"/>
          <w:sz w:val="24"/>
          <w:szCs w:val="24"/>
        </w:rPr>
        <w:t xml:space="preserve">1.2  Research Objectives</w:t>
      </w:r>
    </w:p>
    <w:p>
      <w:pPr>
        <w:spacing w:after="60" w:before="200"/>
      </w:pPr>
      <w:r>
        <w:rPr>
          <w:rFonts w:ascii="Times New Roman" w:cs="Times New Roman" w:eastAsia="Times New Roman" w:hAnsi="Times New Roman"/>
          <w:b/>
          <w:bCs/>
          <w:color w:val="555F6E"/>
          <w:sz w:val="24"/>
          <w:szCs w:val="24"/>
        </w:rPr>
        <w:t xml:space="preserve">Primary Objectives</w:t>
      </w:r>
    </w:p>
    <w:p>
      <w:pPr>
        <w:pStyle w:val="ListParagraph"/>
        <w:numPr>
          <w:ilvl w:val="0"/>
          <w:numId w:val="2"/>
        </w:numPr>
        <w:spacing w:after="80" w:before="40" w:line="320"/>
      </w:pPr>
      <w:r>
        <w:rPr>
          <w:rFonts w:ascii="Times New Roman" w:cs="Times New Roman" w:eastAsia="Times New Roman" w:hAnsi="Times New Roman"/>
          <w:color w:val="1A1A1A"/>
          <w:sz w:val="24"/>
          <w:szCs w:val="24"/>
        </w:rPr>
        <w:t xml:space="preserve">Predict customer churn with high accuracy using machine learning</w:t>
      </w:r>
    </w:p>
    <w:p>
      <w:pPr>
        <w:pStyle w:val="ListParagraph"/>
        <w:numPr>
          <w:ilvl w:val="0"/>
          <w:numId w:val="2"/>
        </w:numPr>
        <w:spacing w:after="80" w:before="40" w:line="320"/>
      </w:pPr>
      <w:r>
        <w:rPr>
          <w:rFonts w:ascii="Times New Roman" w:cs="Times New Roman" w:eastAsia="Times New Roman" w:hAnsi="Times New Roman"/>
          <w:color w:val="1A1A1A"/>
          <w:sz w:val="24"/>
          <w:szCs w:val="24"/>
        </w:rPr>
        <w:t xml:space="preserve">Generate calibrated per-customer churn probability scores (0–1 scale)</w:t>
      </w:r>
    </w:p>
    <w:p>
      <w:pPr>
        <w:pStyle w:val="ListParagraph"/>
        <w:numPr>
          <w:ilvl w:val="0"/>
          <w:numId w:val="2"/>
        </w:numPr>
        <w:spacing w:after="80" w:before="40" w:line="320"/>
      </w:pPr>
      <w:r>
        <w:rPr>
          <w:rFonts w:ascii="Times New Roman" w:cs="Times New Roman" w:eastAsia="Times New Roman" w:hAnsi="Times New Roman"/>
          <w:color w:val="1A1A1A"/>
          <w:sz w:val="24"/>
          <w:szCs w:val="24"/>
        </w:rPr>
        <w:t xml:space="preserve">Identify and rank key behavioural and demographic churn drivers</w:t>
      </w:r>
    </w:p>
    <w:p>
      <w:pPr>
        <w:spacing w:after="80" w:before="0"/>
      </w:pPr>
      <w:r>
        <w:t xml:space="preserve"/>
      </w:r>
    </w:p>
    <w:p>
      <w:pPr>
        <w:spacing w:after="60" w:before="200"/>
      </w:pPr>
      <w:r>
        <w:rPr>
          <w:rFonts w:ascii="Times New Roman" w:cs="Times New Roman" w:eastAsia="Times New Roman" w:hAnsi="Times New Roman"/>
          <w:b/>
          <w:bCs/>
          <w:color w:val="555F6E"/>
          <w:sz w:val="24"/>
          <w:szCs w:val="24"/>
        </w:rPr>
        <w:t xml:space="preserve">Secondary Objectives</w:t>
      </w:r>
    </w:p>
    <w:p>
      <w:pPr>
        <w:pStyle w:val="ListParagraph"/>
        <w:numPr>
          <w:ilvl w:val="0"/>
          <w:numId w:val="2"/>
        </w:numPr>
        <w:spacing w:after="80" w:before="40" w:line="320"/>
      </w:pPr>
      <w:r>
        <w:rPr>
          <w:rFonts w:ascii="Times New Roman" w:cs="Times New Roman" w:eastAsia="Times New Roman" w:hAnsi="Times New Roman"/>
          <w:color w:val="1A1A1A"/>
          <w:sz w:val="24"/>
          <w:szCs w:val="24"/>
        </w:rPr>
        <w:t xml:space="preserve">Minimise false positives to reduce unnecessary retention spend</w:t>
      </w:r>
    </w:p>
    <w:p>
      <w:pPr>
        <w:pStyle w:val="ListParagraph"/>
        <w:numPr>
          <w:ilvl w:val="0"/>
          <w:numId w:val="2"/>
        </w:numPr>
        <w:spacing w:after="80" w:before="40" w:line="320"/>
      </w:pPr>
      <w:r>
        <w:rPr>
          <w:rFonts w:ascii="Times New Roman" w:cs="Times New Roman" w:eastAsia="Times New Roman" w:hAnsi="Times New Roman"/>
          <w:color w:val="1A1A1A"/>
          <w:sz w:val="24"/>
          <w:szCs w:val="24"/>
        </w:rPr>
        <w:t xml:space="preserve">Deliver SHAP-based model explainability for regulatory compliance</w:t>
      </w:r>
    </w:p>
    <w:p>
      <w:pPr>
        <w:pStyle w:val="ListParagraph"/>
        <w:numPr>
          <w:ilvl w:val="0"/>
          <w:numId w:val="2"/>
        </w:numPr>
        <w:spacing w:after="80" w:before="40" w:line="320"/>
      </w:pPr>
      <w:r>
        <w:rPr>
          <w:rFonts w:ascii="Times New Roman" w:cs="Times New Roman" w:eastAsia="Times New Roman" w:hAnsi="Times New Roman"/>
          <w:color w:val="1A1A1A"/>
          <w:sz w:val="24"/>
          <w:szCs w:val="24"/>
        </w:rPr>
        <w:t xml:space="preserve">Enable scenario-based what-if churn risk simulation</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2. </w:t>
      </w:r>
      <w:r>
        <w:rPr>
          <w:rFonts w:ascii="Times New Roman" w:cs="Times New Roman" w:eastAsia="Times New Roman" w:hAnsi="Times New Roman"/>
          <w:b/>
          <w:bCs/>
          <w:color w:val="1F3864"/>
          <w:sz w:val="26"/>
          <w:szCs w:val="26"/>
        </w:rPr>
        <w:t xml:space="preserve">DATASET DESCRIPTION</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The study uses the European Bank Customer Churn dataset comprising 10,000 customer records across France, Germany, and Spain. Thirteen features cover demographic attributes, financial profile, product utilisation, and behavioural indicators. The binary target variable </w:t>
      </w:r>
      <w:r>
        <w:rPr>
          <w:rFonts w:ascii="Times New Roman" w:cs="Times New Roman" w:eastAsia="Times New Roman" w:hAnsi="Times New Roman"/>
          <w:b/>
          <w:bCs/>
          <w:color w:val="1A1A1A"/>
          <w:sz w:val="24"/>
          <w:szCs w:val="24"/>
        </w:rPr>
        <w:t xml:space="preserve">Exited</w:t>
      </w:r>
      <w:r>
        <w:rPr>
          <w:rFonts w:ascii="Times New Roman" w:cs="Times New Roman" w:eastAsia="Times New Roman" w:hAnsi="Times New Roman"/>
          <w:color w:val="1A1A1A"/>
          <w:sz w:val="24"/>
          <w:szCs w:val="24"/>
        </w:rPr>
        <w:t xml:space="preserve"> (1 = churned, 0 = retained) exhibits a 20.4% positive class rate, reflecting a modest but operationally significant class imbalance.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60"/>
        <w:gridCol w:w="460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1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Role</w:t>
            </w:r>
          </w:p>
        </w:tc>
        <w:tc>
          <w:tcPr>
            <w:tcW w:type="dxa" w:w="4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CustomerId</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Integer</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Excluded</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Unique identifier — no predictive signal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Surname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String</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Excluded</w:t>
            </w:r>
          </w:p>
        </w:tc>
        <w:tc>
          <w:tcPr>
            <w:tcW w:type="dxa" w:w="4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Family name — no predictive signal</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CreditScore</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Continuous</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Creditworthiness score (~350–850)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Geography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Categorical</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France, Germany, or Spain</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Gender</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Binary</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Male / Female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Continuous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Age in years — strongest churn predictor</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Tenure</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Discrete</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Years the customer has held an account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Balance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Continuous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Current account balance</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NumOfProducts</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Discrete</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Products held (1–4); non-linear relationship</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HasCrCard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Binary</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Credit card ownership (1 = Yes)</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IsActiveMember</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Binary</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Engagement flag — strong protective factor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EstimatedSalary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Continuous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Predictor</w:t>
            </w:r>
          </w:p>
        </w:tc>
        <w:tc>
          <w:tcPr>
            <w:tcW w:type="dxa" w:w="4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Estimated annual salary</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Exited</w:t>
            </w:r>
          </w:p>
        </w:tc>
        <w:tc>
          <w:tcPr>
            <w:tcW w:type="dxa" w:w="1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Binary</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Target</w:t>
            </w:r>
          </w:p>
        </w:tc>
        <w:tc>
          <w:tcPr>
            <w:tcW w:type="dxa" w:w="4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 = Churned, 0 = Retained</w:t>
            </w:r>
          </w:p>
        </w:tc>
      </w:tr>
    </w:tbl>
    <w:p>
      <w:pPr>
        <w:spacing w:after="80" w:before="0"/>
      </w:pPr>
      <w:r>
        <w:t xml:space="preserve"/>
      </w:r>
    </w:p>
    <w:p>
      <w:pPr>
        <w:spacing w:after="160" w:before="0" w:line="360"/>
        <w:jc w:val="both"/>
      </w:pPr>
      <w:r>
        <w:rPr>
          <w:rFonts w:ascii="Times New Roman" w:cs="Times New Roman" w:eastAsia="Times New Roman" w:hAnsi="Times New Roman"/>
          <w:color w:val="555F6E"/>
          <w:sz w:val="20"/>
          <w:szCs w:val="20"/>
        </w:rPr>
        <w:t xml:space="preserve">* Denotes features with highest predictive importance in final models.</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3. </w:t>
      </w:r>
      <w:r>
        <w:rPr>
          <w:rFonts w:ascii="Times New Roman" w:cs="Times New Roman" w:eastAsia="Times New Roman" w:hAnsi="Times New Roman"/>
          <w:b/>
          <w:bCs/>
          <w:color w:val="1F3864"/>
          <w:sz w:val="26"/>
          <w:szCs w:val="26"/>
        </w:rPr>
        <w:t xml:space="preserve">EXPLORATORY DATA ANALYSIS</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Exploratory analysis of the dataset revealed several actionable patterns that directly inform model design and retention strategy. Findings are presented by theme below.</w:t>
      </w:r>
    </w:p>
    <w:p>
      <w:pPr>
        <w:spacing w:after="80" w:before="320"/>
      </w:pPr>
      <w:r>
        <w:rPr>
          <w:rFonts w:ascii="Times New Roman" w:cs="Times New Roman" w:eastAsia="Times New Roman" w:hAnsi="Times New Roman"/>
          <w:b/>
          <w:bCs/>
          <w:color w:val="2563A8"/>
          <w:sz w:val="24"/>
          <w:szCs w:val="24"/>
        </w:rPr>
        <w:t xml:space="preserve">3.1  Churn Distribution</w:t>
      </w:r>
    </w:p>
    <w:p>
      <w:pPr>
        <w:spacing w:after="160" w:before="0" w:line="360"/>
        <w:jc w:val="both"/>
      </w:pPr>
      <w:r>
        <w:rPr>
          <w:rFonts w:ascii="Times New Roman" w:cs="Times New Roman" w:eastAsia="Times New Roman" w:hAnsi="Times New Roman"/>
          <w:color w:val="1A1A1A"/>
          <w:sz w:val="24"/>
          <w:szCs w:val="24"/>
        </w:rPr>
        <w:t xml:space="preserve">Of 10,000 customers, 7,963 (79.6%) were retained and 2,037 (20.4%) churned. The dataset contains no missing values and requires no imputation. The 20.4% positive class rate is sufficient for direct stratified splitting without aggressive oversampling, though evaluation metrics sensitive to imbalance — F1-Score and ROC-AUC — are prioritised over raw accuracy.</w:t>
      </w:r>
    </w:p>
    <w:p>
      <w:pPr>
        <w:spacing w:after="80" w:before="320"/>
      </w:pPr>
      <w:r>
        <w:rPr>
          <w:rFonts w:ascii="Times New Roman" w:cs="Times New Roman" w:eastAsia="Times New Roman" w:hAnsi="Times New Roman"/>
          <w:b/>
          <w:bCs/>
          <w:color w:val="2563A8"/>
          <w:sz w:val="24"/>
          <w:szCs w:val="24"/>
        </w:rPr>
        <w:t xml:space="preserve">3.2  Geographic Disparity</w:t>
      </w:r>
    </w:p>
    <w:p>
      <w:pPr>
        <w:spacing w:after="160" w:before="0" w:line="360"/>
        <w:jc w:val="both"/>
      </w:pPr>
      <w:r>
        <w:rPr>
          <w:rFonts w:ascii="Times New Roman" w:cs="Times New Roman" w:eastAsia="Times New Roman" w:hAnsi="Times New Roman"/>
          <w:color w:val="1A1A1A"/>
          <w:sz w:val="24"/>
          <w:szCs w:val="24"/>
        </w:rPr>
        <w:t xml:space="preserve">Germany exhibits a churn rate of 32.4%, more than double that of France (16.2%) and Spain (16.7%). This pronounced geographic concentration signals that country-specific factors — competitive market dynamics, service quality differentials, or economic conditions — are driving disproportionate attrition in the German market, warranting dedicated investigation and regionally differentiated retention strategy.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DDDDDD" w:sz="1"/>
            </w:tcBorders>
            <w:shd w:fill="FEF9F9" w:val="clear"/>
            <w:tcMar>
              <w:top w:type="dxa" w:w="120"/>
              <w:left w:type="dxa" w:w="200"/>
              <w:bottom w:type="dxa" w:w="120"/>
              <w:right w:type="dxa" w:w="200"/>
            </w:tcMar>
          </w:tcPr>
          <w:p>
            <w:pPr>
              <w:spacing w:after="60" w:before="0"/>
            </w:pPr>
            <w:r>
              <w:rPr>
                <w:rFonts w:ascii="Times New Roman" w:cs="Times New Roman" w:eastAsia="Times New Roman" w:hAnsi="Times New Roman"/>
                <w:b/>
                <w:bCs/>
                <w:caps/>
                <w:color w:val="C0392B"/>
                <w:sz w:val="20"/>
                <w:szCs w:val="20"/>
              </w:rPr>
              <w:t xml:space="preserve">Key Finding</w:t>
            </w:r>
          </w:p>
          <w:p>
            <w:pPr>
              <w:spacing w:after="0" w:before="0" w:line="320"/>
            </w:pPr>
            <w:r>
              <w:rPr>
                <w:rFonts w:ascii="Times New Roman" w:cs="Times New Roman" w:eastAsia="Times New Roman" w:hAnsi="Times New Roman"/>
                <w:color w:val="1A1A1A"/>
                <w:sz w:val="22"/>
                <w:szCs w:val="22"/>
              </w:rPr>
              <w:t xml:space="preserve">Germany's churn rate of 32.4% is the most concentrated geographic risk in the dataset. A Germany-first retention programme is the highest-priority geographic intervention.</w:t>
            </w:r>
          </w:p>
        </w:tc>
      </w:tr>
    </w:tbl>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3.3  Demographic Patterns: Age and Gender</w:t>
      </w:r>
    </w:p>
    <w:p>
      <w:pPr>
        <w:spacing w:after="160" w:before="0" w:line="360"/>
        <w:jc w:val="both"/>
      </w:pPr>
      <w:r>
        <w:rPr>
          <w:rFonts w:ascii="Times New Roman" w:cs="Times New Roman" w:eastAsia="Times New Roman" w:hAnsi="Times New Roman"/>
          <w:color w:val="1A1A1A"/>
          <w:sz w:val="24"/>
          <w:szCs w:val="24"/>
        </w:rPr>
        <w:t xml:space="preserve">Age is the strongest individual predictor of churn (Pearson r = 0.29). Churned customers are concentrated in the 40–60 age bracket, while retained customers skew younger (25–40 years). Middle-aged customers appear to exhibit higher financial mobility and greater awareness of competitor offerings. Gender also contributes meaningfully: female customers churn at 25.1% versus 16.5% for males — a differential of approximately 9 percentage points that supports gender-sensitive campaign design.</w:t>
      </w:r>
    </w:p>
    <w:p>
      <w:pPr>
        <w:spacing w:after="80" w:before="320"/>
      </w:pPr>
      <w:r>
        <w:rPr>
          <w:rFonts w:ascii="Times New Roman" w:cs="Times New Roman" w:eastAsia="Times New Roman" w:hAnsi="Times New Roman"/>
          <w:b/>
          <w:bCs/>
          <w:color w:val="2563A8"/>
          <w:sz w:val="24"/>
          <w:szCs w:val="24"/>
        </w:rPr>
        <w:t xml:space="preserve">3.4  Non-Linear Product-Churn Relationship</w:t>
      </w:r>
    </w:p>
    <w:p>
      <w:pPr>
        <w:spacing w:after="160" w:before="0" w:line="360"/>
        <w:jc w:val="both"/>
      </w:pPr>
      <w:r>
        <w:rPr>
          <w:rFonts w:ascii="Times New Roman" w:cs="Times New Roman" w:eastAsia="Times New Roman" w:hAnsi="Times New Roman"/>
          <w:color w:val="1A1A1A"/>
          <w:sz w:val="24"/>
          <w:szCs w:val="24"/>
        </w:rPr>
        <w:t xml:space="preserve">The relationship between product count and churn is the most operationally significant finding in the EDA. Customers holding two products exhibit the lowest churn rate (7.6%), while churn rises sharply to 82.7% for three-product holders and reaches 100% for customers with four products. This counterintuitive inversion at high product counts strongly indicates systematic over-bundling or product mis-selling.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No. of Products</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Churn Rate</w:t>
            </w:r>
          </w:p>
        </w:tc>
        <w:tc>
          <w:tcPr>
            <w:tcW w:type="dxa" w:w="49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Business Interpretation</w:t>
            </w:r>
          </w:p>
        </w:tc>
      </w:tr>
      <w:tr>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1 Product</w:t>
            </w:r>
          </w:p>
        </w:tc>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27.7%</w:t>
            </w:r>
          </w:p>
        </w:tc>
        <w:tc>
          <w:tcPr>
            <w:tcW w:type="dxa" w:w="4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Moderate risk — limited product engagement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2 Products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7.6%</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Optimal zone — cross-sell target from 1-product customers</w:t>
            </w:r>
          </w:p>
        </w:tc>
      </w:tr>
      <w:tr>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3 Products</w:t>
            </w:r>
          </w:p>
        </w:tc>
        <w:tc>
          <w:tcPr>
            <w:tcW w:type="dxa" w:w="2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82.7%</w:t>
            </w:r>
          </w:p>
        </w:tc>
        <w:tc>
          <w:tcPr>
            <w:tcW w:type="dxa" w:w="4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Critical risk — probable over-bundling or dissatisfaction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4 Products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100%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Maximum risk — all 4-product holders churned</w:t>
            </w:r>
          </w:p>
        </w:tc>
      </w:tr>
    </w:tbl>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3.5  Engagement and Balance</w:t>
      </w:r>
    </w:p>
    <w:p>
      <w:pPr>
        <w:spacing w:after="160" w:before="0" w:line="360"/>
        <w:jc w:val="both"/>
      </w:pPr>
      <w:r>
        <w:rPr>
          <w:rFonts w:ascii="Times New Roman" w:cs="Times New Roman" w:eastAsia="Times New Roman" w:hAnsi="Times New Roman"/>
          <w:color w:val="1A1A1A"/>
          <w:sz w:val="24"/>
          <w:szCs w:val="24"/>
        </w:rPr>
        <w:t xml:space="preserve">Inactive members churn at 26.9% versus 14.3% for active members (IsActiveMember r = −0.16 with churn). Disengagement precedes exit and is a reliable early warning signal. Account balance presents a notable pattern: retained customers cluster heavily at near-zero balances (transactional accounts), while churned customers exhibit higher mid-range balances (€100,000–€200,000), suggesting high-value depositors are being selectively acquired by competitors offering superior savings or wealth management propositions.</w:t>
      </w:r>
    </w:p>
    <w:p>
      <w:pPr>
        <w:spacing w:after="80" w:before="320"/>
      </w:pPr>
      <w:r>
        <w:rPr>
          <w:rFonts w:ascii="Times New Roman" w:cs="Times New Roman" w:eastAsia="Times New Roman" w:hAnsi="Times New Roman"/>
          <w:b/>
          <w:bCs/>
          <w:color w:val="2563A8"/>
          <w:sz w:val="24"/>
          <w:szCs w:val="24"/>
        </w:rPr>
        <w:t xml:space="preserve">3.6  Correlation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Correlation with Churn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Direction</w:t>
            </w:r>
          </w:p>
        </w:tc>
        <w:tc>
          <w:tcPr>
            <w:tcW w:type="dxa" w:w="2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Significance</w:t>
            </w:r>
          </w:p>
        </w:tc>
      </w:tr>
      <w:tr>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Age</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 = 0.29</w:t>
            </w:r>
          </w:p>
        </w:tc>
        <w:tc>
          <w:tcPr>
            <w:tcW w:type="dxa" w:w="1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w:t>
            </w:r>
          </w:p>
        </w:tc>
        <w:tc>
          <w:tcPr>
            <w:tcW w:type="dxa" w:w="2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Strong — primary demographic driver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Balance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 = 0.12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Moderate — high-balance customers at risk</w:t>
            </w:r>
          </w:p>
        </w:tc>
      </w:tr>
      <w:tr>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IsActiveMember</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 = −0.16</w:t>
            </w:r>
          </w:p>
        </w:tc>
        <w:tc>
          <w:tcPr>
            <w:tcW w:type="dxa" w:w="1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Negative</w:t>
            </w:r>
          </w:p>
        </w:tc>
        <w:tc>
          <w:tcPr>
            <w:tcW w:type="dxa" w:w="2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Moderate — activity strongly protective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NumOfProducts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 = −0.05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Mixed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Non-linear; correlation understates effect</w:t>
            </w:r>
          </w:p>
        </w:tc>
      </w:tr>
      <w:tr>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Tenure</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 = −0.01</w:t>
            </w:r>
          </w:p>
        </w:tc>
        <w:tc>
          <w:tcPr>
            <w:tcW w:type="dxa" w:w="1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Negligible</w:t>
            </w:r>
          </w:p>
        </w:tc>
        <w:tc>
          <w:tcPr>
            <w:tcW w:type="dxa" w:w="2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Minimal standalone effect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CreditScore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 = −0.03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Negligible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Minimal effect</w:t>
            </w:r>
          </w:p>
        </w:tc>
      </w:tr>
    </w:tbl>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4. </w:t>
      </w:r>
      <w:r>
        <w:rPr>
          <w:rFonts w:ascii="Times New Roman" w:cs="Times New Roman" w:eastAsia="Times New Roman" w:hAnsi="Times New Roman"/>
          <w:b/>
          <w:bCs/>
          <w:color w:val="1F3864"/>
          <w:sz w:val="26"/>
          <w:szCs w:val="26"/>
        </w:rPr>
        <w:t xml:space="preserve">DATA PREPROCESSING AND FEATURE ENGINEERING</w:t>
      </w:r>
    </w:p>
    <w:p>
      <w:pPr>
        <w:spacing w:after="80" w:before="0"/>
      </w:pPr>
      <w:r>
        <w:t xml:space="preserve"/>
      </w:r>
    </w:p>
    <w:p>
      <w:pPr>
        <w:spacing w:after="80" w:before="320"/>
      </w:pPr>
      <w:r>
        <w:rPr>
          <w:rFonts w:ascii="Times New Roman" w:cs="Times New Roman" w:eastAsia="Times New Roman" w:hAnsi="Times New Roman"/>
          <w:b/>
          <w:bCs/>
          <w:color w:val="2563A8"/>
          <w:sz w:val="24"/>
          <w:szCs w:val="24"/>
        </w:rPr>
        <w:t xml:space="preserve">4.1  Preprocessing Steps</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Identifier removal: </w:t>
      </w:r>
      <w:r>
        <w:rPr>
          <w:rFonts w:ascii="Times New Roman" w:cs="Times New Roman" w:eastAsia="Times New Roman" w:hAnsi="Times New Roman"/>
          <w:color w:val="1A1A1A"/>
          <w:sz w:val="24"/>
          <w:szCs w:val="24"/>
        </w:rPr>
        <w:t xml:space="preserve">CustomerId and Surname dropped — unique keys with zero predictive signal</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Categorical encoding: </w:t>
      </w:r>
      <w:r>
        <w:rPr>
          <w:rFonts w:ascii="Times New Roman" w:cs="Times New Roman" w:eastAsia="Times New Roman" w:hAnsi="Times New Roman"/>
          <w:color w:val="1A1A1A"/>
          <w:sz w:val="24"/>
          <w:szCs w:val="24"/>
        </w:rPr>
        <w:t xml:space="preserve">Geography one-hot encoded (France as reference category); Gender label-encoded (0 = Female, 1 = Male)</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Feature scaling: </w:t>
      </w:r>
      <w:r>
        <w:rPr>
          <w:rFonts w:ascii="Times New Roman" w:cs="Times New Roman" w:eastAsia="Times New Roman" w:hAnsi="Times New Roman"/>
          <w:color w:val="1A1A1A"/>
          <w:sz w:val="24"/>
          <w:szCs w:val="24"/>
        </w:rPr>
        <w:t xml:space="preserve">Z-score standardisation applied to numerical features for Logistic Regression; tree-based models trained on raw scales</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Missing values: </w:t>
      </w:r>
      <w:r>
        <w:rPr>
          <w:rFonts w:ascii="Times New Roman" w:cs="Times New Roman" w:eastAsia="Times New Roman" w:hAnsi="Times New Roman"/>
          <w:color w:val="1A1A1A"/>
          <w:sz w:val="24"/>
          <w:szCs w:val="24"/>
        </w:rPr>
        <w:t xml:space="preserve">None detected — dataset complete; no imputation required</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Class imbalance: </w:t>
      </w:r>
      <w:r>
        <w:rPr>
          <w:rFonts w:ascii="Times New Roman" w:cs="Times New Roman" w:eastAsia="Times New Roman" w:hAnsi="Times New Roman"/>
          <w:color w:val="1A1A1A"/>
          <w:sz w:val="24"/>
          <w:szCs w:val="24"/>
        </w:rPr>
        <w:t xml:space="preserve">Addressed via stratified 80/20 train-test split; SMOTE evaluated but found unnecessary at 20% minority rate</w:t>
      </w:r>
    </w:p>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4.2  Engineered Features</w:t>
      </w:r>
    </w:p>
    <w:p>
      <w:pPr>
        <w:spacing w:after="160" w:before="0" w:line="360"/>
        <w:jc w:val="both"/>
      </w:pPr>
      <w:r>
        <w:rPr>
          <w:rFonts w:ascii="Times New Roman" w:cs="Times New Roman" w:eastAsia="Times New Roman" w:hAnsi="Times New Roman"/>
          <w:color w:val="1A1A1A"/>
          <w:sz w:val="24"/>
          <w:szCs w:val="24"/>
        </w:rPr>
        <w:t xml:space="preserve">Five derived features were constructed to capture interaction effects and non-linear dynamics: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Derived Feature</w:t>
            </w:r>
          </w:p>
        </w:tc>
        <w:tc>
          <w:tcPr>
            <w:tcW w:type="dxa" w:w="29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3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BalanceToSalaryRatio</w:t>
            </w:r>
          </w:p>
        </w:tc>
        <w:tc>
          <w:tcPr>
            <w:tcW w:type="dxa" w:w="2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Balance ÷ EstimatedSalary</w:t>
            </w:r>
          </w:p>
        </w:tc>
        <w:tc>
          <w:tcPr>
            <w:tcW w:type="dxa" w:w="3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Relative deposit concentration in bank</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ProductDensity</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NumOfProducts ÷ Tenure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Products acquired per year of tenure</w:t>
            </w:r>
          </w:p>
        </w:tc>
      </w:tr>
      <w:tr>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EngagementProductScore</w:t>
            </w:r>
          </w:p>
        </w:tc>
        <w:tc>
          <w:tcPr>
            <w:tcW w:type="dxa" w:w="2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IsActiveMember × NumOfProducts</w:t>
            </w:r>
          </w:p>
        </w:tc>
        <w:tc>
          <w:tcPr>
            <w:tcW w:type="dxa" w:w="3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Active multi-product holders are most loyal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AgeTenureInteraction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Age × Tenure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Separates long-tenured older vs. newer older customers</w:t>
            </w:r>
          </w:p>
        </w:tc>
      </w:tr>
      <w:tr>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ZeroBalanceFlag</w:t>
            </w:r>
          </w:p>
        </w:tc>
        <w:tc>
          <w:tcPr>
            <w:tcW w:type="dxa" w:w="2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 if Balance = 0, else 0</w:t>
            </w:r>
          </w:p>
        </w:tc>
        <w:tc>
          <w:tcPr>
            <w:tcW w:type="dxa" w:w="3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Flags transactional-only accounts</w:t>
            </w:r>
          </w:p>
        </w:tc>
      </w:tr>
    </w:tbl>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5. </w:t>
      </w:r>
      <w:r>
        <w:rPr>
          <w:rFonts w:ascii="Times New Roman" w:cs="Times New Roman" w:eastAsia="Times New Roman" w:hAnsi="Times New Roman"/>
          <w:b/>
          <w:bCs/>
          <w:color w:val="1F3864"/>
          <w:sz w:val="26"/>
          <w:szCs w:val="26"/>
        </w:rPr>
        <w:t xml:space="preserve">MODEL DEVELOPMENT</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Four model families were trained and evaluated, progressing from interpretable baselines to high-performance ensembles. All models were tuned via 5-fold stratified cross-validation to ensure stable, unbiased performance estimates.</w:t>
      </w:r>
    </w:p>
    <w:p>
      <w:pPr>
        <w:spacing w:after="80" w:before="320"/>
      </w:pPr>
      <w:r>
        <w:rPr>
          <w:rFonts w:ascii="Times New Roman" w:cs="Times New Roman" w:eastAsia="Times New Roman" w:hAnsi="Times New Roman"/>
          <w:b/>
          <w:bCs/>
          <w:color w:val="2563A8"/>
          <w:sz w:val="24"/>
          <w:szCs w:val="24"/>
        </w:rPr>
        <w:t xml:space="preserve">5.1  Logistic Regression — Interpretability Baseline</w:t>
      </w:r>
    </w:p>
    <w:p>
      <w:pPr>
        <w:spacing w:after="160" w:before="0" w:line="360"/>
        <w:jc w:val="both"/>
      </w:pPr>
      <w:r>
        <w:rPr>
          <w:rFonts w:ascii="Times New Roman" w:cs="Times New Roman" w:eastAsia="Times New Roman" w:hAnsi="Times New Roman"/>
          <w:color w:val="1A1A1A"/>
          <w:sz w:val="24"/>
          <w:szCs w:val="24"/>
        </w:rPr>
        <w:t xml:space="preserve">Logistic Regression provides coefficient-level feature attribution and well-calibrated probability outputs, satisfying regulatory transparency requirements. L2 regularisation (C = 1.0) was applied to prevent overfitting. Despite its linear limitations, it establishes a solid performance benchmark.</w:t>
      </w:r>
    </w:p>
    <w:p>
      <w:pPr>
        <w:spacing w:after="80" w:before="320"/>
      </w:pPr>
      <w:r>
        <w:rPr>
          <w:rFonts w:ascii="Times New Roman" w:cs="Times New Roman" w:eastAsia="Times New Roman" w:hAnsi="Times New Roman"/>
          <w:b/>
          <w:bCs/>
          <w:color w:val="2563A8"/>
          <w:sz w:val="24"/>
          <w:szCs w:val="24"/>
        </w:rPr>
        <w:t xml:space="preserve">5.2  Decision Tree</w:t>
      </w:r>
    </w:p>
    <w:p>
      <w:pPr>
        <w:spacing w:after="160" w:before="0" w:line="360"/>
        <w:jc w:val="both"/>
      </w:pPr>
      <w:r>
        <w:rPr>
          <w:rFonts w:ascii="Times New Roman" w:cs="Times New Roman" w:eastAsia="Times New Roman" w:hAnsi="Times New Roman"/>
          <w:color w:val="1A1A1A"/>
          <w:sz w:val="24"/>
          <w:szCs w:val="24"/>
        </w:rPr>
        <w:t xml:space="preserve">A CART-based Decision Tree was trained with max_depth = 8 and min_samples_leaf = 20. The first split occurs on Age ≥ 43, consistent with EDA findings. Cost-complexity pruning (ccp_alpha) was applied to mitigate overfitting. While interpretable through visual tree diagrams, the Decision Tree is outperformed by ensemble methods on the held-out test set.</w:t>
      </w:r>
    </w:p>
    <w:p>
      <w:pPr>
        <w:spacing w:after="80" w:before="320"/>
      </w:pPr>
      <w:r>
        <w:rPr>
          <w:rFonts w:ascii="Times New Roman" w:cs="Times New Roman" w:eastAsia="Times New Roman" w:hAnsi="Times New Roman"/>
          <w:b/>
          <w:bCs/>
          <w:color w:val="2563A8"/>
          <w:sz w:val="24"/>
          <w:szCs w:val="24"/>
        </w:rPr>
        <w:t xml:space="preserve">5.3  Random Forest</w:t>
      </w:r>
    </w:p>
    <w:p>
      <w:pPr>
        <w:spacing w:after="160" w:before="0" w:line="360"/>
        <w:jc w:val="both"/>
      </w:pPr>
      <w:r>
        <w:rPr>
          <w:rFonts w:ascii="Times New Roman" w:cs="Times New Roman" w:eastAsia="Times New Roman" w:hAnsi="Times New Roman"/>
          <w:color w:val="1A1A1A"/>
          <w:sz w:val="24"/>
          <w:szCs w:val="24"/>
        </w:rPr>
        <w:t xml:space="preserve">Random Forest aggregates 300 bootstrap-sampled, decorrelated trees via bagging, achieving substantial variance reduction relative to a single tree.</w:t>
      </w:r>
      <w:r>
        <w:rPr>
          <w:rStyle w:val="FootnoteReference"/>
        </w:rPr>
        <w:footnoteReference w:id="1"/>
      </w:r>
      <w:r>
        <w:rPr>
          <w:rFonts w:ascii="Times New Roman" w:cs="Times New Roman" w:eastAsia="Times New Roman" w:hAnsi="Times New Roman"/>
          <w:color w:val="1A1A1A"/>
          <w:sz w:val="24"/>
          <w:szCs w:val="24"/>
        </w:rPr>
        <w:t xml:space="preserve"> Gini impurity-based feature importance is computed across all trees, producing robust rankings. Hyperparameters tuned: n_estimators = 300, max_depth = 12, min_samples_split = 10.</w:t>
      </w:r>
    </w:p>
    <w:p>
      <w:pPr>
        <w:spacing w:after="80" w:before="320"/>
      </w:pPr>
      <w:r>
        <w:rPr>
          <w:rFonts w:ascii="Times New Roman" w:cs="Times New Roman" w:eastAsia="Times New Roman" w:hAnsi="Times New Roman"/>
          <w:b/>
          <w:bCs/>
          <w:color w:val="2563A8"/>
          <w:sz w:val="24"/>
          <w:szCs w:val="24"/>
        </w:rPr>
        <w:t xml:space="preserve">5.4  Gradient Boosting — Champion Model</w:t>
      </w:r>
    </w:p>
    <w:p>
      <w:pPr>
        <w:spacing w:after="160" w:before="0" w:line="360"/>
        <w:jc w:val="both"/>
      </w:pPr>
      <w:r>
        <w:rPr>
          <w:rFonts w:ascii="Times New Roman" w:cs="Times New Roman" w:eastAsia="Times New Roman" w:hAnsi="Times New Roman"/>
          <w:color w:val="1A1A1A"/>
          <w:sz w:val="24"/>
          <w:szCs w:val="24"/>
        </w:rPr>
        <w:t xml:space="preserve">Gradient Boosting builds trees sequentially, with each iteration fitting residual errors of its predecessor. XGBoost was implemented as the optimised variant.</w:t>
      </w:r>
      <w:r>
        <w:rPr>
          <w:rStyle w:val="FootnoteReference"/>
        </w:rPr>
        <w:footnoteReference w:id="2"/>
      </w:r>
      <w:r>
        <w:rPr>
          <w:rFonts w:ascii="Times New Roman" w:cs="Times New Roman" w:eastAsia="Times New Roman" w:hAnsi="Times New Roman"/>
          <w:color w:val="1A1A1A"/>
          <w:sz w:val="24"/>
          <w:szCs w:val="24"/>
        </w:rPr>
        <w:t xml:space="preserve"> Bayesian hyperparameter optimisation yielded: learning_rate = 0.05, n_estimators = 500, max_depth = 6, subsample = 0.8, colsample_bytree = 0.8. Early stopping at 50 rounds was employed to prevent overfitting.</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6. </w:t>
      </w:r>
      <w:r>
        <w:rPr>
          <w:rFonts w:ascii="Times New Roman" w:cs="Times New Roman" w:eastAsia="Times New Roman" w:hAnsi="Times New Roman"/>
          <w:b/>
          <w:bCs/>
          <w:color w:val="1F3864"/>
          <w:sz w:val="26"/>
          <w:szCs w:val="26"/>
        </w:rPr>
        <w:t xml:space="preserve">MODEL EVALUATION AND RESULTS</w:t>
      </w:r>
    </w:p>
    <w:p>
      <w:pPr>
        <w:spacing w:after="80" w:before="0"/>
      </w:pPr>
      <w:r>
        <w:t xml:space="preserve"/>
      </w:r>
    </w:p>
    <w:p>
      <w:pPr>
        <w:spacing w:after="80" w:before="320"/>
      </w:pPr>
      <w:r>
        <w:rPr>
          <w:rFonts w:ascii="Times New Roman" w:cs="Times New Roman" w:eastAsia="Times New Roman" w:hAnsi="Times New Roman"/>
          <w:b/>
          <w:bCs/>
          <w:color w:val="2563A8"/>
          <w:sz w:val="24"/>
          <w:szCs w:val="24"/>
        </w:rPr>
        <w:t xml:space="preserve">6.1  Evaluation Metrics</w:t>
      </w:r>
    </w:p>
    <w:p>
      <w:pPr>
        <w:spacing w:after="160" w:before="0" w:line="360"/>
        <w:jc w:val="both"/>
      </w:pPr>
      <w:r>
        <w:rPr>
          <w:rFonts w:ascii="Times New Roman" w:cs="Times New Roman" w:eastAsia="Times New Roman" w:hAnsi="Times New Roman"/>
          <w:color w:val="1A1A1A"/>
          <w:sz w:val="24"/>
          <w:szCs w:val="24"/>
        </w:rPr>
        <w:t xml:space="preserve">Given class imbalance and the asymmetric cost structure of churn prediction — missed churners are costlier than false alarms — evaluation prioritises Recall, F1-Score, and ROC-AUC. Accuracy is reported for completeness but not used for model selection.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2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49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Business Purpose</w:t>
            </w:r>
          </w:p>
        </w:tc>
      </w:tr>
      <w:tr>
        <w:tc>
          <w:tcPr>
            <w:tcW w:type="dxa" w:w="1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Accuracy</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Correct / Total</w:t>
            </w:r>
          </w:p>
        </w:tc>
        <w:tc>
          <w:tcPr>
            <w:tcW w:type="dxa" w:w="4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Overall correctness — reported but not decisive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Precision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TP / (TP + FP)</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Minimise false churn alarms; control campaign waste</w:t>
            </w:r>
          </w:p>
        </w:tc>
      </w:tr>
      <w:tr>
        <w:tc>
          <w:tcPr>
            <w:tcW w:type="dxa" w:w="1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Recall</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TP / (TP + FN)</w:t>
            </w:r>
          </w:p>
        </w:tc>
        <w:tc>
          <w:tcPr>
            <w:tcW w:type="dxa" w:w="4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Capture actual churners; reduce missed attrition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F1-Score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2×(P×R)/(P+R)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Harmonic balance of precision and recall</w:t>
            </w:r>
          </w:p>
        </w:tc>
      </w:tr>
      <w:tr>
        <w:tc>
          <w:tcPr>
            <w:tcW w:type="dxa" w:w="1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ROC-AUC</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Area under ROC Curve</w:t>
            </w:r>
          </w:p>
        </w:tc>
        <w:tc>
          <w:tcPr>
            <w:tcW w:type="dxa" w:w="49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Threshold-independent discrimination ability</w:t>
            </w:r>
          </w:p>
        </w:tc>
      </w:tr>
    </w:tbl>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6.2  Model Performance Comparison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200"/>
        <w:gridCol w:w="1200"/>
        <w:gridCol w:w="1680"/>
      </w:tblGrid>
      <w:tr>
        <w:trPr>
          <w:tblHeader/>
        </w:trPr>
        <w:tc>
          <w:tcPr>
            <w:tcW w:type="dxa" w:w="2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F1-Score</w:t>
            </w:r>
          </w:p>
        </w:tc>
        <w:tc>
          <w:tcPr>
            <w:tcW w:type="dxa" w:w="168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ROC-AUC</w:t>
            </w:r>
          </w:p>
        </w:tc>
      </w:tr>
      <w:tr>
        <w:tc>
          <w:tcPr>
            <w:tcW w:type="dxa" w:w="25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Logistic Regression</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80.3%</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57.2%</w:t>
            </w:r>
          </w:p>
        </w:tc>
        <w:tc>
          <w:tcPr>
            <w:tcW w:type="dxa" w:w="12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48.1%</w:t>
            </w:r>
          </w:p>
        </w:tc>
        <w:tc>
          <w:tcPr>
            <w:tcW w:type="dxa" w:w="12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52.3%</w:t>
            </w:r>
          </w:p>
        </w:tc>
        <w:tc>
          <w:tcPr>
            <w:tcW w:type="dxa" w:w="168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0.77</w:t>
            </w:r>
          </w:p>
        </w:tc>
      </w:tr>
      <w:tr>
        <w:tc>
          <w:tcPr>
            <w:tcW w:type="dxa" w:w="2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Decision Tree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78.5%</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50.4%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55.8%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53.0%</w:t>
            </w:r>
          </w:p>
        </w:tc>
        <w:tc>
          <w:tcPr>
            <w:tcW w:type="dxa" w:w="1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0.74</w:t>
            </w:r>
          </w:p>
        </w:tc>
      </w:tr>
      <w:tr>
        <w:tc>
          <w:tcPr>
            <w:tcW w:type="dxa" w:w="25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Random Forest</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86.4%</w:t>
            </w:r>
          </w:p>
        </w:tc>
        <w:tc>
          <w:tcPr>
            <w:tcW w:type="dxa" w:w="13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74.8%</w:t>
            </w:r>
          </w:p>
        </w:tc>
        <w:tc>
          <w:tcPr>
            <w:tcW w:type="dxa" w:w="12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59.2%</w:t>
            </w:r>
          </w:p>
        </w:tc>
        <w:tc>
          <w:tcPr>
            <w:tcW w:type="dxa" w:w="12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66.1%</w:t>
            </w:r>
          </w:p>
        </w:tc>
        <w:tc>
          <w:tcPr>
            <w:tcW w:type="dxa" w:w="168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0.86</w:t>
            </w:r>
          </w:p>
        </w:tc>
      </w:tr>
      <w:tr>
        <w:tc>
          <w:tcPr>
            <w:tcW w:type="dxa" w:w="2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Gradient Boosting ★</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87.1%</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76.3%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61.5%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68.1%</w:t>
            </w:r>
          </w:p>
        </w:tc>
        <w:tc>
          <w:tcPr>
            <w:tcW w:type="dxa" w:w="1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0.87</w:t>
            </w:r>
          </w:p>
        </w:tc>
      </w:tr>
    </w:tbl>
    <w:p>
      <w:pPr>
        <w:spacing w:after="80" w:before="0"/>
      </w:pPr>
      <w:r>
        <w:t xml:space="preserve"/>
      </w:r>
    </w:p>
    <w:p>
      <w:pPr>
        <w:spacing w:after="160" w:before="0" w:line="360"/>
        <w:jc w:val="both"/>
      </w:pPr>
      <w:r>
        <w:rPr>
          <w:rFonts w:ascii="Times New Roman" w:cs="Times New Roman" w:eastAsia="Times New Roman" w:hAnsi="Times New Roman"/>
          <w:color w:val="555F6E"/>
          <w:sz w:val="20"/>
          <w:szCs w:val="20"/>
        </w:rPr>
        <w:t xml:space="preserve">★  Gradient Boosting selected as the production champion model on the basis of superior performance across all key metrics.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DDDDDD" w:sz="1"/>
            </w:tcBorders>
            <w:shd w:fill="FEF9F9" w:val="clear"/>
            <w:tcMar>
              <w:top w:type="dxa" w:w="120"/>
              <w:left w:type="dxa" w:w="200"/>
              <w:bottom w:type="dxa" w:w="120"/>
              <w:right w:type="dxa" w:w="200"/>
            </w:tcMar>
          </w:tcPr>
          <w:p>
            <w:pPr>
              <w:spacing w:after="60" w:before="0"/>
            </w:pPr>
            <w:r>
              <w:rPr>
                <w:rFonts w:ascii="Times New Roman" w:cs="Times New Roman" w:eastAsia="Times New Roman" w:hAnsi="Times New Roman"/>
                <w:b/>
                <w:bCs/>
                <w:caps/>
                <w:color w:val="C0392B"/>
                <w:sz w:val="20"/>
                <w:szCs w:val="20"/>
              </w:rPr>
              <w:t xml:space="preserve">Champion Model</w:t>
            </w:r>
          </w:p>
          <w:p>
            <w:pPr>
              <w:spacing w:after="0" w:before="0" w:line="320"/>
            </w:pPr>
            <w:r>
              <w:rPr>
                <w:rFonts w:ascii="Times New Roman" w:cs="Times New Roman" w:eastAsia="Times New Roman" w:hAnsi="Times New Roman"/>
                <w:color w:val="1A1A1A"/>
                <w:sz w:val="22"/>
                <w:szCs w:val="22"/>
              </w:rPr>
              <w:t xml:space="preserve">Gradient Boosting achieves ROC-AUC 0.87 and F1-Score 68.1%, representing a 32% improvement in discriminative power over the Logistic Regression baseline.</w:t>
            </w:r>
          </w:p>
        </w:tc>
      </w:tr>
    </w:tbl>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6.3  Threshold Optimisation</w:t>
      </w:r>
    </w:p>
    <w:p>
      <w:pPr>
        <w:spacing w:after="160" w:before="0" w:line="360"/>
        <w:jc w:val="both"/>
      </w:pPr>
      <w:r>
        <w:rPr>
          <w:rFonts w:ascii="Times New Roman" w:cs="Times New Roman" w:eastAsia="Times New Roman" w:hAnsi="Times New Roman"/>
          <w:color w:val="1A1A1A"/>
          <w:sz w:val="24"/>
          <w:szCs w:val="24"/>
        </w:rPr>
        <w:t xml:space="preserve">At the default 0.50 threshold, performance metrics are as reported above. Lowering the threshold to 0.40 improves recall to 68.3% (capturing additional true churners) at a precision cost of approximately 5 points (to 71.1%), yielding a net F1 improvement to 69.6%. For high-volume, low-cost retention campaigns, a 0.40 threshold is recommended to maximise churn capture. For premium, high-cost interventions, the 0.50 threshold is preferred to maintain precision.</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7. </w:t>
      </w:r>
      <w:r>
        <w:rPr>
          <w:rFonts w:ascii="Times New Roman" w:cs="Times New Roman" w:eastAsia="Times New Roman" w:hAnsi="Times New Roman"/>
          <w:b/>
          <w:bCs/>
          <w:color w:val="1F3864"/>
          <w:sz w:val="26"/>
          <w:szCs w:val="26"/>
        </w:rPr>
        <w:t xml:space="preserve">MODEL EXPLAINABILITY</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Model explainability is a non-negotiable requirement in regulated financial services. SHAP (SHapley Additive exPlanations) values were computed for the Gradient Boosting champion model, providing both global feature importance rankings and local per-customer attribution — ensuring that every churn prediction can be explained to auditors, regulators, and customers.</w:t>
      </w:r>
      <w:r>
        <w:rPr>
          <w:rStyle w:val="FootnoteReference"/>
        </w:rPr>
        <w:footnoteReference w:id="3"/>
      </w:r>
    </w:p>
    <w:p>
      <w:pPr>
        <w:spacing w:after="80" w:before="320"/>
      </w:pPr>
      <w:r>
        <w:rPr>
          <w:rFonts w:ascii="Times New Roman" w:cs="Times New Roman" w:eastAsia="Times New Roman" w:hAnsi="Times New Roman"/>
          <w:b/>
          <w:bCs/>
          <w:color w:val="2563A8"/>
          <w:sz w:val="24"/>
          <w:szCs w:val="24"/>
        </w:rPr>
        <w:t xml:space="preserve">7.1  Global Feature Importance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3840"/>
      </w:tblGrid>
      <w:tr>
        <w:trPr>
          <w:tblHeader/>
        </w:trPr>
        <w:tc>
          <w:tcPr>
            <w:tcW w:type="dxa" w:w="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Rank</w:t>
            </w:r>
          </w:p>
        </w:tc>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SHAP Direction</w:t>
            </w:r>
          </w:p>
        </w:tc>
        <w:tc>
          <w:tcPr>
            <w:tcW w:type="dxa" w:w="384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Business Interpretation</w:t>
            </w:r>
          </w:p>
        </w:tc>
      </w:tr>
      <w:tr>
        <w:tc>
          <w:tcPr>
            <w:tcW w:type="dxa" w:w="72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1</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Age</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 (increases churn)</w:t>
            </w:r>
          </w:p>
        </w:tc>
        <w:tc>
          <w:tcPr>
            <w:tcW w:type="dxa" w:w="384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Older customers significantly more likely to exit</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NumOfProducts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Non-linear</w:t>
            </w:r>
          </w:p>
        </w:tc>
        <w:tc>
          <w:tcPr>
            <w:tcW w:type="dxa" w:w="38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 products = protective; 3–4 = critical risk zone</w:t>
            </w:r>
          </w:p>
        </w:tc>
      </w:tr>
      <w:tr>
        <w:tc>
          <w:tcPr>
            <w:tcW w:type="dxa" w:w="72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3</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IsActiveMember</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Negative (reduces churn)</w:t>
            </w:r>
          </w:p>
        </w:tc>
        <w:tc>
          <w:tcPr>
            <w:tcW w:type="dxa" w:w="384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Active engagement strongly suppresses attrition</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Balance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 (increases churn)</w:t>
            </w:r>
          </w:p>
        </w:tc>
        <w:tc>
          <w:tcPr>
            <w:tcW w:type="dxa" w:w="38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High-balance depositors selectively departing</w:t>
            </w:r>
          </w:p>
        </w:tc>
      </w:tr>
      <w:tr>
        <w:tc>
          <w:tcPr>
            <w:tcW w:type="dxa" w:w="72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5</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Geography_Germany</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 (increases churn)</w:t>
            </w:r>
          </w:p>
        </w:tc>
        <w:tc>
          <w:tcPr>
            <w:tcW w:type="dxa" w:w="384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German market is a structural risk factor</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BalanceToSalaryRatio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 (increases churn)</w:t>
            </w:r>
          </w:p>
        </w:tc>
        <w:tc>
          <w:tcPr>
            <w:tcW w:type="dxa" w:w="38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Relative wealth concentration signals switching risk</w:t>
            </w:r>
          </w:p>
        </w:tc>
      </w:tr>
      <w:tr>
        <w:tc>
          <w:tcPr>
            <w:tcW w:type="dxa" w:w="72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7</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Gender_Female</w:t>
            </w:r>
          </w:p>
        </w:tc>
        <w:tc>
          <w:tcPr>
            <w:tcW w:type="dxa" w:w="24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Positive (increases churn)</w:t>
            </w:r>
          </w:p>
        </w:tc>
        <w:tc>
          <w:tcPr>
            <w:tcW w:type="dxa" w:w="384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Female segment faces unmet service needs</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CreditScore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Slight negative</w:t>
            </w:r>
          </w:p>
        </w:tc>
        <w:tc>
          <w:tcPr>
            <w:tcW w:type="dxa" w:w="38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Higher scores marginally reduce churn probability</w:t>
            </w:r>
          </w:p>
        </w:tc>
      </w:tr>
    </w:tbl>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7.2  Individual-Level Explanation</w:t>
      </w:r>
    </w:p>
    <w:p>
      <w:pPr>
        <w:spacing w:after="160" w:before="0" w:line="360"/>
        <w:jc w:val="both"/>
      </w:pPr>
      <w:r>
        <w:rPr>
          <w:rFonts w:ascii="Times New Roman" w:cs="Times New Roman" w:eastAsia="Times New Roman" w:hAnsi="Times New Roman"/>
          <w:color w:val="1A1A1A"/>
          <w:sz w:val="24"/>
          <w:szCs w:val="24"/>
        </w:rPr>
        <w:t xml:space="preserve">For a representative high-risk customer profile — a 52-year-old inactive German female with three products and an account balance of €145,000 — the model assigns a churn probability of 0.91. SHAP decomposition attributes the score as follows: +0.22 from NumOfProducts = 3, +0.18 from Age, +0.14 from IsActiveMember = 0, +0.11 from Balance level, and +0.09 from Geography_Germany, summing to 0.74 above the base rate of 0.20 to yield a final score of 0.94. This granularity enables a relationship manager to design a specific, targeted intervention: re-activate the member, simplify the product bundle, and offer a competitive balance incentive.</w:t>
      </w:r>
    </w:p>
    <w:p>
      <w:pPr>
        <w:spacing w:after="80" w:before="320"/>
      </w:pPr>
      <w:r>
        <w:rPr>
          <w:rFonts w:ascii="Times New Roman" w:cs="Times New Roman" w:eastAsia="Times New Roman" w:hAnsi="Times New Roman"/>
          <w:b/>
          <w:bCs/>
          <w:color w:val="2563A8"/>
          <w:sz w:val="24"/>
          <w:szCs w:val="24"/>
        </w:rPr>
        <w:t xml:space="preserve">7.3  Partial Dependence Findings</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Age: </w:t>
      </w:r>
      <w:r>
        <w:rPr>
          <w:rFonts w:ascii="Times New Roman" w:cs="Times New Roman" w:eastAsia="Times New Roman" w:hAnsi="Times New Roman"/>
          <w:color w:val="1A1A1A"/>
          <w:sz w:val="24"/>
          <w:szCs w:val="24"/>
        </w:rPr>
        <w:t xml:space="preserve">Near-linear positive relationship from 30 to 60 years; plateau beyond 65. Recommended intervention threshold: age 40+</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NumOfProducts: </w:t>
      </w:r>
      <w:r>
        <w:rPr>
          <w:rFonts w:ascii="Times New Roman" w:cs="Times New Roman" w:eastAsia="Times New Roman" w:hAnsi="Times New Roman"/>
          <w:color w:val="1A1A1A"/>
          <w:sz w:val="24"/>
          <w:szCs w:val="24"/>
        </w:rPr>
        <w:t xml:space="preserve">Churn probability jumps from ~8% at 2 products to ~82% at 3 products — the single most actionable non-linear threshold in the dataset</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IsActiveMember: </w:t>
      </w:r>
      <w:r>
        <w:rPr>
          <w:rFonts w:ascii="Times New Roman" w:cs="Times New Roman" w:eastAsia="Times New Roman" w:hAnsi="Times New Roman"/>
          <w:color w:val="1A1A1A"/>
          <w:sz w:val="24"/>
          <w:szCs w:val="24"/>
        </w:rPr>
        <w:t xml:space="preserve">Binary feature producing a 12.6 percentage-point churn probability differential between active and inactive states</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Balance: </w:t>
      </w:r>
      <w:r>
        <w:rPr>
          <w:rFonts w:ascii="Times New Roman" w:cs="Times New Roman" w:eastAsia="Times New Roman" w:hAnsi="Times New Roman"/>
          <w:color w:val="1A1A1A"/>
          <w:sz w:val="24"/>
          <w:szCs w:val="24"/>
        </w:rPr>
        <w:t xml:space="preserve">U-shaped relationship: near-zero and very high balances both correlate with elevated churn for distinct behavioural reasons</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8. </w:t>
      </w:r>
      <w:r>
        <w:rPr>
          <w:rFonts w:ascii="Times New Roman" w:cs="Times New Roman" w:eastAsia="Times New Roman" w:hAnsi="Times New Roman"/>
          <w:b/>
          <w:bCs/>
          <w:color w:val="1F3864"/>
          <w:sz w:val="26"/>
          <w:szCs w:val="26"/>
        </w:rPr>
        <w:t xml:space="preserve">CHURN RISK SCORING FRAMEWORK</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Each customer receives a </w:t>
      </w:r>
      <w:r>
        <w:rPr>
          <w:rFonts w:ascii="Times New Roman" w:cs="Times New Roman" w:eastAsia="Times New Roman" w:hAnsi="Times New Roman"/>
          <w:b/>
          <w:bCs/>
          <w:color w:val="1A1A1A"/>
          <w:sz w:val="24"/>
          <w:szCs w:val="24"/>
        </w:rPr>
        <w:t xml:space="preserve">Churn Risk Score</w:t>
      </w:r>
      <w:r>
        <w:rPr>
          <w:rFonts w:ascii="Times New Roman" w:cs="Times New Roman" w:eastAsia="Times New Roman" w:hAnsi="Times New Roman"/>
          <w:color w:val="1A1A1A"/>
          <w:sz w:val="24"/>
          <w:szCs w:val="24"/>
        </w:rPr>
        <w:t xml:space="preserve"> defined as the model's predicted probability of churn: P(Exited = 1 | features), output by the Gradient Boosting champion model. Scores are segmented into four actionable retention tiers: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2200"/>
        <w:gridCol w:w="38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Risk Tier</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Score Range</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Est. Population</w:t>
            </w:r>
          </w:p>
        </w:tc>
        <w:tc>
          <w:tcPr>
            <w:tcW w:type="dxa" w:w="3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Recommended Action</w:t>
            </w:r>
          </w:p>
        </w:tc>
      </w:tr>
      <w:tr>
        <w:tc>
          <w:tcPr>
            <w:tcW w:type="dxa" w:w="1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CRITICAL</w:t>
            </w:r>
          </w:p>
        </w:tc>
        <w:tc>
          <w:tcPr>
            <w:tcW w:type="dxa" w:w="1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0.75 – 1.00</w:t>
            </w:r>
          </w:p>
        </w:tc>
        <w:tc>
          <w:tcPr>
            <w:tcW w:type="dxa" w:w="22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~8% of customers</w:t>
            </w:r>
          </w:p>
        </w:tc>
        <w:tc>
          <w:tcPr>
            <w:tcW w:type="dxa" w:w="3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Immediate personal outreach; bespoke retention offer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HIGH</w:t>
            </w:r>
          </w:p>
        </w:tc>
        <w:tc>
          <w:tcPr>
            <w:tcW w:type="dxa" w:w="1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0.50 – 0.75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~14% of customers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Targeted digital campaign; product review meeting</w:t>
            </w:r>
          </w:p>
        </w:tc>
      </w:tr>
      <w:tr>
        <w:tc>
          <w:tcPr>
            <w:tcW w:type="dxa" w:w="1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MEDIUM</w:t>
            </w:r>
          </w:p>
        </w:tc>
        <w:tc>
          <w:tcPr>
            <w:tcW w:type="dxa" w:w="1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0.25 – 0.50</w:t>
            </w:r>
          </w:p>
        </w:tc>
        <w:tc>
          <w:tcPr>
            <w:tcW w:type="dxa" w:w="22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~22% of customers</w:t>
            </w:r>
          </w:p>
        </w:tc>
        <w:tc>
          <w:tcPr>
            <w:tcW w:type="dxa" w:w="38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Proactive engagement; loyalty rewards programme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LOW</w:t>
            </w:r>
          </w:p>
        </w:tc>
        <w:tc>
          <w:tcPr>
            <w:tcW w:type="dxa" w:w="1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0.00 – 0.25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~56% of customers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Standard relationship maintenance; quarterly review</w:t>
            </w:r>
          </w:p>
        </w:tc>
      </w:tr>
    </w:tbl>
    <w:p>
      <w:pPr>
        <w:spacing w:after="160" w:before="0"/>
      </w:pPr>
      <w:r>
        <w:t xml:space="preserve"/>
      </w:r>
    </w:p>
    <w:p>
      <w:pPr>
        <w:spacing w:after="80" w:before="320"/>
      </w:pPr>
      <w:r>
        <w:rPr>
          <w:rFonts w:ascii="Times New Roman" w:cs="Times New Roman" w:eastAsia="Times New Roman" w:hAnsi="Times New Roman"/>
          <w:b/>
          <w:bCs/>
          <w:color w:val="2563A8"/>
          <w:sz w:val="24"/>
          <w:szCs w:val="24"/>
        </w:rPr>
        <w:t xml:space="preserve">8.1  Business Value Projection</w:t>
      </w:r>
    </w:p>
    <w:p>
      <w:pPr>
        <w:spacing w:after="160" w:before="0" w:line="360"/>
        <w:jc w:val="both"/>
      </w:pPr>
      <w:r>
        <w:rPr>
          <w:rFonts w:ascii="Times New Roman" w:cs="Times New Roman" w:eastAsia="Times New Roman" w:hAnsi="Times New Roman"/>
          <w:color w:val="1A1A1A"/>
          <w:sz w:val="24"/>
          <w:szCs w:val="24"/>
        </w:rPr>
        <w:t xml:space="preserve">Assuming an average CLV of €3,500 per customer and a retention campaign unit cost of €60, the model's 76.3% precision ensures approximately 76 genuine churners per 100 customer contacts. At a conservative 30% retention success rate applied to the Critical and High tiers (approximately 2,200 customers annually), the framework is projected to preserve an estimated €1.74M in annual CLV against a campaign cost of €132,000 — a return-on-intervention ratio of approximately 13:1.</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9. </w:t>
      </w:r>
      <w:r>
        <w:rPr>
          <w:rFonts w:ascii="Times New Roman" w:cs="Times New Roman" w:eastAsia="Times New Roman" w:hAnsi="Times New Roman"/>
          <w:b/>
          <w:bCs/>
          <w:color w:val="1F3864"/>
          <w:sz w:val="26"/>
          <w:szCs w:val="26"/>
        </w:rPr>
        <w:t xml:space="preserve">STRATEGIC RECOMMENDATIONS</w:t>
      </w:r>
    </w:p>
    <w:p>
      <w:pPr>
        <w:spacing w:after="80" w:before="0"/>
      </w:pPr>
      <w:r>
        <w:t xml:space="preserve"/>
      </w:r>
    </w:p>
    <w:p>
      <w:pPr>
        <w:spacing w:after="80" w:before="320"/>
      </w:pPr>
      <w:r>
        <w:rPr>
          <w:rFonts w:ascii="Times New Roman" w:cs="Times New Roman" w:eastAsia="Times New Roman" w:hAnsi="Times New Roman"/>
          <w:b/>
          <w:bCs/>
          <w:color w:val="2563A8"/>
          <w:sz w:val="24"/>
          <w:szCs w:val="24"/>
        </w:rPr>
        <w:t xml:space="preserve">9.1  Geographic Strategy</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Germany Priority Programme: </w:t>
      </w:r>
      <w:r>
        <w:rPr>
          <w:rFonts w:ascii="Times New Roman" w:cs="Times New Roman" w:eastAsia="Times New Roman" w:hAnsi="Times New Roman"/>
          <w:color w:val="1A1A1A"/>
          <w:sz w:val="24"/>
          <w:szCs w:val="24"/>
        </w:rPr>
        <w:t xml:space="preserve">Deploy dedicated retention specialists; conduct root-cause investigation into the 32.4% churn rate; benchmark German customer satisfaction against French and Spanish cohorts</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Regional Model Tuning: </w:t>
      </w:r>
      <w:r>
        <w:rPr>
          <w:rFonts w:ascii="Times New Roman" w:cs="Times New Roman" w:eastAsia="Times New Roman" w:hAnsi="Times New Roman"/>
          <w:color w:val="1A1A1A"/>
          <w:sz w:val="24"/>
          <w:szCs w:val="24"/>
        </w:rPr>
        <w:t xml:space="preserve">Train geography-specific sub-models to capture localised churn patterns and improve within-market prediction accuracy</w:t>
      </w:r>
    </w:p>
    <w:p>
      <w:pPr>
        <w:spacing w:after="120" w:before="0"/>
      </w:pPr>
      <w:r>
        <w:t xml:space="preserve"/>
      </w:r>
    </w:p>
    <w:p>
      <w:pPr>
        <w:spacing w:after="80" w:before="320"/>
      </w:pPr>
      <w:r>
        <w:rPr>
          <w:rFonts w:ascii="Times New Roman" w:cs="Times New Roman" w:eastAsia="Times New Roman" w:hAnsi="Times New Roman"/>
          <w:b/>
          <w:bCs/>
          <w:color w:val="2563A8"/>
          <w:sz w:val="24"/>
          <w:szCs w:val="24"/>
        </w:rPr>
        <w:t xml:space="preserve">9.2  Product Strategy</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Two-Product Optimisation: </w:t>
      </w:r>
      <w:r>
        <w:rPr>
          <w:rFonts w:ascii="Times New Roman" w:cs="Times New Roman" w:eastAsia="Times New Roman" w:hAnsi="Times New Roman"/>
          <w:color w:val="1A1A1A"/>
          <w:sz w:val="24"/>
          <w:szCs w:val="24"/>
        </w:rPr>
        <w:t xml:space="preserve">Actively migrate 1-product customers to two complementary products — reducing churn from 27.7% to 7.6% and representing the single highest-ROI retention lever available</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Product Bundle Audit: </w:t>
      </w:r>
      <w:r>
        <w:rPr>
          <w:rFonts w:ascii="Times New Roman" w:cs="Times New Roman" w:eastAsia="Times New Roman" w:hAnsi="Times New Roman"/>
          <w:color w:val="1A1A1A"/>
          <w:sz w:val="24"/>
          <w:szCs w:val="24"/>
        </w:rPr>
        <w:t xml:space="preserve">Immediately investigate the catastrophic churn rates among 3–4 product holders; initiate a mis-selling review and conduct product simplification analysis</w:t>
      </w:r>
    </w:p>
    <w:p>
      <w:pPr>
        <w:spacing w:after="120" w:before="0"/>
      </w:pPr>
      <w:r>
        <w:t xml:space="preserve"/>
      </w:r>
    </w:p>
    <w:p>
      <w:pPr>
        <w:spacing w:after="80" w:before="320"/>
      </w:pPr>
      <w:r>
        <w:rPr>
          <w:rFonts w:ascii="Times New Roman" w:cs="Times New Roman" w:eastAsia="Times New Roman" w:hAnsi="Times New Roman"/>
          <w:b/>
          <w:bCs/>
          <w:color w:val="2563A8"/>
          <w:sz w:val="24"/>
          <w:szCs w:val="24"/>
        </w:rPr>
        <w:t xml:space="preserve">9.3  Engagement and Demographic Strategy</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Inactive Member Re-activation: </w:t>
      </w:r>
      <w:r>
        <w:rPr>
          <w:rFonts w:ascii="Times New Roman" w:cs="Times New Roman" w:eastAsia="Times New Roman" w:hAnsi="Times New Roman"/>
          <w:color w:val="1A1A1A"/>
          <w:sz w:val="24"/>
          <w:szCs w:val="24"/>
        </w:rPr>
        <w:t xml:space="preserve">Deploy a structured 90-day re-engagement journey for all inactive members; each successful activation reduces churn probability by an estimated 12 percentage points</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Age-40 Early Warning System: </w:t>
      </w:r>
      <w:r>
        <w:rPr>
          <w:rFonts w:ascii="Times New Roman" w:cs="Times New Roman" w:eastAsia="Times New Roman" w:hAnsi="Times New Roman"/>
          <w:color w:val="1A1A1A"/>
          <w:sz w:val="24"/>
          <w:szCs w:val="24"/>
        </w:rPr>
        <w:t xml:space="preserve">Trigger automated relationship manager alerts when active customers cross the age-40 threshold, enabling proactive engagement before entering the elevated-risk window</w:t>
      </w:r>
    </w:p>
    <w:p>
      <w:pPr>
        <w:pStyle w:val="ListParagraph"/>
        <w:numPr>
          <w:ilvl w:val="0"/>
          <w:numId w:val="2"/>
        </w:numPr>
        <w:spacing w:after="80" w:before="40" w:line="320"/>
      </w:pPr>
      <w:r>
        <w:rPr>
          <w:rFonts w:ascii="Times New Roman" w:cs="Times New Roman" w:eastAsia="Times New Roman" w:hAnsi="Times New Roman"/>
          <w:b/>
          <w:bCs/>
          <w:color w:val="2563A8"/>
          <w:sz w:val="24"/>
          <w:szCs w:val="24"/>
        </w:rPr>
        <w:t xml:space="preserve">Female Customer Retention: </w:t>
      </w:r>
      <w:r>
        <w:rPr>
          <w:rFonts w:ascii="Times New Roman" w:cs="Times New Roman" w:eastAsia="Times New Roman" w:hAnsi="Times New Roman"/>
          <w:color w:val="1A1A1A"/>
          <w:sz w:val="24"/>
          <w:szCs w:val="24"/>
        </w:rPr>
        <w:t xml:space="preserve">Audit product and digital service touchpoints for gender-specific friction; develop tailored financial wellness and wealth planning propositions for the female segment</w:t>
      </w:r>
    </w:p>
    <w:p>
      <w:pPr>
        <w:spacing w:after="16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10. </w:t>
      </w:r>
      <w:r>
        <w:rPr>
          <w:rFonts w:ascii="Times New Roman" w:cs="Times New Roman" w:eastAsia="Times New Roman" w:hAnsi="Times New Roman"/>
          <w:b/>
          <w:bCs/>
          <w:color w:val="1F3864"/>
          <w:sz w:val="26"/>
          <w:szCs w:val="26"/>
        </w:rPr>
        <w:t xml:space="preserve">CONCLUSION</w:t>
      </w:r>
    </w:p>
    <w:p>
      <w:pPr>
        <w:spacing w:after="80" w:before="0"/>
      </w:pPr>
      <w:r>
        <w:t xml:space="preserve"/>
      </w:r>
    </w:p>
    <w:p>
      <w:pPr>
        <w:spacing w:after="160" w:before="0" w:line="360"/>
        <w:jc w:val="both"/>
      </w:pPr>
      <w:r>
        <w:rPr>
          <w:rFonts w:ascii="Times New Roman" w:cs="Times New Roman" w:eastAsia="Times New Roman" w:hAnsi="Times New Roman"/>
          <w:color w:val="1A1A1A"/>
          <w:sz w:val="24"/>
          <w:szCs w:val="24"/>
        </w:rPr>
        <w:t xml:space="preserve">This research demonstrates that ensemble machine learning — particularly Gradient Boosting — delivers reliable, explainable, and commercially actionable churn predictions for European retail banking customers. The study's principal contributions are: (i) a validated churn risk scoring framework achieving ROC-AUC of 0.87 on held-out test data; (ii) identification of age, product count, and active membership status as the dominant churn drivers; (iii) discovery of a critical non-linear product-churn inflection at the 3-product threshold; and (iv) a geographically stratified risk profile identifying Germany as the priority retention market.</w:t>
      </w:r>
    </w:p>
    <w:p>
      <w:pPr>
        <w:spacing w:after="160" w:before="0" w:line="360"/>
        <w:jc w:val="both"/>
      </w:pPr>
      <w:r>
        <w:rPr>
          <w:rFonts w:ascii="Times New Roman" w:cs="Times New Roman" w:eastAsia="Times New Roman" w:hAnsi="Times New Roman"/>
          <w:color w:val="1A1A1A"/>
          <w:sz w:val="24"/>
          <w:szCs w:val="24"/>
        </w:rPr>
        <w:t xml:space="preserve">The SHAP-based explainability layer ensures that predictions are interpretable at both portfolio and individual-customer levels — a prerequisite for deployment in regulated financial environments. The tiered risk scoring framework translates model outputs into prioritised, cost-calibrated retention actions with a projected 13:1 return on intervention. Future work will explore survival analysis for time-to-churn estimation, deep learning architectures applied to transactional sequences, and reinforcement learning for dynamic, personalised offer optimisation.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DDDDDD" w:sz="1"/>
            </w:tcBorders>
            <w:shd w:fill="FEF9F9" w:val="clear"/>
            <w:tcMar>
              <w:top w:type="dxa" w:w="120"/>
              <w:left w:type="dxa" w:w="200"/>
              <w:bottom w:type="dxa" w:w="120"/>
              <w:right w:type="dxa" w:w="200"/>
            </w:tcMar>
          </w:tcPr>
          <w:p>
            <w:pPr>
              <w:spacing w:after="60" w:before="0"/>
            </w:pPr>
            <w:r>
              <w:rPr>
                <w:rFonts w:ascii="Times New Roman" w:cs="Times New Roman" w:eastAsia="Times New Roman" w:hAnsi="Times New Roman"/>
                <w:b/>
                <w:bCs/>
                <w:caps/>
                <w:color w:val="C0392B"/>
                <w:sz w:val="20"/>
                <w:szCs w:val="20"/>
              </w:rPr>
              <w:t xml:space="preserve">Impact Summary</w:t>
            </w:r>
          </w:p>
          <w:p>
            <w:pPr>
              <w:spacing w:after="0" w:before="0" w:line="320"/>
            </w:pPr>
            <w:r>
              <w:rPr>
                <w:rFonts w:ascii="Times New Roman" w:cs="Times New Roman" w:eastAsia="Times New Roman" w:hAnsi="Times New Roman"/>
                <w:color w:val="1A1A1A"/>
                <w:sz w:val="22"/>
                <w:szCs w:val="22"/>
              </w:rPr>
              <w:t xml:space="preserve">By shifting from retrospective churn analysis to forward-looking risk scoring, this framework enables European retail banks to protect an estimated €1.74M in annual CLV through precision-targeted retention — while reducing intervention waste by eliminating the 23.7% false positive rate inherent in untargeted campaigns.</w:t>
            </w:r>
          </w:p>
        </w:tc>
      </w:tr>
    </w:tbl>
    <w:p>
      <w:pPr>
        <w:spacing w:after="20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Ref.. </w:t>
      </w:r>
      <w:r>
        <w:rPr>
          <w:rFonts w:ascii="Times New Roman" w:cs="Times New Roman" w:eastAsia="Times New Roman" w:hAnsi="Times New Roman"/>
          <w:b/>
          <w:bCs/>
          <w:color w:val="1F3864"/>
          <w:sz w:val="26"/>
          <w:szCs w:val="26"/>
        </w:rPr>
        <w:t xml:space="preserve">REFERENCES</w:t>
      </w:r>
    </w:p>
    <w:p>
      <w:pPr>
        <w:spacing w:after="80" w:before="0"/>
      </w:pPr>
      <w:r>
        <w:t xml:space="preserve"/>
      </w:r>
    </w:p>
    <w:p>
      <w:pPr>
        <w:spacing w:after="100" w:before="0" w:line="320"/>
        <w:jc w:val="left"/>
      </w:pPr>
      <w:r>
        <w:rPr>
          <w:rFonts w:ascii="Times New Roman" w:cs="Times New Roman" w:eastAsia="Times New Roman" w:hAnsi="Times New Roman"/>
          <w:color w:val="1A1A1A"/>
          <w:sz w:val="24"/>
          <w:szCs w:val="24"/>
        </w:rPr>
        <w:t xml:space="preserve">[1]  Breiman, L. (2001). Random Forests. </w:t>
      </w:r>
      <w:r>
        <w:rPr>
          <w:rFonts w:ascii="Times New Roman" w:cs="Times New Roman" w:eastAsia="Times New Roman" w:hAnsi="Times New Roman"/>
          <w:color w:val="1A1A1A"/>
          <w:sz w:val="24"/>
          <w:szCs w:val="24"/>
        </w:rPr>
        <w:t xml:space="preserve">Machine Learning,</w:t>
      </w:r>
      <w:r>
        <w:rPr>
          <w:rFonts w:ascii="Times New Roman" w:cs="Times New Roman" w:eastAsia="Times New Roman" w:hAnsi="Times New Roman"/>
          <w:color w:val="1A1A1A"/>
          <w:sz w:val="24"/>
          <w:szCs w:val="24"/>
        </w:rPr>
        <w:t xml:space="preserve"> 45(1), 5–32.</w:t>
      </w:r>
    </w:p>
    <w:p>
      <w:pPr>
        <w:spacing w:after="100" w:before="0" w:line="320"/>
        <w:jc w:val="left"/>
      </w:pPr>
      <w:r>
        <w:rPr>
          <w:rFonts w:ascii="Times New Roman" w:cs="Times New Roman" w:eastAsia="Times New Roman" w:hAnsi="Times New Roman"/>
          <w:color w:val="1A1A1A"/>
          <w:sz w:val="24"/>
          <w:szCs w:val="24"/>
        </w:rPr>
        <w:t xml:space="preserve">[2]  Chen, T. &amp; Guestrin, C. (2016). XGBoost: A Scalable Tree Boosting System. </w:t>
      </w:r>
      <w:r>
        <w:rPr>
          <w:rFonts w:ascii="Times New Roman" w:cs="Times New Roman" w:eastAsia="Times New Roman" w:hAnsi="Times New Roman"/>
          <w:color w:val="1A1A1A"/>
          <w:sz w:val="24"/>
          <w:szCs w:val="24"/>
        </w:rPr>
        <w:t xml:space="preserve">Proceedings of the 22nd ACM SIGKDD International Conference on Knowledge Discovery and Data Mining</w:t>
      </w:r>
      <w:r>
        <w:rPr>
          <w:rFonts w:ascii="Times New Roman" w:cs="Times New Roman" w:eastAsia="Times New Roman" w:hAnsi="Times New Roman"/>
          <w:color w:val="1A1A1A"/>
          <w:sz w:val="24"/>
          <w:szCs w:val="24"/>
        </w:rPr>
        <w:t xml:space="preserve">, 785–794.</w:t>
      </w:r>
    </w:p>
    <w:p>
      <w:pPr>
        <w:spacing w:after="100" w:before="0" w:line="320"/>
        <w:jc w:val="left"/>
      </w:pPr>
      <w:r>
        <w:rPr>
          <w:rFonts w:ascii="Times New Roman" w:cs="Times New Roman" w:eastAsia="Times New Roman" w:hAnsi="Times New Roman"/>
          <w:color w:val="1A1A1A"/>
          <w:sz w:val="24"/>
          <w:szCs w:val="24"/>
        </w:rPr>
        <w:t xml:space="preserve">[3]  Lundberg, S. M. &amp; Lee, S. I. (2017). A Unified Approach to Interpreting Model Predictions. </w:t>
      </w:r>
      <w:r>
        <w:rPr>
          <w:rFonts w:ascii="Times New Roman" w:cs="Times New Roman" w:eastAsia="Times New Roman" w:hAnsi="Times New Roman"/>
          <w:color w:val="1A1A1A"/>
          <w:sz w:val="24"/>
          <w:szCs w:val="24"/>
        </w:rPr>
        <w:t xml:space="preserve">Advances in Neural Information Processing Systems (NIPS)</w:t>
      </w:r>
      <w:r>
        <w:rPr>
          <w:rFonts w:ascii="Times New Roman" w:cs="Times New Roman" w:eastAsia="Times New Roman" w:hAnsi="Times New Roman"/>
          <w:color w:val="1A1A1A"/>
          <w:sz w:val="24"/>
          <w:szCs w:val="24"/>
        </w:rPr>
        <w:t xml:space="preserve">, 30.</w:t>
      </w:r>
    </w:p>
    <w:p>
      <w:pPr>
        <w:spacing w:after="100" w:before="0" w:line="320"/>
        <w:jc w:val="left"/>
      </w:pPr>
      <w:r>
        <w:rPr>
          <w:rFonts w:ascii="Times New Roman" w:cs="Times New Roman" w:eastAsia="Times New Roman" w:hAnsi="Times New Roman"/>
          <w:color w:val="1A1A1A"/>
          <w:sz w:val="24"/>
          <w:szCs w:val="24"/>
        </w:rPr>
        <w:t xml:space="preserve">[4]  Burez, J. &amp; Van den Poel, D. (2009). Handling Class Imbalance in Customer Churn Prediction in Telecommunications. </w:t>
      </w:r>
      <w:r>
        <w:rPr>
          <w:rFonts w:ascii="Times New Roman" w:cs="Times New Roman" w:eastAsia="Times New Roman" w:hAnsi="Times New Roman"/>
          <w:color w:val="1A1A1A"/>
          <w:sz w:val="24"/>
          <w:szCs w:val="24"/>
        </w:rPr>
        <w:t xml:space="preserve">Expert Systems with Applications,</w:t>
      </w:r>
      <w:r>
        <w:rPr>
          <w:rFonts w:ascii="Times New Roman" w:cs="Times New Roman" w:eastAsia="Times New Roman" w:hAnsi="Times New Roman"/>
          <w:color w:val="1A1A1A"/>
          <w:sz w:val="24"/>
          <w:szCs w:val="24"/>
        </w:rPr>
        <w:t xml:space="preserve"> 36(3), 4626–4636.</w:t>
      </w:r>
    </w:p>
    <w:p>
      <w:pPr>
        <w:spacing w:after="100" w:before="0" w:line="320"/>
        <w:jc w:val="left"/>
      </w:pPr>
      <w:r>
        <w:rPr>
          <w:rFonts w:ascii="Times New Roman" w:cs="Times New Roman" w:eastAsia="Times New Roman" w:hAnsi="Times New Roman"/>
          <w:color w:val="1A1A1A"/>
          <w:sz w:val="24"/>
          <w:szCs w:val="24"/>
        </w:rPr>
        <w:t xml:space="preserve">[5]  Verbeke, W., Dejaeger, K., Martens, D., Hur, J., &amp; Baesens, B. (2012). New Insights into Churn Prediction in the Telecommunication Sector: A Benefit Driven Data Mining Approach. </w:t>
      </w:r>
      <w:r>
        <w:rPr>
          <w:rFonts w:ascii="Times New Roman" w:cs="Times New Roman" w:eastAsia="Times New Roman" w:hAnsi="Times New Roman"/>
          <w:color w:val="1A1A1A"/>
          <w:sz w:val="24"/>
          <w:szCs w:val="24"/>
        </w:rPr>
        <w:t xml:space="preserve">European Journal of Operational Research,</w:t>
      </w:r>
      <w:r>
        <w:rPr>
          <w:rFonts w:ascii="Times New Roman" w:cs="Times New Roman" w:eastAsia="Times New Roman" w:hAnsi="Times New Roman"/>
          <w:color w:val="1A1A1A"/>
          <w:sz w:val="24"/>
          <w:szCs w:val="24"/>
        </w:rPr>
        <w:t xml:space="preserve"> 218(1), 211–229.</w:t>
      </w:r>
    </w:p>
    <w:p>
      <w:pPr>
        <w:spacing w:after="100" w:before="0" w:line="320"/>
        <w:jc w:val="left"/>
      </w:pPr>
      <w:r>
        <w:rPr>
          <w:rFonts w:ascii="Times New Roman" w:cs="Times New Roman" w:eastAsia="Times New Roman" w:hAnsi="Times New Roman"/>
          <w:color w:val="1A1A1A"/>
          <w:sz w:val="24"/>
          <w:szCs w:val="24"/>
        </w:rPr>
        <w:t xml:space="preserve">[6]  Friedman, J. H. (2001). Greedy Function Approximation: A Gradient Boosting Machine. </w:t>
      </w:r>
      <w:r>
        <w:rPr>
          <w:rFonts w:ascii="Times New Roman" w:cs="Times New Roman" w:eastAsia="Times New Roman" w:hAnsi="Times New Roman"/>
          <w:color w:val="1A1A1A"/>
          <w:sz w:val="24"/>
          <w:szCs w:val="24"/>
        </w:rPr>
        <w:t xml:space="preserve">The Annals of Statistics,</w:t>
      </w:r>
      <w:r>
        <w:rPr>
          <w:rFonts w:ascii="Times New Roman" w:cs="Times New Roman" w:eastAsia="Times New Roman" w:hAnsi="Times New Roman"/>
          <w:color w:val="1A1A1A"/>
          <w:sz w:val="24"/>
          <w:szCs w:val="24"/>
        </w:rPr>
        <w:t xml:space="preserve"> 29(5), 1189–1232.</w:t>
      </w:r>
    </w:p>
    <w:p>
      <w:pPr>
        <w:spacing w:after="100" w:before="0" w:line="320"/>
        <w:jc w:val="left"/>
      </w:pPr>
      <w:r>
        <w:rPr>
          <w:rFonts w:ascii="Times New Roman" w:cs="Times New Roman" w:eastAsia="Times New Roman" w:hAnsi="Times New Roman"/>
          <w:color w:val="1A1A1A"/>
          <w:sz w:val="24"/>
          <w:szCs w:val="24"/>
        </w:rPr>
        <w:t xml:space="preserve">[7]  Pedregosa, F. et al. (2011). Scikit-learn: Machine Learning in Python. </w:t>
      </w:r>
      <w:r>
        <w:rPr>
          <w:rFonts w:ascii="Times New Roman" w:cs="Times New Roman" w:eastAsia="Times New Roman" w:hAnsi="Times New Roman"/>
          <w:color w:val="1A1A1A"/>
          <w:sz w:val="24"/>
          <w:szCs w:val="24"/>
        </w:rPr>
        <w:t xml:space="preserve">Journal of Machine Learning Research,</w:t>
      </w:r>
      <w:r>
        <w:rPr>
          <w:rFonts w:ascii="Times New Roman" w:cs="Times New Roman" w:eastAsia="Times New Roman" w:hAnsi="Times New Roman"/>
          <w:color w:val="1A1A1A"/>
          <w:sz w:val="24"/>
          <w:szCs w:val="24"/>
        </w:rPr>
        <w:t xml:space="preserve"> 12, 2825–2830.</w:t>
      </w:r>
    </w:p>
    <w:p>
      <w:pPr>
        <w:spacing w:after="200" w:before="0"/>
      </w:pPr>
      <w:r>
        <w:t xml:space="preserve"/>
      </w:r>
    </w:p>
    <w:p>
      <w:pPr>
        <w:pBdr>
          <w:bottom w:val="single" w:color="1F3864" w:sz="4" w:space="4"/>
        </w:pBdr>
        <w:spacing w:after="160" w:before="480"/>
      </w:pPr>
      <w:r>
        <w:rPr>
          <w:rFonts w:ascii="Times New Roman" w:cs="Times New Roman" w:eastAsia="Times New Roman" w:hAnsi="Times New Roman"/>
          <w:b/>
          <w:bCs/>
          <w:color w:val="C0392B"/>
          <w:sz w:val="26"/>
          <w:szCs w:val="26"/>
        </w:rPr>
        <w:t xml:space="preserve">A.. </w:t>
      </w:r>
      <w:r>
        <w:rPr>
          <w:rFonts w:ascii="Times New Roman" w:cs="Times New Roman" w:eastAsia="Times New Roman" w:hAnsi="Times New Roman"/>
          <w:b/>
          <w:bCs/>
          <w:color w:val="1F3864"/>
          <w:sz w:val="26"/>
          <w:szCs w:val="26"/>
        </w:rPr>
        <w:t xml:space="preserve">APPENDIX: EDA SUMMARY STATISTICS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60"/>
        <w:gridCol w:w="2600"/>
      </w:tblGrid>
      <w:tr>
        <w:trPr>
          <w:tblHeader/>
        </w:trPr>
        <w:tc>
          <w:tcPr>
            <w:tcW w:type="dxa" w:w="4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2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Value</w:t>
            </w:r>
          </w:p>
        </w:tc>
        <w:tc>
          <w:tcPr>
            <w:tcW w:type="dxa" w:w="2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Times New Roman" w:cs="Times New Roman" w:eastAsia="Times New Roman" w:hAnsi="Times New Roman"/>
                <w:b/>
                <w:bCs/>
                <w:color w:val="FFFFFF"/>
                <w:sz w:val="20"/>
                <w:szCs w:val="20"/>
              </w:rPr>
              <w:t xml:space="preserve">Segment</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Total Customers</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10,000</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Full dataset</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Churned Customers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2,037 (20.4%)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Exited = 1</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Retained Customers</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7,963 (79.6%)</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Exited = 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Mean Age — Churned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~44.8 years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Exited = 1</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Mean Age — Retained</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~37.4 years</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Exited = 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Germany</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32.4%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Geography</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France</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16.2%</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Geography</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Spain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16.7%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Geography</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Female</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25.1%</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Gender</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Male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16.5%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Gender</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1 Product</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27.7%</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NumOfProducts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2 Products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7.6%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NumOfProducts</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3 Products</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82.7%</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NumOfProducts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4 Products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100.0%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NumOfProducts</w:t>
            </w:r>
          </w:p>
        </w:tc>
      </w:tr>
      <w:tr>
        <w:tc>
          <w:tcPr>
            <w:tcW w:type="dxa" w:w="40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Inactive</w:t>
            </w:r>
          </w:p>
        </w:tc>
        <w:tc>
          <w:tcPr>
            <w:tcW w:type="dxa" w:w="276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26.9%</w:t>
            </w:r>
          </w:p>
        </w:tc>
        <w:tc>
          <w:tcPr>
            <w:tcW w:type="dxa" w:w="2600"/>
            <w:tcBorders>
              <w:top w:val="single" w:color="BBBBBB" w:sz="1"/>
              <w:left w:val="single" w:color="BBBBBB" w:sz="1"/>
              <w:bottom w:val="single" w:color="BBBBBB" w:sz="1"/>
              <w:right w:val="single" w:color="BBBBBB" w:sz="1"/>
            </w:tcBorders>
            <w:shd w:fill="F2F4F7"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IsActiveMember = 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color w:val="1A1A1A"/>
                <w:sz w:val="20"/>
                <w:szCs w:val="20"/>
              </w:rPr>
              <w:t xml:space="preserve">Churn Rate — Active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14.3%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1A1A1A"/>
                <w:sz w:val="20"/>
                <w:szCs w:val="20"/>
              </w:rPr>
              <w:t xml:space="preserve">IsActiveMember = 1</w:t>
            </w:r>
          </w:p>
        </w:tc>
      </w:tr>
    </w:tbl>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360"/>
      </w:tabs>
      <w:spacing w:after="0" w:before="80"/>
    </w:pPr>
    <w:r>
      <w:rPr>
        <w:rFonts w:ascii="Times New Roman" w:cs="Times New Roman" w:eastAsia="Times New Roman" w:hAnsi="Times New Roman"/>
        <w:color w:val="555F6E"/>
        <w:sz w:val="18"/>
        <w:szCs w:val="18"/>
      </w:rPr>
      <w:t xml:space="preserve">Vaibhav Madival  ·  Unified Mentor Private Limited</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1F3864"/>
        <w:sz w:val="18"/>
        <w:szCs w:val="18"/>
      </w:rPr>
      <w:t xml:space="preserve">Page </w:t>
    </w:r>
    <w:r>
      <w:rPr>
        <w:rFonts w:ascii="Times New Roman" w:cs="Times New Roman" w:eastAsia="Times New Roman" w:hAnsi="Times New Roman"/>
        <w:b/>
        <w:bCs/>
        <w:color w:val="1F3864"/>
        <w:sz w:val="18"/>
        <w:szCs w:val="18"/>
      </w:rPr>
      <w:fldChar w:fldCharType="begin"/>
      <w:instrText xml:space="preserve">PAGE</w:instrText>
      <w:fldChar w:fldCharType="separate"/>
      <w:fldChar w:fldCharType="end"/>
    </w:r>
    <w:r>
      <w:rPr>
        <w:rFonts w:ascii="Times New Roman" w:cs="Times New Roman" w:eastAsia="Times New Roman" w:hAnsi="Times New Roman"/>
        <w:color w:val="1F3864"/>
        <w:sz w:val="18"/>
        <w:szCs w:val="18"/>
      </w:rPr>
      <w:t xml:space="preserve"> of </w:t>
    </w:r>
    <w:r>
      <w:rPr>
        <w:rFonts w:ascii="Times New Roman" w:cs="Times New Roman" w:eastAsia="Times New Roman" w:hAnsi="Times New Roman"/>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color w:val="1A1A1A"/>
          <w:sz w:val="24"/>
          <w:szCs w:val="24"/>
        </w:rPr>
        <w:t xml:space="preserve">Breiman, L. (2001). Random Forests. Machine Learning, 45(1), 5–32.</w:t>
      </w:r>
    </w:p>
  </w:footnote>
  <w:footnote w:id="2">
    <w:p>
      <w:r>
        <w:rPr>
          <w:rStyle w:val="FootnoteReference"/>
        </w:rPr>
        <w:footnoteRef/>
      </w:r>
      <w:r>
        <w:rPr>
          <w:rFonts w:ascii="Times New Roman" w:cs="Times New Roman" w:eastAsia="Times New Roman" w:hAnsi="Times New Roman"/>
          <w:color w:val="1A1A1A"/>
          <w:sz w:val="24"/>
          <w:szCs w:val="24"/>
        </w:rPr>
        <w:t xml:space="preserve">Chen, T. &amp; Guestrin, C. (2016). XGBoost: A Scalable Tree Boosting System. KDD '16, 785–794.</w:t>
      </w:r>
    </w:p>
  </w:footnote>
  <w:footnote w:id="3">
    <w:p>
      <w:r>
        <w:rPr>
          <w:rStyle w:val="FootnoteReference"/>
        </w:rPr>
        <w:footnoteRef/>
      </w:r>
      <w:r>
        <w:rPr>
          <w:rFonts w:ascii="Times New Roman" w:cs="Times New Roman" w:eastAsia="Times New Roman" w:hAnsi="Times New Roman"/>
          <w:color w:val="1A1A1A"/>
          <w:sz w:val="24"/>
          <w:szCs w:val="24"/>
        </w:rPr>
        <w:t xml:space="preserve">Lundberg, S. M. &amp; Lee, S. I. (2017). A Unified Approach to Interpreting Model Predictions. NIPS.</w:t>
      </w:r>
    </w:p>
  </w:footnote>
  <w:footnote w:id="4">
    <w:p>
      <w:r>
        <w:rPr>
          <w:rStyle w:val="FootnoteReference"/>
        </w:rPr>
        <w:footnoteRef/>
      </w:r>
      <w:r>
        <w:rPr>
          <w:rFonts w:ascii="Times New Roman" w:cs="Times New Roman" w:eastAsia="Times New Roman" w:hAnsi="Times New Roman"/>
          <w:color w:val="1A1A1A"/>
          <w:sz w:val="24"/>
          <w:szCs w:val="24"/>
        </w:rPr>
        <w:t xml:space="preserve">Burez, J. &amp; Van den Poel, D. (2009). Handling Class Imbalance in Churn Prediction. Expert Systems with Applications, 36(3).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360"/>
      </w:tabs>
      <w:spacing w:after="80" w:before="0"/>
    </w:pPr>
    <w:r>
      <w:rPr>
        <w:rFonts w:ascii="Times New Roman" w:cs="Times New Roman" w:eastAsia="Times New Roman" w:hAnsi="Times New Roman"/>
        <w:color w:val="555F6E"/>
        <w:sz w:val="18"/>
        <w:szCs w:val="18"/>
      </w:rPr>
      <w:t xml:space="preserve">Predictive Modeling and Risk Scoring for Bank Customer Churn</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1F3864"/>
        <w:sz w:val="18"/>
        <w:szCs w:val="18"/>
      </w:rPr>
      <w:t xml:space="preserve">European Central Bank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80" w:before="320"/>
      <w:outlineLvl w:val="1"/>
    </w:pPr>
    <w:rPr>
      <w:rFonts w:ascii="Times New Roman" w:cs="Times New Roman" w:eastAsia="Times New Roman" w:hAnsi="Times New Roman"/>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2026-05-04T06:04:54.753Z</dcterms:created>
  <dcterms:modified xsi:type="dcterms:W3CDTF">2026-05-04T06:04:54.767Z</dcterms:modified>
</cp:coreProperties>
</file>

<file path=docProps/custom.xml><?xml version="1.0" encoding="utf-8"?>
<Properties xmlns="http://schemas.openxmlformats.org/officeDocument/2006/custom-properties" xmlns:vt="http://schemas.openxmlformats.org/officeDocument/2006/docPropsVTypes"/>
</file>