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7BA" w14:paraId="30A574D3" w14:textId="77777777">
        <w:tblPrEx>
          <w:tblCellMar>
            <w:top w:w="0" w:type="dxa"/>
            <w:bottom w:w="0" w:type="dxa"/>
          </w:tblCellMar>
        </w:tblPrEx>
        <w:tc>
          <w:tcPr>
            <w:tcW w:w="9360" w:type="dxa"/>
            <w:tcBorders>
              <w:top w:val="nil"/>
              <w:left w:val="nil"/>
              <w:bottom w:val="nil"/>
              <w:right w:val="nil"/>
            </w:tcBorders>
            <w:shd w:val="clear" w:color="auto" w:fill="1B3A6B"/>
            <w:tcMar>
              <w:top w:w="180" w:type="dxa"/>
              <w:left w:w="200" w:type="dxa"/>
              <w:bottom w:w="180" w:type="dxa"/>
              <w:right w:w="200" w:type="dxa"/>
            </w:tcMar>
          </w:tcPr>
          <w:p w14:paraId="0969FC20" w14:textId="77777777" w:rsidR="00A547BA" w:rsidRDefault="00000000">
            <w:pPr>
              <w:jc w:val="center"/>
            </w:pPr>
            <w:r>
              <w:rPr>
                <w:b/>
                <w:bCs/>
                <w:color w:val="C8D8F8"/>
                <w:spacing w:val="120"/>
                <w:sz w:val="18"/>
                <w:szCs w:val="18"/>
              </w:rPr>
              <w:t>INTERNSHIP RESEARCH PAPER</w:t>
            </w:r>
          </w:p>
          <w:p w14:paraId="41FA0BDA" w14:textId="77777777" w:rsidR="00A547BA" w:rsidRDefault="00000000">
            <w:pPr>
              <w:spacing w:before="40"/>
              <w:jc w:val="center"/>
            </w:pPr>
            <w:r>
              <w:rPr>
                <w:i/>
                <w:iCs/>
                <w:color w:val="A0B8D8"/>
                <w:sz w:val="18"/>
                <w:szCs w:val="18"/>
              </w:rPr>
              <w:t xml:space="preserve">Unified </w:t>
            </w:r>
            <w:proofErr w:type="gramStart"/>
            <w:r>
              <w:rPr>
                <w:i/>
                <w:iCs/>
                <w:color w:val="A0B8D8"/>
                <w:sz w:val="18"/>
                <w:szCs w:val="18"/>
              </w:rPr>
              <w:t>Mentor  ·</w:t>
            </w:r>
            <w:proofErr w:type="gramEnd"/>
            <w:r>
              <w:rPr>
                <w:i/>
                <w:iCs/>
                <w:color w:val="A0B8D8"/>
                <w:sz w:val="18"/>
                <w:szCs w:val="18"/>
              </w:rPr>
              <w:t xml:space="preserve">  Data Analytics </w:t>
            </w:r>
            <w:proofErr w:type="gramStart"/>
            <w:r>
              <w:rPr>
                <w:i/>
                <w:iCs/>
                <w:color w:val="A0B8D8"/>
                <w:sz w:val="18"/>
                <w:szCs w:val="18"/>
              </w:rPr>
              <w:t>Track  ·</w:t>
            </w:r>
            <w:proofErr w:type="gramEnd"/>
            <w:r>
              <w:rPr>
                <w:i/>
                <w:iCs/>
                <w:color w:val="A0B8D8"/>
                <w:sz w:val="18"/>
                <w:szCs w:val="18"/>
              </w:rPr>
              <w:t xml:space="preserve">  2025</w:t>
            </w:r>
          </w:p>
        </w:tc>
      </w:tr>
    </w:tbl>
    <w:p w14:paraId="567F9932" w14:textId="77777777" w:rsidR="00A547BA" w:rsidRDefault="00A547BA">
      <w:pPr>
        <w:spacing w:before="400" w:after="400"/>
      </w:pPr>
    </w:p>
    <w:p w14:paraId="7824E522" w14:textId="77777777" w:rsidR="00A547BA" w:rsidRDefault="00000000">
      <w:pPr>
        <w:spacing w:after="80"/>
        <w:jc w:val="center"/>
      </w:pPr>
      <w:r>
        <w:rPr>
          <w:b/>
          <w:bCs/>
          <w:color w:val="1B3A6B"/>
          <w:sz w:val="56"/>
          <w:szCs w:val="56"/>
        </w:rPr>
        <w:t>Care Transition Efficiency &amp;</w:t>
      </w:r>
    </w:p>
    <w:p w14:paraId="3A773E9D" w14:textId="77777777" w:rsidR="00A547BA" w:rsidRDefault="00000000">
      <w:pPr>
        <w:spacing w:after="80"/>
        <w:jc w:val="center"/>
      </w:pPr>
      <w:r>
        <w:rPr>
          <w:b/>
          <w:bCs/>
          <w:color w:val="1B3A6B"/>
          <w:sz w:val="56"/>
          <w:szCs w:val="56"/>
        </w:rPr>
        <w:t>Placement Outcome Analytics</w:t>
      </w:r>
    </w:p>
    <w:p w14:paraId="0BA9F138" w14:textId="77777777" w:rsidR="00A547BA" w:rsidRDefault="00000000">
      <w:pPr>
        <w:pBdr>
          <w:bottom w:val="single" w:sz="6" w:space="8" w:color="006B5E"/>
        </w:pBdr>
        <w:spacing w:before="100" w:after="60"/>
        <w:jc w:val="center"/>
      </w:pPr>
      <w:r>
        <w:rPr>
          <w:i/>
          <w:iCs/>
          <w:color w:val="006B5E"/>
          <w:sz w:val="26"/>
          <w:szCs w:val="26"/>
        </w:rPr>
        <w:t>UAC Program — U.S. Department of Health &amp; Human Services</w:t>
      </w:r>
    </w:p>
    <w:p w14:paraId="11979F34" w14:textId="77777777" w:rsidR="00A547BA" w:rsidRDefault="00A547BA">
      <w:pPr>
        <w:spacing w:before="280" w:after="280"/>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9"/>
        <w:gridCol w:w="4669"/>
      </w:tblGrid>
      <w:tr w:rsidR="00A547BA" w14:paraId="456B424A" w14:textId="77777777" w:rsidTr="002242F6">
        <w:tblPrEx>
          <w:tblCellMar>
            <w:top w:w="0" w:type="dxa"/>
            <w:bottom w:w="0" w:type="dxa"/>
          </w:tblCellMar>
        </w:tblPrEx>
        <w:trPr>
          <w:trHeight w:val="1377"/>
        </w:trPr>
        <w:tc>
          <w:tcPr>
            <w:tcW w:w="4669" w:type="dxa"/>
            <w:tcBorders>
              <w:top w:val="nil"/>
              <w:left w:val="nil"/>
              <w:bottom w:val="nil"/>
              <w:right w:val="nil"/>
            </w:tcBorders>
            <w:shd w:val="clear" w:color="auto" w:fill="F0F4F8"/>
            <w:tcMar>
              <w:top w:w="120" w:type="dxa"/>
              <w:left w:w="200" w:type="dxa"/>
              <w:bottom w:w="120" w:type="dxa"/>
              <w:right w:w="200" w:type="dxa"/>
            </w:tcMar>
          </w:tcPr>
          <w:p w14:paraId="00C347AA" w14:textId="77777777" w:rsidR="00A547BA" w:rsidRDefault="00000000">
            <w:r>
              <w:rPr>
                <w:b/>
                <w:bCs/>
                <w:color w:val="1B3A6B"/>
                <w:sz w:val="20"/>
                <w:szCs w:val="20"/>
              </w:rPr>
              <w:t>Submitted by</w:t>
            </w:r>
          </w:p>
          <w:p w14:paraId="5EA0F9F5" w14:textId="015D8921" w:rsidR="00A547BA" w:rsidRDefault="00000000">
            <w:r>
              <w:rPr>
                <w:color w:val="1A202C"/>
              </w:rPr>
              <w:t>Vaibhav</w:t>
            </w:r>
            <w:r w:rsidR="002242F6">
              <w:rPr>
                <w:color w:val="1A202C"/>
              </w:rPr>
              <w:t xml:space="preserve"> </w:t>
            </w:r>
            <w:proofErr w:type="spellStart"/>
            <w:r w:rsidR="002242F6">
              <w:rPr>
                <w:color w:val="1A202C"/>
              </w:rPr>
              <w:t>Madival</w:t>
            </w:r>
            <w:proofErr w:type="spellEnd"/>
          </w:p>
          <w:p w14:paraId="60A2047E" w14:textId="77777777" w:rsidR="00A547BA" w:rsidRDefault="00A547BA">
            <w:pPr>
              <w:spacing w:before="40" w:after="40"/>
            </w:pPr>
          </w:p>
          <w:p w14:paraId="42934EEF" w14:textId="77777777" w:rsidR="00A547BA" w:rsidRDefault="00000000">
            <w:r>
              <w:rPr>
                <w:b/>
                <w:bCs/>
                <w:color w:val="1B3A6B"/>
                <w:sz w:val="20"/>
                <w:szCs w:val="20"/>
              </w:rPr>
              <w:t>Organization</w:t>
            </w:r>
          </w:p>
          <w:p w14:paraId="2847F5A7" w14:textId="77777777" w:rsidR="00A547BA" w:rsidRDefault="00000000">
            <w:r>
              <w:rPr>
                <w:color w:val="1A202C"/>
              </w:rPr>
              <w:t>Unified Mentor</w:t>
            </w:r>
          </w:p>
        </w:tc>
        <w:tc>
          <w:tcPr>
            <w:tcW w:w="4669" w:type="dxa"/>
            <w:tcBorders>
              <w:top w:val="nil"/>
              <w:left w:val="nil"/>
              <w:bottom w:val="nil"/>
              <w:right w:val="nil"/>
            </w:tcBorders>
            <w:shd w:val="clear" w:color="auto" w:fill="F0F4F8"/>
            <w:tcMar>
              <w:top w:w="120" w:type="dxa"/>
              <w:left w:w="200" w:type="dxa"/>
              <w:bottom w:w="120" w:type="dxa"/>
              <w:right w:w="200" w:type="dxa"/>
            </w:tcMar>
          </w:tcPr>
          <w:p w14:paraId="6BA7BE70" w14:textId="77777777" w:rsidR="00A547BA" w:rsidRDefault="00000000">
            <w:r>
              <w:rPr>
                <w:b/>
                <w:bCs/>
                <w:color w:val="1B3A6B"/>
                <w:sz w:val="20"/>
                <w:szCs w:val="20"/>
              </w:rPr>
              <w:t>Dataset Period</w:t>
            </w:r>
          </w:p>
          <w:p w14:paraId="1D41C66D" w14:textId="77777777" w:rsidR="00A547BA" w:rsidRDefault="00000000">
            <w:r>
              <w:rPr>
                <w:color w:val="1A202C"/>
              </w:rPr>
              <w:t>January 2023 – December 2025</w:t>
            </w:r>
          </w:p>
          <w:p w14:paraId="7F660143" w14:textId="77777777" w:rsidR="00A547BA" w:rsidRDefault="00A547BA">
            <w:pPr>
              <w:spacing w:before="40" w:after="40"/>
            </w:pPr>
          </w:p>
          <w:p w14:paraId="074B53FD" w14:textId="77777777" w:rsidR="00A547BA" w:rsidRDefault="00000000">
            <w:r>
              <w:rPr>
                <w:b/>
                <w:bCs/>
                <w:color w:val="1B3A6B"/>
                <w:sz w:val="20"/>
                <w:szCs w:val="20"/>
              </w:rPr>
              <w:t>Submission Date</w:t>
            </w:r>
          </w:p>
          <w:p w14:paraId="6FE1D312" w14:textId="77777777" w:rsidR="00A547BA" w:rsidRDefault="00000000">
            <w:r>
              <w:rPr>
                <w:color w:val="1A202C"/>
              </w:rPr>
              <w:t>May 2026</w:t>
            </w:r>
          </w:p>
        </w:tc>
      </w:tr>
    </w:tbl>
    <w:p w14:paraId="3EDAE853" w14:textId="77777777" w:rsidR="00A547BA" w:rsidRDefault="00A547BA">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7BA" w14:paraId="50C552CD" w14:textId="77777777">
        <w:tblPrEx>
          <w:tblCellMar>
            <w:top w:w="0" w:type="dxa"/>
            <w:bottom w:w="0" w:type="dxa"/>
          </w:tblCellMar>
        </w:tblPrEx>
        <w:tc>
          <w:tcPr>
            <w:tcW w:w="9360" w:type="dxa"/>
            <w:tcBorders>
              <w:top w:val="single" w:sz="8" w:space="0" w:color="006B5E"/>
              <w:left w:val="single" w:sz="8" w:space="0" w:color="006B5E"/>
              <w:bottom w:val="single" w:sz="8" w:space="0" w:color="006B5E"/>
              <w:right w:val="single" w:sz="8" w:space="0" w:color="006B5E"/>
            </w:tcBorders>
            <w:shd w:val="clear" w:color="auto" w:fill="E8F4F0"/>
            <w:tcMar>
              <w:top w:w="160" w:type="dxa"/>
              <w:left w:w="200" w:type="dxa"/>
              <w:bottom w:w="160" w:type="dxa"/>
              <w:right w:w="200" w:type="dxa"/>
            </w:tcMar>
          </w:tcPr>
          <w:p w14:paraId="6F0F9104" w14:textId="77777777" w:rsidR="00A547BA" w:rsidRDefault="00000000">
            <w:pPr>
              <w:spacing w:after="100"/>
              <w:jc w:val="center"/>
            </w:pPr>
            <w:r>
              <w:rPr>
                <w:b/>
                <w:bCs/>
                <w:color w:val="006B5E"/>
                <w:spacing w:val="80"/>
              </w:rPr>
              <w:t>ABSTRACT</w:t>
            </w:r>
          </w:p>
          <w:p w14:paraId="433B30A0" w14:textId="77777777" w:rsidR="00A547BA" w:rsidRDefault="00000000">
            <w:pPr>
              <w:spacing w:line="340" w:lineRule="auto"/>
              <w:jc w:val="both"/>
            </w:pPr>
            <w:r>
              <w:rPr>
                <w:color w:val="1A202C"/>
                <w:sz w:val="21"/>
                <w:szCs w:val="21"/>
              </w:rPr>
              <w:t xml:space="preserve">This research paper presents a comprehensive process efficiency and outcome analytics study of the U.S. Department of Health and Human Services (HHS) Unaccompanied Alien Children (UAC) Program. </w:t>
            </w:r>
            <w:proofErr w:type="spellStart"/>
            <w:r>
              <w:rPr>
                <w:color w:val="1A202C"/>
                <w:sz w:val="21"/>
                <w:szCs w:val="21"/>
              </w:rPr>
              <w:t>Analyzing</w:t>
            </w:r>
            <w:proofErr w:type="spellEnd"/>
            <w:r>
              <w:rPr>
                <w:color w:val="1A202C"/>
                <w:sz w:val="21"/>
                <w:szCs w:val="21"/>
              </w:rPr>
              <w:t xml:space="preserve"> 720 daily reporting records spanning January 2023 to December 2025, the study reframes the UAC dataset from a simple capacity monitoring lens to a multi-stage care pipeline efficiency framework. Key performance indicators — including Transfer Efficiency Ratio, Discharge Effectiveness Index, Pipeline Throughput Rate, and Outcome Stability Score — are derived and tracked across three years. The analysis reveals a critical census surge peaking at 11,516 children in December 2023, followed by an 83% reduction through systematic discharge operations. An interactive analytics dashboard and structured reporting framework are developed to support policy-level decision-making, improve reunification timelines, and identify operational bottlenecks in real time.</w:t>
            </w:r>
          </w:p>
        </w:tc>
      </w:tr>
    </w:tbl>
    <w:p w14:paraId="3D0652CC" w14:textId="77777777" w:rsidR="00A547BA" w:rsidRDefault="00A547BA">
      <w:pPr>
        <w:spacing w:before="200" w:after="200"/>
      </w:pPr>
    </w:p>
    <w:p w14:paraId="36A32B29" w14:textId="77777777" w:rsidR="00A547BA" w:rsidRDefault="00000000">
      <w:pPr>
        <w:jc w:val="center"/>
      </w:pPr>
      <w:r>
        <w:rPr>
          <w:b/>
          <w:bCs/>
          <w:color w:val="1B3A6B"/>
          <w:sz w:val="20"/>
          <w:szCs w:val="20"/>
        </w:rPr>
        <w:t xml:space="preserve">Keywords: </w:t>
      </w:r>
      <w:r>
        <w:rPr>
          <w:i/>
          <w:iCs/>
          <w:color w:val="4A5568"/>
          <w:sz w:val="20"/>
          <w:szCs w:val="20"/>
        </w:rPr>
        <w:t>UAC Program · Care Pipeline Analytics · Transfer Efficiency · Discharge Effectiveness · HHS ORR · Child Welfare · Process Optimization · Data Analytics</w:t>
      </w:r>
    </w:p>
    <w:p w14:paraId="2CBB8F93" w14:textId="77777777" w:rsidR="00A547BA" w:rsidRDefault="00000000">
      <w:r>
        <w:br w:type="page"/>
      </w:r>
    </w:p>
    <w:p w14:paraId="327FBF6A" w14:textId="77777777" w:rsidR="00A547BA" w:rsidRDefault="00000000">
      <w:pPr>
        <w:pStyle w:val="Heading1"/>
        <w:pBdr>
          <w:bottom w:val="single" w:sz="8" w:space="6" w:color="006B5E"/>
        </w:pBdr>
      </w:pPr>
      <w:r>
        <w:lastRenderedPageBreak/>
        <w:t>1. Introduction</w:t>
      </w:r>
    </w:p>
    <w:p w14:paraId="69DF0425" w14:textId="77777777" w:rsidR="00A547BA" w:rsidRDefault="00000000">
      <w:pPr>
        <w:pStyle w:val="Heading2"/>
      </w:pPr>
      <w:r>
        <w:t>1.1 Background</w:t>
      </w:r>
    </w:p>
    <w:p w14:paraId="2BAEF9F3" w14:textId="77777777" w:rsidR="00A547BA" w:rsidRDefault="00000000">
      <w:pPr>
        <w:spacing w:before="80" w:after="120" w:line="360" w:lineRule="auto"/>
        <w:jc w:val="both"/>
      </w:pPr>
      <w:r>
        <w:rPr>
          <w:color w:val="1A202C"/>
        </w:rPr>
        <w:t>The Unaccompanied Alien Children (UAC) Program, administered by the U.S. Department of Health and Human Services (HHS) through the Office of Refugee Resettlement (ORR), is responsible for the care, placement, and reunification of unaccompanied minors who cross U.S. borders without a parent or legal guardian. The program operates as a multi-stage care and reunification pipeline, comprising apprehension by Customs and Border Protection (CBP), transfer to HHS-licensed shelters, comprehensive case management, and eventual discharge to a vetted sponsor.</w:t>
      </w:r>
    </w:p>
    <w:p w14:paraId="72B7B870" w14:textId="77777777" w:rsidR="00A547BA" w:rsidRDefault="00000000">
      <w:pPr>
        <w:spacing w:before="80" w:after="120" w:line="360" w:lineRule="auto"/>
        <w:jc w:val="both"/>
      </w:pPr>
      <w:r>
        <w:rPr>
          <w:color w:val="1A202C"/>
        </w:rPr>
        <w:t>Between January 2023 and December 2025, the program processed thousands of children daily, with the active HHS census reaching a crisis peak of 11,516 children on December 20, 2023. Understanding the efficiency and effectiveness of this pipeline is critical not only from an operational standpoint but also from a humanitarian and policy perspective. Every day a child remains in government custody beyond necessary timelines represents a systemic inefficiency with real human consequences.</w:t>
      </w:r>
    </w:p>
    <w:p w14:paraId="0D2BA6BD" w14:textId="77777777" w:rsidR="00A547BA" w:rsidRDefault="00000000">
      <w:pPr>
        <w:pStyle w:val="Heading2"/>
      </w:pPr>
      <w:r>
        <w:t>1.2 Problem Statement</w:t>
      </w:r>
    </w:p>
    <w:p w14:paraId="5EA8527C" w14:textId="77777777" w:rsidR="00A547BA" w:rsidRDefault="00000000">
      <w:pPr>
        <w:spacing w:before="80" w:after="120" w:line="360" w:lineRule="auto"/>
        <w:jc w:val="both"/>
      </w:pPr>
      <w:r>
        <w:rPr>
          <w:color w:val="1A202C"/>
        </w:rPr>
        <w:t>Despite the program's scale and complexity, process efficiency metrics have historically been absent from public reporting. Aggregate counts of children in custody are monitored, but critical process questions remain unanswered:</w:t>
      </w:r>
    </w:p>
    <w:p w14:paraId="7A71573B" w14:textId="77777777" w:rsidR="00A547BA" w:rsidRDefault="00000000">
      <w:pPr>
        <w:pStyle w:val="ListParagraph"/>
        <w:numPr>
          <w:ilvl w:val="0"/>
          <w:numId w:val="2"/>
        </w:numPr>
        <w:spacing w:before="60" w:after="60"/>
      </w:pPr>
      <w:r>
        <w:rPr>
          <w:color w:val="1A202C"/>
        </w:rPr>
        <w:t>How efficiently are children transferred from CBP to HHS care?</w:t>
      </w:r>
    </w:p>
    <w:p w14:paraId="692C59C2" w14:textId="77777777" w:rsidR="00A547BA" w:rsidRDefault="00000000">
      <w:pPr>
        <w:pStyle w:val="ListParagraph"/>
        <w:numPr>
          <w:ilvl w:val="0"/>
          <w:numId w:val="2"/>
        </w:numPr>
        <w:spacing w:before="60" w:after="60"/>
      </w:pPr>
      <w:r>
        <w:rPr>
          <w:color w:val="1A202C"/>
        </w:rPr>
        <w:t>Are discharges keeping pace with daily inflows?</w:t>
      </w:r>
    </w:p>
    <w:p w14:paraId="657C53E5" w14:textId="77777777" w:rsidR="00A547BA" w:rsidRDefault="00000000">
      <w:pPr>
        <w:pStyle w:val="ListParagraph"/>
        <w:numPr>
          <w:ilvl w:val="0"/>
          <w:numId w:val="2"/>
        </w:numPr>
        <w:spacing w:before="60" w:after="60"/>
      </w:pPr>
      <w:r>
        <w:rPr>
          <w:color w:val="1A202C"/>
        </w:rPr>
        <w:t>When and where do care backlogs accumulate?</w:t>
      </w:r>
    </w:p>
    <w:p w14:paraId="6DAB7206" w14:textId="77777777" w:rsidR="00A547BA" w:rsidRDefault="00000000">
      <w:pPr>
        <w:pStyle w:val="ListParagraph"/>
        <w:numPr>
          <w:ilvl w:val="0"/>
          <w:numId w:val="2"/>
        </w:numPr>
        <w:spacing w:before="60" w:after="60"/>
      </w:pPr>
      <w:r>
        <w:rPr>
          <w:color w:val="1A202C"/>
        </w:rPr>
        <w:t>Are placement outcomes improving or deteriorating over time?</w:t>
      </w:r>
    </w:p>
    <w:p w14:paraId="6542375B" w14:textId="77777777" w:rsidR="00A547BA" w:rsidRDefault="00A547BA">
      <w:pPr>
        <w:spacing w:before="80" w:after="80"/>
      </w:pPr>
    </w:p>
    <w:p w14:paraId="38527C8B" w14:textId="77777777" w:rsidR="00A547BA" w:rsidRDefault="00000000">
      <w:pPr>
        <w:spacing w:before="80" w:after="120" w:line="360" w:lineRule="auto"/>
        <w:jc w:val="both"/>
      </w:pPr>
      <w:r>
        <w:rPr>
          <w:color w:val="1A202C"/>
        </w:rPr>
        <w:t>Without structured transition analytics, systemic bottlenecks remain hidden, policy reforms lack data grounding, and case management optimization is impossible. This research addresses these gaps through a rigorous analytical framework.</w:t>
      </w:r>
    </w:p>
    <w:p w14:paraId="4F80BC35" w14:textId="77777777" w:rsidR="00A547BA" w:rsidRDefault="00000000">
      <w:pPr>
        <w:pStyle w:val="Heading2"/>
      </w:pPr>
      <w:r>
        <w:t>1.3 Research Objectives</w:t>
      </w:r>
    </w:p>
    <w:p w14:paraId="18C123AF" w14:textId="77777777" w:rsidR="00A547BA" w:rsidRDefault="00000000">
      <w:pPr>
        <w:spacing w:before="80" w:after="120" w:line="360" w:lineRule="auto"/>
        <w:jc w:val="both"/>
      </w:pPr>
      <w:r>
        <w:rPr>
          <w:color w:val="1A202C"/>
        </w:rPr>
        <w:t>The primary objectives of this research are:</w:t>
      </w:r>
    </w:p>
    <w:p w14:paraId="4482AFAA" w14:textId="77777777" w:rsidR="00A547BA" w:rsidRDefault="00000000">
      <w:pPr>
        <w:pStyle w:val="ListParagraph"/>
        <w:numPr>
          <w:ilvl w:val="0"/>
          <w:numId w:val="2"/>
        </w:numPr>
        <w:spacing w:before="60" w:after="60"/>
      </w:pPr>
      <w:r>
        <w:rPr>
          <w:color w:val="1A202C"/>
        </w:rPr>
        <w:t>Design and compute a Care Pipeline Efficiency framework from raw custody data</w:t>
      </w:r>
    </w:p>
    <w:p w14:paraId="6499E459" w14:textId="77777777" w:rsidR="00A547BA" w:rsidRDefault="00000000">
      <w:pPr>
        <w:pStyle w:val="ListParagraph"/>
        <w:numPr>
          <w:ilvl w:val="0"/>
          <w:numId w:val="2"/>
        </w:numPr>
        <w:spacing w:before="60" w:after="60"/>
      </w:pPr>
      <w:r>
        <w:rPr>
          <w:color w:val="1A202C"/>
        </w:rPr>
        <w:t>Measure CBP-to-HHS transfer efficiency across the full 3-year period</w:t>
      </w:r>
    </w:p>
    <w:p w14:paraId="7EDA1121" w14:textId="77777777" w:rsidR="00A547BA" w:rsidRDefault="00000000">
      <w:pPr>
        <w:pStyle w:val="ListParagraph"/>
        <w:numPr>
          <w:ilvl w:val="0"/>
          <w:numId w:val="2"/>
        </w:numPr>
        <w:spacing w:before="60" w:after="60"/>
      </w:pPr>
      <w:r>
        <w:rPr>
          <w:color w:val="1A202C"/>
        </w:rPr>
        <w:t>Evaluate discharge effectiveness and sponsor placement outcome trends</w:t>
      </w:r>
    </w:p>
    <w:p w14:paraId="0ED02749" w14:textId="77777777" w:rsidR="00A547BA" w:rsidRDefault="00000000">
      <w:pPr>
        <w:pStyle w:val="ListParagraph"/>
        <w:numPr>
          <w:ilvl w:val="0"/>
          <w:numId w:val="2"/>
        </w:numPr>
        <w:spacing w:before="60" w:after="60"/>
      </w:pPr>
      <w:r>
        <w:rPr>
          <w:color w:val="1A202C"/>
        </w:rPr>
        <w:t>Identify bottleneck periods and backlog accumulation phases</w:t>
      </w:r>
    </w:p>
    <w:p w14:paraId="627FDE94" w14:textId="77777777" w:rsidR="00A547BA" w:rsidRDefault="00000000">
      <w:pPr>
        <w:pStyle w:val="ListParagraph"/>
        <w:numPr>
          <w:ilvl w:val="0"/>
          <w:numId w:val="2"/>
        </w:numPr>
        <w:spacing w:before="60" w:after="60"/>
      </w:pPr>
      <w:r>
        <w:rPr>
          <w:color w:val="1A202C"/>
        </w:rPr>
        <w:t>Develop an interactive analytics dashboard for policy stakeholders</w:t>
      </w:r>
    </w:p>
    <w:p w14:paraId="5E8AC368" w14:textId="77777777" w:rsidR="00A547BA" w:rsidRDefault="00A547BA">
      <w:pPr>
        <w:spacing w:before="80" w:after="80"/>
      </w:pPr>
    </w:p>
    <w:p w14:paraId="0C775F5A" w14:textId="77777777" w:rsidR="00A547BA" w:rsidRDefault="00000000">
      <w:pPr>
        <w:spacing w:before="80" w:after="120" w:line="360" w:lineRule="auto"/>
        <w:jc w:val="both"/>
      </w:pPr>
      <w:r>
        <w:rPr>
          <w:color w:val="1A202C"/>
        </w:rPr>
        <w:lastRenderedPageBreak/>
        <w:t>Secondary objectives include supporting faster reunification, improving case management workflows, and informing evidence-based policy reforms.</w:t>
      </w:r>
    </w:p>
    <w:p w14:paraId="5A91A8C1" w14:textId="77777777" w:rsidR="00A547BA" w:rsidRDefault="00000000">
      <w:pPr>
        <w:pStyle w:val="Heading2"/>
      </w:pPr>
      <w:r>
        <w:t>1.4 Significance</w:t>
      </w:r>
    </w:p>
    <w:p w14:paraId="2103E2A2" w14:textId="77777777" w:rsidR="00A547BA" w:rsidRDefault="00000000">
      <w:pPr>
        <w:spacing w:before="80" w:after="120" w:line="360" w:lineRule="auto"/>
        <w:jc w:val="both"/>
      </w:pPr>
      <w:r>
        <w:rPr>
          <w:color w:val="1A202C"/>
        </w:rPr>
        <w:t>This project reframes the UAC dataset from a capacity monitoring lens to a process efficiency and outcome evaluation lens. The analytical contributions of this research provide actionable insights for improving reunification timelines, reducing delays, and strengthening child welfare outcomes — directly supporting the humanitarian mission of the HHS UAC Program.</w:t>
      </w:r>
    </w:p>
    <w:p w14:paraId="2D1A379F" w14:textId="77777777" w:rsidR="00A547BA" w:rsidRDefault="00000000">
      <w:r>
        <w:br w:type="page"/>
      </w:r>
    </w:p>
    <w:p w14:paraId="61D48F46" w14:textId="77777777" w:rsidR="00A547BA" w:rsidRDefault="00000000">
      <w:pPr>
        <w:pStyle w:val="Heading1"/>
        <w:pBdr>
          <w:bottom w:val="single" w:sz="8" w:space="6" w:color="006B5E"/>
        </w:pBdr>
      </w:pPr>
      <w:r>
        <w:lastRenderedPageBreak/>
        <w:t>2. Literature Review</w:t>
      </w:r>
    </w:p>
    <w:p w14:paraId="32895955" w14:textId="77777777" w:rsidR="00A547BA" w:rsidRDefault="00000000">
      <w:pPr>
        <w:pStyle w:val="Heading2"/>
      </w:pPr>
      <w:r>
        <w:t>2.1 Child Welfare Pipeline Management</w:t>
      </w:r>
    </w:p>
    <w:p w14:paraId="5A34D0BE" w14:textId="77777777" w:rsidR="00A547BA" w:rsidRDefault="00000000">
      <w:pPr>
        <w:spacing w:before="80" w:after="120" w:line="360" w:lineRule="auto"/>
        <w:jc w:val="both"/>
      </w:pPr>
      <w:r>
        <w:rPr>
          <w:color w:val="1A202C"/>
        </w:rPr>
        <w:t>The literature on child welfare systems increasingly recognizes the importance of pipeline thinking — treating care as a sequential series of stages, each with measurable throughput rates and transition efficiencies. Studies in child protective services have demonstrated that delays at any stage of the care pipeline — whether at intake, placement, or discharge — compound over time, leading to systemic backlogs and adverse outcomes for children (</w:t>
      </w:r>
      <w:proofErr w:type="spellStart"/>
      <w:r>
        <w:rPr>
          <w:color w:val="1A202C"/>
        </w:rPr>
        <w:t>Wulczyn</w:t>
      </w:r>
      <w:proofErr w:type="spellEnd"/>
      <w:r>
        <w:rPr>
          <w:color w:val="1A202C"/>
        </w:rPr>
        <w:t xml:space="preserve"> et al., 2010).</w:t>
      </w:r>
    </w:p>
    <w:p w14:paraId="3738F213" w14:textId="77777777" w:rsidR="00A547BA" w:rsidRDefault="00000000">
      <w:pPr>
        <w:spacing w:before="80" w:after="120" w:line="360" w:lineRule="auto"/>
        <w:jc w:val="both"/>
      </w:pPr>
      <w:r>
        <w:rPr>
          <w:color w:val="1A202C"/>
        </w:rPr>
        <w:t>In the immigration context, researchers have documented that extended detention in inappropriate settings (such as CBP facilities designed for short-term holding) correlates with negative developmental outcomes for minors, underscoring the urgency of efficient pipeline movement (Byrne &amp; Miller, 2012). The UAC program, by transferring children from short-term CBP custody to ORR shelters and ultimately to sponsor placement, mirrors the logic of a child welfare pipeline with distinct transition efficiency concerns.</w:t>
      </w:r>
    </w:p>
    <w:p w14:paraId="1EAB8FB5" w14:textId="77777777" w:rsidR="00A547BA" w:rsidRDefault="00000000">
      <w:pPr>
        <w:pStyle w:val="Heading2"/>
      </w:pPr>
      <w:r>
        <w:t>2.2 Process Efficiency in Public Administration</w:t>
      </w:r>
    </w:p>
    <w:p w14:paraId="36B4CD33" w14:textId="77777777" w:rsidR="00A547BA" w:rsidRDefault="00000000">
      <w:pPr>
        <w:spacing w:before="80" w:after="120" w:line="360" w:lineRule="auto"/>
        <w:jc w:val="both"/>
      </w:pPr>
      <w:r>
        <w:rPr>
          <w:color w:val="1A202C"/>
        </w:rPr>
        <w:t>Public administration literature on process efficiency has evolved significantly with the availability of administrative datasets. The Little's Law framework — which relates average system population to arrival rate and average time in system — provides a theoretical basis for the Transfer Efficiency Ratio and Pipeline Throughput Rate metrics developed in this research (Little, 1961). Applied to the UAC pipeline, Little's Law predicts that reducing average time in CBP custody or HHS shelter is equivalent to increasing the transfer and discharge rates, respectively.</w:t>
      </w:r>
    </w:p>
    <w:p w14:paraId="5130EB14" w14:textId="77777777" w:rsidR="00A547BA" w:rsidRDefault="00000000">
      <w:pPr>
        <w:spacing w:before="80" w:after="120" w:line="360" w:lineRule="auto"/>
        <w:jc w:val="both"/>
      </w:pPr>
      <w:r>
        <w:rPr>
          <w:color w:val="1A202C"/>
        </w:rPr>
        <w:t>Government performance management frameworks, including GPRA (Government Performance and Results Act) and OMB's Program Assessment Rating Tool, emphasize the importance of outcome metrics over output metrics — a distinction this research operationalizes through the Discharge Effectiveness Index and Outcome Stability Score.</w:t>
      </w:r>
    </w:p>
    <w:p w14:paraId="5CB73807" w14:textId="77777777" w:rsidR="00A547BA" w:rsidRDefault="00000000">
      <w:pPr>
        <w:pStyle w:val="Heading2"/>
      </w:pPr>
      <w:r>
        <w:t>2.3 Analytics in Immigration Policy</w:t>
      </w:r>
    </w:p>
    <w:p w14:paraId="7BED559B" w14:textId="77777777" w:rsidR="00A547BA" w:rsidRDefault="00000000">
      <w:pPr>
        <w:spacing w:before="80" w:after="120" w:line="360" w:lineRule="auto"/>
        <w:jc w:val="both"/>
      </w:pPr>
      <w:r>
        <w:rPr>
          <w:color w:val="1A202C"/>
        </w:rPr>
        <w:t>Data analytics applications in immigration policy have grown substantially following the introduction of systematic administrative data collection. Researchers have used administrative data to model detention lengths, forecast census fluctuations, and evaluate placement outcomes (Ryo, 2018). However, the majority of this literature focuses on adult immigration detention rather than the UAC program, leaving a significant gap in process efficiency analysis for unaccompanied minors.</w:t>
      </w:r>
    </w:p>
    <w:p w14:paraId="5AFA1F2E" w14:textId="77777777" w:rsidR="00A547BA" w:rsidRDefault="00000000">
      <w:pPr>
        <w:spacing w:before="80" w:after="120" w:line="360" w:lineRule="auto"/>
        <w:jc w:val="both"/>
      </w:pPr>
      <w:r>
        <w:rPr>
          <w:color w:val="1A202C"/>
        </w:rPr>
        <w:lastRenderedPageBreak/>
        <w:t xml:space="preserve">The current research builds on these foundations by introducing pipeline </w:t>
      </w:r>
      <w:proofErr w:type="spellStart"/>
      <w:r>
        <w:rPr>
          <w:color w:val="1A202C"/>
        </w:rPr>
        <w:t>modeling</w:t>
      </w:r>
      <w:proofErr w:type="spellEnd"/>
      <w:r>
        <w:rPr>
          <w:color w:val="1A202C"/>
        </w:rPr>
        <w:t>, derived efficiency ratios, and temporal pattern analysis to the UAC dataset — methods not previously applied in this policy domain.</w:t>
      </w:r>
    </w:p>
    <w:p w14:paraId="488B1BED" w14:textId="77777777" w:rsidR="00A547BA" w:rsidRDefault="00000000">
      <w:r>
        <w:br w:type="page"/>
      </w:r>
    </w:p>
    <w:p w14:paraId="1BBB2260" w14:textId="77777777" w:rsidR="00A547BA" w:rsidRDefault="00000000">
      <w:pPr>
        <w:pStyle w:val="Heading1"/>
        <w:pBdr>
          <w:bottom w:val="single" w:sz="8" w:space="6" w:color="006B5E"/>
        </w:pBdr>
      </w:pPr>
      <w:r>
        <w:lastRenderedPageBreak/>
        <w:t>3. Dataset Description &amp; Methodology</w:t>
      </w:r>
    </w:p>
    <w:p w14:paraId="75227717" w14:textId="77777777" w:rsidR="00A547BA" w:rsidRDefault="00000000">
      <w:pPr>
        <w:pStyle w:val="Heading2"/>
      </w:pPr>
      <w:r>
        <w:t>3.1 Dataset Overview</w:t>
      </w:r>
    </w:p>
    <w:p w14:paraId="463FB2BA" w14:textId="77777777" w:rsidR="00A547BA" w:rsidRDefault="00000000">
      <w:pPr>
        <w:spacing w:before="80" w:after="120" w:line="360" w:lineRule="auto"/>
        <w:jc w:val="both"/>
      </w:pPr>
      <w:r>
        <w:rPr>
          <w:color w:val="1A202C"/>
        </w:rPr>
        <w:t>The dataset comprises 720 daily reporting records from the HHS UAC Program, covering January 12, 2023 to December 21, 2025. The data is sourced from HHS ORR public reporting and contains six primary variables:</w:t>
      </w:r>
    </w:p>
    <w:p w14:paraId="14B86FB3" w14:textId="77777777" w:rsidR="00A547BA" w:rsidRDefault="00A547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A547BA" w14:paraId="7386C5F0" w14:textId="77777777">
        <w:tblPrEx>
          <w:tblCellMar>
            <w:top w:w="0" w:type="dxa"/>
            <w:bottom w:w="0" w:type="dxa"/>
          </w:tblCellMar>
        </w:tblPrEx>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02A1EF9C" w14:textId="77777777" w:rsidR="00A547BA" w:rsidRDefault="00000000">
            <w:pPr>
              <w:jc w:val="center"/>
            </w:pPr>
            <w:r>
              <w:rPr>
                <w:b/>
                <w:bCs/>
                <w:color w:val="FFFFFF"/>
                <w:sz w:val="20"/>
                <w:szCs w:val="20"/>
              </w:rPr>
              <w:t>Column Name</w:t>
            </w:r>
          </w:p>
        </w:tc>
        <w:tc>
          <w:tcPr>
            <w:tcW w:w="21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1971F563" w14:textId="77777777" w:rsidR="00A547BA" w:rsidRDefault="00000000">
            <w:pPr>
              <w:jc w:val="center"/>
            </w:pPr>
            <w:r>
              <w:rPr>
                <w:b/>
                <w:bCs/>
                <w:color w:val="FFFFFF"/>
                <w:sz w:val="20"/>
                <w:szCs w:val="20"/>
              </w:rPr>
              <w:t>Type</w:t>
            </w:r>
          </w:p>
        </w:tc>
        <w:tc>
          <w:tcPr>
            <w:tcW w:w="4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43DF95E8" w14:textId="77777777" w:rsidR="00A547BA" w:rsidRDefault="00000000">
            <w:pPr>
              <w:jc w:val="center"/>
            </w:pPr>
            <w:r>
              <w:rPr>
                <w:b/>
                <w:bCs/>
                <w:color w:val="FFFFFF"/>
                <w:sz w:val="20"/>
                <w:szCs w:val="20"/>
              </w:rPr>
              <w:t>Description</w:t>
            </w:r>
          </w:p>
        </w:tc>
      </w:tr>
      <w:tr w:rsidR="00A547BA" w14:paraId="4D0EC87A" w14:textId="77777777">
        <w:tblPrEx>
          <w:tblCellMar>
            <w:top w:w="0" w:type="dxa"/>
            <w:bottom w:w="0" w:type="dxa"/>
          </w:tblCellMar>
        </w:tblPrEx>
        <w:tc>
          <w:tcPr>
            <w:tcW w:w="24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14646E2B" w14:textId="77777777" w:rsidR="00A547BA" w:rsidRDefault="00000000">
            <w:r>
              <w:rPr>
                <w:b/>
                <w:bCs/>
                <w:color w:val="1B3A6B"/>
                <w:sz w:val="20"/>
                <w:szCs w:val="20"/>
              </w:rPr>
              <w:t>Date</w:t>
            </w:r>
          </w:p>
        </w:tc>
        <w:tc>
          <w:tcPr>
            <w:tcW w:w="216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6BE32356" w14:textId="77777777" w:rsidR="00A547BA" w:rsidRDefault="00000000">
            <w:r>
              <w:rPr>
                <w:color w:val="1A202C"/>
                <w:sz w:val="20"/>
                <w:szCs w:val="20"/>
              </w:rPr>
              <w:t>Date</w:t>
            </w:r>
          </w:p>
        </w:tc>
        <w:tc>
          <w:tcPr>
            <w:tcW w:w="48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03CF9188" w14:textId="77777777" w:rsidR="00A547BA" w:rsidRDefault="00000000">
            <w:r>
              <w:rPr>
                <w:color w:val="1A202C"/>
                <w:sz w:val="20"/>
                <w:szCs w:val="20"/>
              </w:rPr>
              <w:t>Daily reporting date</w:t>
            </w:r>
          </w:p>
        </w:tc>
      </w:tr>
      <w:tr w:rsidR="00A547BA" w14:paraId="1DEC8EAE" w14:textId="77777777">
        <w:tblPrEx>
          <w:tblCellMar>
            <w:top w:w="0" w:type="dxa"/>
            <w:bottom w:w="0" w:type="dxa"/>
          </w:tblCellMar>
        </w:tblPrEx>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4B2DC164" w14:textId="77777777" w:rsidR="00A547BA" w:rsidRDefault="00000000">
            <w:r>
              <w:rPr>
                <w:b/>
                <w:bCs/>
                <w:color w:val="1B3A6B"/>
                <w:sz w:val="20"/>
                <w:szCs w:val="20"/>
              </w:rPr>
              <w:t>Children Apprehended</w:t>
            </w:r>
          </w:p>
        </w:tc>
        <w:tc>
          <w:tcPr>
            <w:tcW w:w="2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356107B3" w14:textId="77777777" w:rsidR="00A547BA" w:rsidRDefault="00000000">
            <w:r>
              <w:rPr>
                <w:color w:val="1A202C"/>
                <w:sz w:val="20"/>
                <w:szCs w:val="20"/>
              </w:rPr>
              <w:t>Integer</w:t>
            </w:r>
          </w:p>
        </w:tc>
        <w:tc>
          <w:tcPr>
            <w:tcW w:w="4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667126DB" w14:textId="77777777" w:rsidR="00A547BA" w:rsidRDefault="00000000">
            <w:r>
              <w:rPr>
                <w:color w:val="1A202C"/>
                <w:sz w:val="20"/>
                <w:szCs w:val="20"/>
              </w:rPr>
              <w:t>Daily CBP intake volume — children entering CBP custody</w:t>
            </w:r>
          </w:p>
        </w:tc>
      </w:tr>
      <w:tr w:rsidR="00A547BA" w14:paraId="7D6A61C3" w14:textId="77777777">
        <w:tblPrEx>
          <w:tblCellMar>
            <w:top w:w="0" w:type="dxa"/>
            <w:bottom w:w="0" w:type="dxa"/>
          </w:tblCellMar>
        </w:tblPrEx>
        <w:tc>
          <w:tcPr>
            <w:tcW w:w="24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172A6B00" w14:textId="77777777" w:rsidR="00A547BA" w:rsidRDefault="00000000">
            <w:r>
              <w:rPr>
                <w:b/>
                <w:bCs/>
                <w:color w:val="1B3A6B"/>
                <w:sz w:val="20"/>
                <w:szCs w:val="20"/>
              </w:rPr>
              <w:t>Children in CBP Custody</w:t>
            </w:r>
          </w:p>
        </w:tc>
        <w:tc>
          <w:tcPr>
            <w:tcW w:w="216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5157A4E8" w14:textId="77777777" w:rsidR="00A547BA" w:rsidRDefault="00000000">
            <w:r>
              <w:rPr>
                <w:color w:val="1A202C"/>
                <w:sz w:val="20"/>
                <w:szCs w:val="20"/>
              </w:rPr>
              <w:t>Integer</w:t>
            </w:r>
          </w:p>
        </w:tc>
        <w:tc>
          <w:tcPr>
            <w:tcW w:w="48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2A5E442E" w14:textId="77777777" w:rsidR="00A547BA" w:rsidRDefault="00000000">
            <w:r>
              <w:rPr>
                <w:color w:val="1A202C"/>
                <w:sz w:val="20"/>
                <w:szCs w:val="20"/>
              </w:rPr>
              <w:t>Active daily caseload under CBP care</w:t>
            </w:r>
          </w:p>
        </w:tc>
      </w:tr>
      <w:tr w:rsidR="00A547BA" w14:paraId="3845CFCF" w14:textId="77777777">
        <w:tblPrEx>
          <w:tblCellMar>
            <w:top w:w="0" w:type="dxa"/>
            <w:bottom w:w="0" w:type="dxa"/>
          </w:tblCellMar>
        </w:tblPrEx>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753579DC" w14:textId="77777777" w:rsidR="00A547BA" w:rsidRDefault="00000000">
            <w:r>
              <w:rPr>
                <w:b/>
                <w:bCs/>
                <w:color w:val="1B3A6B"/>
                <w:sz w:val="20"/>
                <w:szCs w:val="20"/>
              </w:rPr>
              <w:t>Children Transferred</w:t>
            </w:r>
          </w:p>
        </w:tc>
        <w:tc>
          <w:tcPr>
            <w:tcW w:w="2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1F90EF39" w14:textId="77777777" w:rsidR="00A547BA" w:rsidRDefault="00000000">
            <w:r>
              <w:rPr>
                <w:color w:val="1A202C"/>
                <w:sz w:val="20"/>
                <w:szCs w:val="20"/>
              </w:rPr>
              <w:t>Integer</w:t>
            </w:r>
          </w:p>
        </w:tc>
        <w:tc>
          <w:tcPr>
            <w:tcW w:w="4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163632C1" w14:textId="77777777" w:rsidR="00A547BA" w:rsidRDefault="00000000">
            <w:r>
              <w:rPr>
                <w:color w:val="1A202C"/>
                <w:sz w:val="20"/>
                <w:szCs w:val="20"/>
              </w:rPr>
              <w:t>Daily flow from CBP into HHS shelter system</w:t>
            </w:r>
          </w:p>
        </w:tc>
      </w:tr>
      <w:tr w:rsidR="00A547BA" w14:paraId="71EF7799" w14:textId="77777777">
        <w:tblPrEx>
          <w:tblCellMar>
            <w:top w:w="0" w:type="dxa"/>
            <w:bottom w:w="0" w:type="dxa"/>
          </w:tblCellMar>
        </w:tblPrEx>
        <w:tc>
          <w:tcPr>
            <w:tcW w:w="24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69420CCB" w14:textId="77777777" w:rsidR="00A547BA" w:rsidRDefault="00000000">
            <w:r>
              <w:rPr>
                <w:b/>
                <w:bCs/>
                <w:color w:val="1B3A6B"/>
                <w:sz w:val="20"/>
                <w:szCs w:val="20"/>
              </w:rPr>
              <w:t>Children in HHS Care</w:t>
            </w:r>
          </w:p>
        </w:tc>
        <w:tc>
          <w:tcPr>
            <w:tcW w:w="216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25F1A45C" w14:textId="77777777" w:rsidR="00A547BA" w:rsidRDefault="00000000">
            <w:r>
              <w:rPr>
                <w:color w:val="1A202C"/>
                <w:sz w:val="20"/>
                <w:szCs w:val="20"/>
              </w:rPr>
              <w:t>Integer</w:t>
            </w:r>
          </w:p>
        </w:tc>
        <w:tc>
          <w:tcPr>
            <w:tcW w:w="48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423B2461" w14:textId="77777777" w:rsidR="00A547BA" w:rsidRDefault="00000000">
            <w:r>
              <w:rPr>
                <w:color w:val="1A202C"/>
                <w:sz w:val="20"/>
                <w:szCs w:val="20"/>
              </w:rPr>
              <w:t>Active daily caseload in ORR-licensed shelters</w:t>
            </w:r>
          </w:p>
        </w:tc>
      </w:tr>
      <w:tr w:rsidR="00A547BA" w14:paraId="66E9DF7F" w14:textId="77777777">
        <w:tblPrEx>
          <w:tblCellMar>
            <w:top w:w="0" w:type="dxa"/>
            <w:bottom w:w="0" w:type="dxa"/>
          </w:tblCellMar>
        </w:tblPrEx>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0ACC2B09" w14:textId="77777777" w:rsidR="00A547BA" w:rsidRDefault="00000000">
            <w:r>
              <w:rPr>
                <w:b/>
                <w:bCs/>
                <w:color w:val="1B3A6B"/>
                <w:sz w:val="20"/>
                <w:szCs w:val="20"/>
              </w:rPr>
              <w:t>Children Discharged</w:t>
            </w:r>
          </w:p>
        </w:tc>
        <w:tc>
          <w:tcPr>
            <w:tcW w:w="2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559BB4E3" w14:textId="77777777" w:rsidR="00A547BA" w:rsidRDefault="00000000">
            <w:r>
              <w:rPr>
                <w:color w:val="1A202C"/>
                <w:sz w:val="20"/>
                <w:szCs w:val="20"/>
              </w:rPr>
              <w:t>Integer</w:t>
            </w:r>
          </w:p>
        </w:tc>
        <w:tc>
          <w:tcPr>
            <w:tcW w:w="4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51774048" w14:textId="77777777" w:rsidR="00A547BA" w:rsidRDefault="00000000">
            <w:r>
              <w:rPr>
                <w:color w:val="1A202C"/>
                <w:sz w:val="20"/>
                <w:szCs w:val="20"/>
              </w:rPr>
              <w:t>Daily successful sponsor placements (reunifications)</w:t>
            </w:r>
          </w:p>
        </w:tc>
      </w:tr>
    </w:tbl>
    <w:p w14:paraId="35300712" w14:textId="77777777" w:rsidR="00A547BA" w:rsidRDefault="00A547BA">
      <w:pPr>
        <w:spacing w:before="120" w:after="120"/>
      </w:pPr>
    </w:p>
    <w:p w14:paraId="0E8C01A7" w14:textId="77777777" w:rsidR="00A547BA" w:rsidRDefault="00000000">
      <w:pPr>
        <w:spacing w:before="80" w:after="120" w:line="360" w:lineRule="auto"/>
        <w:jc w:val="both"/>
      </w:pPr>
      <w:r>
        <w:rPr>
          <w:color w:val="1A202C"/>
        </w:rPr>
        <w:t>Descriptive statistics for the dataset reveal substantial variation across the study period. The HHS Care census ranged from a minimum of 1,972 to a maximum of 11,516 children, with a mean of approximately 6,800. Daily discharges ranged from 0 to 476 children, reflecting significant volatility in placement operations.</w:t>
      </w:r>
    </w:p>
    <w:p w14:paraId="2C281B6B" w14:textId="77777777" w:rsidR="00A547BA" w:rsidRDefault="00000000">
      <w:pPr>
        <w:pStyle w:val="Heading2"/>
      </w:pPr>
      <w:r>
        <w:t>3.2 Data Preprocessing</w:t>
      </w:r>
    </w:p>
    <w:p w14:paraId="19B090BF" w14:textId="77777777" w:rsidR="00A547BA" w:rsidRDefault="00000000">
      <w:pPr>
        <w:spacing w:before="80" w:after="120" w:line="360" w:lineRule="auto"/>
        <w:jc w:val="both"/>
      </w:pPr>
      <w:r>
        <w:rPr>
          <w:color w:val="1A202C"/>
        </w:rPr>
        <w:t xml:space="preserve">Raw data preprocessing involved the following steps: (1) removal of 450 trailing null rows </w:t>
      </w:r>
      <w:proofErr w:type="gramStart"/>
      <w:r>
        <w:rPr>
          <w:color w:val="1A202C"/>
        </w:rPr>
        <w:t>present</w:t>
      </w:r>
      <w:proofErr w:type="gramEnd"/>
      <w:r>
        <w:rPr>
          <w:color w:val="1A202C"/>
        </w:rPr>
        <w:t xml:space="preserve"> in the CSV export format; (2) comma-character removal from HHS Care figures stored as formatted strings; (3) date parsing and chronological sorting; (4) numeric coercion with error handling for malformed entries. The resulting clean dataset contains 720 valid records with no missing values in primary variables.</w:t>
      </w:r>
    </w:p>
    <w:p w14:paraId="25AD9DB2" w14:textId="77777777" w:rsidR="00A547BA" w:rsidRDefault="00000000">
      <w:pPr>
        <w:pStyle w:val="Heading2"/>
      </w:pPr>
      <w:r>
        <w:t xml:space="preserve">3.3 Care Pipeline </w:t>
      </w:r>
      <w:proofErr w:type="spellStart"/>
      <w:r>
        <w:t>Modeling</w:t>
      </w:r>
      <w:proofErr w:type="spellEnd"/>
    </w:p>
    <w:p w14:paraId="108772E2" w14:textId="77777777" w:rsidR="00A547BA" w:rsidRDefault="00000000">
      <w:pPr>
        <w:spacing w:before="80" w:after="120" w:line="360" w:lineRule="auto"/>
        <w:jc w:val="both"/>
      </w:pPr>
      <w:r>
        <w:rPr>
          <w:color w:val="1A202C"/>
        </w:rPr>
        <w:t xml:space="preserve">The UAC care process is </w:t>
      </w:r>
      <w:proofErr w:type="spellStart"/>
      <w:r>
        <w:rPr>
          <w:color w:val="1A202C"/>
        </w:rPr>
        <w:t>modeled</w:t>
      </w:r>
      <w:proofErr w:type="spellEnd"/>
      <w:r>
        <w:rPr>
          <w:color w:val="1A202C"/>
        </w:rPr>
        <w:t xml:space="preserve"> as a four-stage pipeline with measurable flows between stages:</w:t>
      </w:r>
    </w:p>
    <w:p w14:paraId="374F0AF0" w14:textId="77777777" w:rsidR="00A547BA" w:rsidRDefault="00A547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2000"/>
        <w:gridCol w:w="4000"/>
      </w:tblGrid>
      <w:tr w:rsidR="00A547BA" w14:paraId="7B46D47D" w14:textId="77777777">
        <w:tblPrEx>
          <w:tblCellMar>
            <w:top w:w="0" w:type="dxa"/>
            <w:bottom w:w="0" w:type="dxa"/>
          </w:tblCellMar>
        </w:tblPrEx>
        <w:tc>
          <w:tcPr>
            <w:tcW w:w="12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6E6373EC" w14:textId="77777777" w:rsidR="00A547BA" w:rsidRDefault="00000000">
            <w:pPr>
              <w:jc w:val="center"/>
            </w:pPr>
            <w:r>
              <w:rPr>
                <w:b/>
                <w:bCs/>
                <w:color w:val="FFFFFF"/>
                <w:sz w:val="20"/>
                <w:szCs w:val="20"/>
              </w:rPr>
              <w:t>Stage</w:t>
            </w:r>
          </w:p>
        </w:tc>
        <w:tc>
          <w:tcPr>
            <w:tcW w:w="21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786323A9" w14:textId="77777777" w:rsidR="00A547BA" w:rsidRDefault="00000000">
            <w:pPr>
              <w:jc w:val="center"/>
            </w:pPr>
            <w:r>
              <w:rPr>
                <w:b/>
                <w:bCs/>
                <w:color w:val="FFFFFF"/>
                <w:sz w:val="20"/>
                <w:szCs w:val="20"/>
              </w:rPr>
              <w:t>System</w:t>
            </w:r>
          </w:p>
        </w:tc>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0E5BFF36" w14:textId="77777777" w:rsidR="00A547BA" w:rsidRDefault="00000000">
            <w:pPr>
              <w:jc w:val="center"/>
            </w:pPr>
            <w:r>
              <w:rPr>
                <w:b/>
                <w:bCs/>
                <w:color w:val="FFFFFF"/>
                <w:sz w:val="20"/>
                <w:szCs w:val="20"/>
              </w:rPr>
              <w:t>Metric</w:t>
            </w:r>
          </w:p>
        </w:tc>
        <w:tc>
          <w:tcPr>
            <w:tcW w:w="4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7A5A74FC" w14:textId="77777777" w:rsidR="00A547BA" w:rsidRDefault="00000000">
            <w:pPr>
              <w:jc w:val="center"/>
            </w:pPr>
            <w:r>
              <w:rPr>
                <w:b/>
                <w:bCs/>
                <w:color w:val="FFFFFF"/>
                <w:sz w:val="20"/>
                <w:szCs w:val="20"/>
              </w:rPr>
              <w:t>Objective</w:t>
            </w:r>
          </w:p>
        </w:tc>
      </w:tr>
      <w:tr w:rsidR="00A547BA" w14:paraId="369C157B" w14:textId="77777777">
        <w:tblPrEx>
          <w:tblCellMar>
            <w:top w:w="0" w:type="dxa"/>
            <w:bottom w:w="0" w:type="dxa"/>
          </w:tblCellMar>
        </w:tblPrEx>
        <w:tc>
          <w:tcPr>
            <w:tcW w:w="12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6752C3CE" w14:textId="77777777" w:rsidR="00A547BA" w:rsidRDefault="00000000">
            <w:r>
              <w:rPr>
                <w:b/>
                <w:bCs/>
                <w:color w:val="1B3A6B"/>
                <w:sz w:val="20"/>
                <w:szCs w:val="20"/>
              </w:rPr>
              <w:t>1</w:t>
            </w:r>
          </w:p>
        </w:tc>
        <w:tc>
          <w:tcPr>
            <w:tcW w:w="216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6D2EB48A" w14:textId="77777777" w:rsidR="00A547BA" w:rsidRDefault="00000000">
            <w:r>
              <w:rPr>
                <w:color w:val="1A202C"/>
                <w:sz w:val="20"/>
                <w:szCs w:val="20"/>
              </w:rPr>
              <w:t>CBP Apprehension</w:t>
            </w:r>
          </w:p>
        </w:tc>
        <w:tc>
          <w:tcPr>
            <w:tcW w:w="20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33D0F1E4" w14:textId="77777777" w:rsidR="00A547BA" w:rsidRDefault="00000000">
            <w:r>
              <w:rPr>
                <w:color w:val="1A202C"/>
                <w:sz w:val="20"/>
                <w:szCs w:val="20"/>
              </w:rPr>
              <w:t>CBP Apprehended</w:t>
            </w:r>
          </w:p>
        </w:tc>
        <w:tc>
          <w:tcPr>
            <w:tcW w:w="40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71DC970F" w14:textId="77777777" w:rsidR="00A547BA" w:rsidRDefault="00000000">
            <w:r>
              <w:rPr>
                <w:color w:val="1A202C"/>
                <w:sz w:val="20"/>
                <w:szCs w:val="20"/>
              </w:rPr>
              <w:t>Initial intake — border crossing</w:t>
            </w:r>
          </w:p>
        </w:tc>
      </w:tr>
      <w:tr w:rsidR="00A547BA" w14:paraId="1DA6EBCE" w14:textId="77777777">
        <w:tblPrEx>
          <w:tblCellMar>
            <w:top w:w="0" w:type="dxa"/>
            <w:bottom w:w="0" w:type="dxa"/>
          </w:tblCellMar>
        </w:tblPrEx>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1CF0F36A" w14:textId="77777777" w:rsidR="00A547BA" w:rsidRDefault="00000000">
            <w:r>
              <w:rPr>
                <w:color w:val="1A202C"/>
                <w:sz w:val="20"/>
                <w:szCs w:val="20"/>
              </w:rPr>
              <w:t>2</w:t>
            </w:r>
          </w:p>
        </w:tc>
        <w:tc>
          <w:tcPr>
            <w:tcW w:w="2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62B6FA47" w14:textId="77777777" w:rsidR="00A547BA" w:rsidRDefault="00000000">
            <w:r>
              <w:rPr>
                <w:color w:val="1A202C"/>
                <w:sz w:val="20"/>
                <w:szCs w:val="20"/>
              </w:rPr>
              <w:t>CBP Custody</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20AC6EA8" w14:textId="77777777" w:rsidR="00A547BA" w:rsidRDefault="00000000">
            <w:r>
              <w:rPr>
                <w:color w:val="1A202C"/>
                <w:sz w:val="20"/>
                <w:szCs w:val="20"/>
              </w:rPr>
              <w:t>CBP Custody Count</w:t>
            </w:r>
          </w:p>
        </w:tc>
        <w:tc>
          <w:tcPr>
            <w:tcW w:w="4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121DD5FC" w14:textId="77777777" w:rsidR="00A547BA" w:rsidRDefault="00000000">
            <w:r>
              <w:rPr>
                <w:color w:val="1A202C"/>
                <w:sz w:val="20"/>
                <w:szCs w:val="20"/>
              </w:rPr>
              <w:t>Short-term holding — &lt; 72 hrs target</w:t>
            </w:r>
          </w:p>
        </w:tc>
      </w:tr>
      <w:tr w:rsidR="00A547BA" w14:paraId="5AFF59EF" w14:textId="77777777">
        <w:tblPrEx>
          <w:tblCellMar>
            <w:top w:w="0" w:type="dxa"/>
            <w:bottom w:w="0" w:type="dxa"/>
          </w:tblCellMar>
        </w:tblPrEx>
        <w:tc>
          <w:tcPr>
            <w:tcW w:w="12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27B10DB6" w14:textId="77777777" w:rsidR="00A547BA" w:rsidRDefault="00000000">
            <w:r>
              <w:rPr>
                <w:color w:val="1A202C"/>
                <w:sz w:val="20"/>
                <w:szCs w:val="20"/>
              </w:rPr>
              <w:lastRenderedPageBreak/>
              <w:t>3</w:t>
            </w:r>
          </w:p>
        </w:tc>
        <w:tc>
          <w:tcPr>
            <w:tcW w:w="216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4E67CAB8" w14:textId="77777777" w:rsidR="00A547BA" w:rsidRDefault="00000000">
            <w:r>
              <w:rPr>
                <w:color w:val="1A202C"/>
                <w:sz w:val="20"/>
                <w:szCs w:val="20"/>
              </w:rPr>
              <w:t>HHS ORR Shelter</w:t>
            </w:r>
          </w:p>
        </w:tc>
        <w:tc>
          <w:tcPr>
            <w:tcW w:w="20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7ED8D93F" w14:textId="77777777" w:rsidR="00A547BA" w:rsidRDefault="00000000">
            <w:r>
              <w:rPr>
                <w:color w:val="1A202C"/>
                <w:sz w:val="20"/>
                <w:szCs w:val="20"/>
              </w:rPr>
              <w:t>HHS Care Count</w:t>
            </w:r>
          </w:p>
        </w:tc>
        <w:tc>
          <w:tcPr>
            <w:tcW w:w="40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60132F02" w14:textId="77777777" w:rsidR="00A547BA" w:rsidRDefault="00000000">
            <w:r>
              <w:rPr>
                <w:color w:val="1A202C"/>
                <w:sz w:val="20"/>
                <w:szCs w:val="20"/>
              </w:rPr>
              <w:t>Case management, medical, legal services</w:t>
            </w:r>
          </w:p>
        </w:tc>
      </w:tr>
      <w:tr w:rsidR="00A547BA" w14:paraId="2809A3D4" w14:textId="77777777">
        <w:tblPrEx>
          <w:tblCellMar>
            <w:top w:w="0" w:type="dxa"/>
            <w:bottom w:w="0" w:type="dxa"/>
          </w:tblCellMar>
        </w:tblPrEx>
        <w:tc>
          <w:tcPr>
            <w:tcW w:w="12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112A097B" w14:textId="77777777" w:rsidR="00A547BA" w:rsidRDefault="00000000">
            <w:r>
              <w:rPr>
                <w:color w:val="1A202C"/>
                <w:sz w:val="20"/>
                <w:szCs w:val="20"/>
              </w:rPr>
              <w:t>4</w:t>
            </w:r>
          </w:p>
        </w:tc>
        <w:tc>
          <w:tcPr>
            <w:tcW w:w="2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14BA7D7E" w14:textId="77777777" w:rsidR="00A547BA" w:rsidRDefault="00000000">
            <w:r>
              <w:rPr>
                <w:color w:val="1A202C"/>
                <w:sz w:val="20"/>
                <w:szCs w:val="20"/>
              </w:rPr>
              <w:t>Sponsor Placement</w:t>
            </w:r>
          </w:p>
        </w:tc>
        <w:tc>
          <w:tcPr>
            <w:tcW w:w="2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516CFB07" w14:textId="77777777" w:rsidR="00A547BA" w:rsidRDefault="00000000">
            <w:r>
              <w:rPr>
                <w:color w:val="1A202C"/>
                <w:sz w:val="20"/>
                <w:szCs w:val="20"/>
              </w:rPr>
              <w:t>HHS Discharged</w:t>
            </w:r>
          </w:p>
        </w:tc>
        <w:tc>
          <w:tcPr>
            <w:tcW w:w="40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5CE7147B" w14:textId="77777777" w:rsidR="00A547BA" w:rsidRDefault="00000000">
            <w:r>
              <w:rPr>
                <w:color w:val="1A202C"/>
                <w:sz w:val="20"/>
                <w:szCs w:val="20"/>
              </w:rPr>
              <w:t>Reunification — program exit</w:t>
            </w:r>
          </w:p>
        </w:tc>
      </w:tr>
    </w:tbl>
    <w:p w14:paraId="14DEBA22" w14:textId="77777777" w:rsidR="00A547BA" w:rsidRDefault="00A547BA">
      <w:pPr>
        <w:spacing w:before="120" w:after="120"/>
      </w:pPr>
    </w:p>
    <w:p w14:paraId="3F977415" w14:textId="77777777" w:rsidR="00A547BA" w:rsidRDefault="00000000">
      <w:pPr>
        <w:pStyle w:val="Heading2"/>
      </w:pPr>
      <w:r>
        <w:t>3.4 Derived KPI Metrics</w:t>
      </w:r>
    </w:p>
    <w:p w14:paraId="304D1947" w14:textId="77777777" w:rsidR="00A547BA" w:rsidRDefault="00000000">
      <w:pPr>
        <w:spacing w:before="80" w:after="120" w:line="360" w:lineRule="auto"/>
        <w:jc w:val="both"/>
      </w:pPr>
      <w:r>
        <w:rPr>
          <w:color w:val="1A202C"/>
        </w:rPr>
        <w:t>Five key performance indicators are derived from the raw data to measure pipeline efficiency:</w:t>
      </w:r>
    </w:p>
    <w:p w14:paraId="18CF95DB" w14:textId="77777777" w:rsidR="00A547BA" w:rsidRDefault="00A547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640"/>
        <w:gridCol w:w="2040"/>
        <w:gridCol w:w="2040"/>
      </w:tblGrid>
      <w:tr w:rsidR="00A547BA" w14:paraId="3A7EEA1C" w14:textId="77777777">
        <w:tblPrEx>
          <w:tblCellMar>
            <w:top w:w="0" w:type="dxa"/>
            <w:bottom w:w="0" w:type="dxa"/>
          </w:tblCellMar>
        </w:tblPrEx>
        <w:tc>
          <w:tcPr>
            <w:tcW w:w="264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6EB4BCF6" w14:textId="77777777" w:rsidR="00A547BA" w:rsidRDefault="00000000">
            <w:pPr>
              <w:jc w:val="center"/>
            </w:pPr>
            <w:r>
              <w:rPr>
                <w:b/>
                <w:bCs/>
                <w:color w:val="FFFFFF"/>
                <w:sz w:val="20"/>
                <w:szCs w:val="20"/>
              </w:rPr>
              <w:t>KPI Name</w:t>
            </w:r>
          </w:p>
        </w:tc>
        <w:tc>
          <w:tcPr>
            <w:tcW w:w="264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26C2115F" w14:textId="77777777" w:rsidR="00A547BA" w:rsidRDefault="00000000">
            <w:pPr>
              <w:jc w:val="center"/>
            </w:pPr>
            <w:r>
              <w:rPr>
                <w:b/>
                <w:bCs/>
                <w:color w:val="FFFFFF"/>
                <w:sz w:val="20"/>
                <w:szCs w:val="20"/>
              </w:rPr>
              <w:t>Formula</w:t>
            </w:r>
          </w:p>
        </w:tc>
        <w:tc>
          <w:tcPr>
            <w:tcW w:w="204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7E21217B" w14:textId="77777777" w:rsidR="00A547BA" w:rsidRDefault="00000000">
            <w:pPr>
              <w:jc w:val="center"/>
            </w:pPr>
            <w:r>
              <w:rPr>
                <w:b/>
                <w:bCs/>
                <w:color w:val="FFFFFF"/>
                <w:sz w:val="20"/>
                <w:szCs w:val="20"/>
              </w:rPr>
              <w:t>Target</w:t>
            </w:r>
          </w:p>
        </w:tc>
        <w:tc>
          <w:tcPr>
            <w:tcW w:w="204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580E5FD2" w14:textId="77777777" w:rsidR="00A547BA" w:rsidRDefault="00000000">
            <w:pPr>
              <w:jc w:val="center"/>
            </w:pPr>
            <w:r>
              <w:rPr>
                <w:b/>
                <w:bCs/>
                <w:color w:val="FFFFFF"/>
                <w:sz w:val="20"/>
                <w:szCs w:val="20"/>
              </w:rPr>
              <w:t>Interpretation</w:t>
            </w:r>
          </w:p>
        </w:tc>
      </w:tr>
      <w:tr w:rsidR="00A547BA" w14:paraId="1692AE5D" w14:textId="77777777">
        <w:tblPrEx>
          <w:tblCellMar>
            <w:top w:w="0" w:type="dxa"/>
            <w:bottom w:w="0" w:type="dxa"/>
          </w:tblCellMar>
        </w:tblPrEx>
        <w:tc>
          <w:tcPr>
            <w:tcW w:w="26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31E80073" w14:textId="77777777" w:rsidR="00A547BA" w:rsidRDefault="00000000">
            <w:r>
              <w:rPr>
                <w:b/>
                <w:bCs/>
                <w:color w:val="1B3A6B"/>
                <w:sz w:val="20"/>
                <w:szCs w:val="20"/>
              </w:rPr>
              <w:t>Transfer Efficiency Ratio</w:t>
            </w:r>
          </w:p>
        </w:tc>
        <w:tc>
          <w:tcPr>
            <w:tcW w:w="26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2C66122C" w14:textId="77777777" w:rsidR="00A547BA" w:rsidRDefault="00000000">
            <w:r>
              <w:rPr>
                <w:color w:val="1A202C"/>
                <w:sz w:val="20"/>
                <w:szCs w:val="20"/>
              </w:rPr>
              <w:t>Transfers ÷ CBP Custody</w:t>
            </w:r>
          </w:p>
        </w:tc>
        <w:tc>
          <w:tcPr>
            <w:tcW w:w="20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62D3E604" w14:textId="77777777" w:rsidR="00A547BA" w:rsidRDefault="00000000">
            <w:r>
              <w:rPr>
                <w:b/>
                <w:bCs/>
                <w:color w:val="006B5E"/>
                <w:sz w:val="20"/>
                <w:szCs w:val="20"/>
              </w:rPr>
              <w:t>≥ 0.75</w:t>
            </w:r>
          </w:p>
        </w:tc>
        <w:tc>
          <w:tcPr>
            <w:tcW w:w="20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762C24F4" w14:textId="77777777" w:rsidR="00A547BA" w:rsidRDefault="00000000">
            <w:r>
              <w:rPr>
                <w:color w:val="1A202C"/>
                <w:sz w:val="20"/>
                <w:szCs w:val="20"/>
              </w:rPr>
              <w:t>Higher = faster CBP→HHS movement</w:t>
            </w:r>
          </w:p>
        </w:tc>
      </w:tr>
      <w:tr w:rsidR="00A547BA" w14:paraId="4EFA10D4" w14:textId="77777777">
        <w:tblPrEx>
          <w:tblCellMar>
            <w:top w:w="0" w:type="dxa"/>
            <w:bottom w:w="0" w:type="dxa"/>
          </w:tblCellMar>
        </w:tblPrEx>
        <w:tc>
          <w:tcPr>
            <w:tcW w:w="264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1437D3DE" w14:textId="77777777" w:rsidR="00A547BA" w:rsidRDefault="00000000">
            <w:r>
              <w:rPr>
                <w:b/>
                <w:bCs/>
                <w:color w:val="1B3A6B"/>
                <w:sz w:val="20"/>
                <w:szCs w:val="20"/>
              </w:rPr>
              <w:t>Discharge Effectiveness Index</w:t>
            </w:r>
          </w:p>
        </w:tc>
        <w:tc>
          <w:tcPr>
            <w:tcW w:w="264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3CC7BA53" w14:textId="77777777" w:rsidR="00A547BA" w:rsidRDefault="00000000">
            <w:r>
              <w:rPr>
                <w:color w:val="1A202C"/>
                <w:sz w:val="20"/>
                <w:szCs w:val="20"/>
              </w:rPr>
              <w:t>Discharges ÷ HHS Care</w:t>
            </w:r>
          </w:p>
        </w:tc>
        <w:tc>
          <w:tcPr>
            <w:tcW w:w="204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5543D15A" w14:textId="77777777" w:rsidR="00A547BA" w:rsidRDefault="00000000">
            <w:r>
              <w:rPr>
                <w:b/>
                <w:bCs/>
                <w:color w:val="006B5E"/>
                <w:sz w:val="20"/>
                <w:szCs w:val="20"/>
              </w:rPr>
              <w:t>≥ 0.030</w:t>
            </w:r>
          </w:p>
        </w:tc>
        <w:tc>
          <w:tcPr>
            <w:tcW w:w="204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25C34350" w14:textId="77777777" w:rsidR="00A547BA" w:rsidRDefault="00000000">
            <w:r>
              <w:rPr>
                <w:color w:val="1A202C"/>
                <w:sz w:val="20"/>
                <w:szCs w:val="20"/>
              </w:rPr>
              <w:t>Higher = faster sponsor placement</w:t>
            </w:r>
          </w:p>
        </w:tc>
      </w:tr>
      <w:tr w:rsidR="00A547BA" w14:paraId="53B2B03C" w14:textId="77777777">
        <w:tblPrEx>
          <w:tblCellMar>
            <w:top w:w="0" w:type="dxa"/>
            <w:bottom w:w="0" w:type="dxa"/>
          </w:tblCellMar>
        </w:tblPrEx>
        <w:tc>
          <w:tcPr>
            <w:tcW w:w="26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6A647AC4" w14:textId="77777777" w:rsidR="00A547BA" w:rsidRDefault="00000000">
            <w:r>
              <w:rPr>
                <w:b/>
                <w:bCs/>
                <w:color w:val="1B3A6B"/>
                <w:sz w:val="20"/>
                <w:szCs w:val="20"/>
              </w:rPr>
              <w:t>Pipeline Throughput Rate</w:t>
            </w:r>
          </w:p>
        </w:tc>
        <w:tc>
          <w:tcPr>
            <w:tcW w:w="26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2BC6A4AB" w14:textId="77777777" w:rsidR="00A547BA" w:rsidRDefault="00000000">
            <w:r>
              <w:rPr>
                <w:color w:val="1A202C"/>
                <w:sz w:val="20"/>
                <w:szCs w:val="20"/>
              </w:rPr>
              <w:t>Total Exits ÷ Total Entries</w:t>
            </w:r>
          </w:p>
        </w:tc>
        <w:tc>
          <w:tcPr>
            <w:tcW w:w="20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7EA80A6F" w14:textId="77777777" w:rsidR="00A547BA" w:rsidRDefault="00000000">
            <w:r>
              <w:rPr>
                <w:b/>
                <w:bCs/>
                <w:color w:val="006B5E"/>
                <w:sz w:val="20"/>
                <w:szCs w:val="20"/>
              </w:rPr>
              <w:t>≥ 1.0×</w:t>
            </w:r>
          </w:p>
        </w:tc>
        <w:tc>
          <w:tcPr>
            <w:tcW w:w="20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0FA54E1F" w14:textId="77777777" w:rsidR="00A547BA" w:rsidRDefault="00000000">
            <w:r>
              <w:rPr>
                <w:color w:val="1A202C"/>
                <w:sz w:val="20"/>
                <w:szCs w:val="20"/>
              </w:rPr>
              <w:t>≥1 = backlog clearing; &lt;1 = growing</w:t>
            </w:r>
          </w:p>
        </w:tc>
      </w:tr>
      <w:tr w:rsidR="00A547BA" w14:paraId="7B8DC01A" w14:textId="77777777">
        <w:tblPrEx>
          <w:tblCellMar>
            <w:top w:w="0" w:type="dxa"/>
            <w:bottom w:w="0" w:type="dxa"/>
          </w:tblCellMar>
        </w:tblPrEx>
        <w:tc>
          <w:tcPr>
            <w:tcW w:w="264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091FD7C0" w14:textId="77777777" w:rsidR="00A547BA" w:rsidRDefault="00000000">
            <w:r>
              <w:rPr>
                <w:b/>
                <w:bCs/>
                <w:color w:val="1B3A6B"/>
                <w:sz w:val="20"/>
                <w:szCs w:val="20"/>
              </w:rPr>
              <w:t>Backlog Accumulation Rate</w:t>
            </w:r>
          </w:p>
        </w:tc>
        <w:tc>
          <w:tcPr>
            <w:tcW w:w="264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25A48E15" w14:textId="77777777" w:rsidR="00A547BA" w:rsidRDefault="00000000">
            <w:proofErr w:type="gramStart"/>
            <w:r>
              <w:rPr>
                <w:color w:val="1A202C"/>
                <w:sz w:val="20"/>
                <w:szCs w:val="20"/>
              </w:rPr>
              <w:t>Δ(</w:t>
            </w:r>
            <w:proofErr w:type="gramEnd"/>
            <w:r>
              <w:rPr>
                <w:color w:val="1A202C"/>
                <w:sz w:val="20"/>
                <w:szCs w:val="20"/>
              </w:rPr>
              <w:t>CBP + HHS) / Days</w:t>
            </w:r>
          </w:p>
        </w:tc>
        <w:tc>
          <w:tcPr>
            <w:tcW w:w="204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34EB9159" w14:textId="77777777" w:rsidR="00A547BA" w:rsidRDefault="00000000">
            <w:r>
              <w:rPr>
                <w:b/>
                <w:bCs/>
                <w:color w:val="006B5E"/>
                <w:sz w:val="20"/>
                <w:szCs w:val="20"/>
              </w:rPr>
              <w:t>&lt; 0</w:t>
            </w:r>
          </w:p>
        </w:tc>
        <w:tc>
          <w:tcPr>
            <w:tcW w:w="204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4C33D561" w14:textId="77777777" w:rsidR="00A547BA" w:rsidRDefault="00000000">
            <w:r>
              <w:rPr>
                <w:color w:val="1A202C"/>
                <w:sz w:val="20"/>
                <w:szCs w:val="20"/>
              </w:rPr>
              <w:t>Negative = system shrinking</w:t>
            </w:r>
          </w:p>
        </w:tc>
      </w:tr>
      <w:tr w:rsidR="00A547BA" w14:paraId="3B51A1AF" w14:textId="77777777">
        <w:tblPrEx>
          <w:tblCellMar>
            <w:top w:w="0" w:type="dxa"/>
            <w:bottom w:w="0" w:type="dxa"/>
          </w:tblCellMar>
        </w:tblPrEx>
        <w:tc>
          <w:tcPr>
            <w:tcW w:w="26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080FABCC" w14:textId="77777777" w:rsidR="00A547BA" w:rsidRDefault="00000000">
            <w:r>
              <w:rPr>
                <w:b/>
                <w:bCs/>
                <w:color w:val="1B3A6B"/>
                <w:sz w:val="20"/>
                <w:szCs w:val="20"/>
              </w:rPr>
              <w:t>Outcome Stability Score</w:t>
            </w:r>
          </w:p>
        </w:tc>
        <w:tc>
          <w:tcPr>
            <w:tcW w:w="26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5C3E5872" w14:textId="77777777" w:rsidR="00A547BA" w:rsidRDefault="00000000">
            <w:r>
              <w:rPr>
                <w:color w:val="1A202C"/>
                <w:sz w:val="20"/>
                <w:szCs w:val="20"/>
              </w:rPr>
              <w:t xml:space="preserve">1 − </w:t>
            </w:r>
            <w:proofErr w:type="gramStart"/>
            <w:r>
              <w:rPr>
                <w:color w:val="1A202C"/>
                <w:sz w:val="20"/>
                <w:szCs w:val="20"/>
              </w:rPr>
              <w:t>CV(</w:t>
            </w:r>
            <w:proofErr w:type="gramEnd"/>
            <w:r>
              <w:rPr>
                <w:color w:val="1A202C"/>
                <w:sz w:val="20"/>
                <w:szCs w:val="20"/>
              </w:rPr>
              <w:t>Discharge Eff, 30d)</w:t>
            </w:r>
          </w:p>
        </w:tc>
        <w:tc>
          <w:tcPr>
            <w:tcW w:w="20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5ED3F51D" w14:textId="77777777" w:rsidR="00A547BA" w:rsidRDefault="00000000">
            <w:r>
              <w:rPr>
                <w:b/>
                <w:bCs/>
                <w:color w:val="006B5E"/>
                <w:sz w:val="20"/>
                <w:szCs w:val="20"/>
              </w:rPr>
              <w:t>≥ 0.70</w:t>
            </w:r>
          </w:p>
        </w:tc>
        <w:tc>
          <w:tcPr>
            <w:tcW w:w="204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046F425D" w14:textId="77777777" w:rsidR="00A547BA" w:rsidRDefault="00000000">
            <w:r>
              <w:rPr>
                <w:color w:val="1A202C"/>
                <w:sz w:val="20"/>
                <w:szCs w:val="20"/>
              </w:rPr>
              <w:t>Higher = more consistent placements</w:t>
            </w:r>
          </w:p>
        </w:tc>
      </w:tr>
    </w:tbl>
    <w:p w14:paraId="45B47D62" w14:textId="77777777" w:rsidR="00A547BA" w:rsidRDefault="00A547BA">
      <w:pPr>
        <w:spacing w:before="120" w:after="120"/>
      </w:pPr>
    </w:p>
    <w:p w14:paraId="383AE507" w14:textId="77777777" w:rsidR="00A547BA" w:rsidRDefault="00000000">
      <w:pPr>
        <w:spacing w:before="80" w:after="120" w:line="360" w:lineRule="auto"/>
        <w:jc w:val="both"/>
      </w:pPr>
      <w:r>
        <w:rPr>
          <w:color w:val="1A202C"/>
        </w:rPr>
        <w:t>Note: CV denotes Coefficient of Variation (standard deviation ÷ mean) computed over a 30-day rolling window. The Outcome Stability Score ranges from 0 (fully unstable) to 1 (perfectly consistent).</w:t>
      </w:r>
    </w:p>
    <w:p w14:paraId="467121DF" w14:textId="77777777" w:rsidR="00A547BA" w:rsidRDefault="00000000">
      <w:pPr>
        <w:pStyle w:val="Heading2"/>
      </w:pPr>
      <w:r>
        <w:t>3.5 Analytical Methods</w:t>
      </w:r>
    </w:p>
    <w:p w14:paraId="7D2D4A2A" w14:textId="77777777" w:rsidR="00A547BA" w:rsidRDefault="00000000">
      <w:pPr>
        <w:spacing w:before="80" w:after="120" w:line="360" w:lineRule="auto"/>
        <w:jc w:val="both"/>
      </w:pPr>
      <w:r>
        <w:rPr>
          <w:color w:val="1A202C"/>
        </w:rPr>
        <w:t>The following analytical approaches are applied:</w:t>
      </w:r>
    </w:p>
    <w:p w14:paraId="4D832B83" w14:textId="77777777" w:rsidR="00A547BA" w:rsidRDefault="00000000">
      <w:pPr>
        <w:pStyle w:val="ListParagraph"/>
        <w:numPr>
          <w:ilvl w:val="0"/>
          <w:numId w:val="2"/>
        </w:numPr>
        <w:spacing w:before="60" w:after="60"/>
      </w:pPr>
      <w:r>
        <w:rPr>
          <w:color w:val="1A202C"/>
        </w:rPr>
        <w:t>Temporal trend analysis: 7-day and 30-day rolling averages applied to all KPIs to smooth daily volatility</w:t>
      </w:r>
    </w:p>
    <w:p w14:paraId="3C291CFA" w14:textId="77777777" w:rsidR="00A547BA" w:rsidRDefault="00000000">
      <w:pPr>
        <w:pStyle w:val="ListParagraph"/>
        <w:numPr>
          <w:ilvl w:val="0"/>
          <w:numId w:val="2"/>
        </w:numPr>
        <w:spacing w:before="60" w:after="60"/>
      </w:pPr>
      <w:r>
        <w:rPr>
          <w:color w:val="1A202C"/>
        </w:rPr>
        <w:t>Phase detection: bottleneck periods identified as consecutive days where net flow &gt; 0 for ≥14 days</w:t>
      </w:r>
    </w:p>
    <w:p w14:paraId="10497B3D" w14:textId="77777777" w:rsidR="00A547BA" w:rsidRDefault="00000000">
      <w:pPr>
        <w:pStyle w:val="ListParagraph"/>
        <w:numPr>
          <w:ilvl w:val="0"/>
          <w:numId w:val="2"/>
        </w:numPr>
        <w:spacing w:before="60" w:after="60"/>
      </w:pPr>
      <w:r>
        <w:rPr>
          <w:color w:val="1A202C"/>
        </w:rPr>
        <w:t>Weekday pattern analysis: average discharge volumes disaggregated by day of week to identify scheduling effects</w:t>
      </w:r>
    </w:p>
    <w:p w14:paraId="6E099385" w14:textId="77777777" w:rsidR="00A547BA" w:rsidRDefault="00000000">
      <w:pPr>
        <w:pStyle w:val="ListParagraph"/>
        <w:numPr>
          <w:ilvl w:val="0"/>
          <w:numId w:val="2"/>
        </w:numPr>
        <w:spacing w:before="60" w:after="60"/>
      </w:pPr>
      <w:r>
        <w:rPr>
          <w:color w:val="1A202C"/>
        </w:rPr>
        <w:t>Year-over-year comparison: mean KPI values computed per year for trend assessment</w:t>
      </w:r>
    </w:p>
    <w:p w14:paraId="006D56A6" w14:textId="77777777" w:rsidR="00A547BA" w:rsidRDefault="00000000">
      <w:pPr>
        <w:pStyle w:val="ListParagraph"/>
        <w:numPr>
          <w:ilvl w:val="0"/>
          <w:numId w:val="2"/>
        </w:numPr>
        <w:spacing w:before="60" w:after="60"/>
      </w:pPr>
      <w:r>
        <w:rPr>
          <w:color w:val="1A202C"/>
        </w:rPr>
        <w:t>Distribution analysis: histogram of daily discharge volumes to characterize placement variability</w:t>
      </w:r>
    </w:p>
    <w:p w14:paraId="7DA1BF32" w14:textId="77777777" w:rsidR="00A547BA" w:rsidRDefault="00000000">
      <w:pPr>
        <w:pStyle w:val="ListParagraph"/>
        <w:numPr>
          <w:ilvl w:val="0"/>
          <w:numId w:val="2"/>
        </w:numPr>
        <w:spacing w:before="60" w:after="60"/>
      </w:pPr>
      <w:r>
        <w:rPr>
          <w:color w:val="1A202C"/>
        </w:rPr>
        <w:t>Correlation analysis: Pearson correlation matrix across all six primary variables</w:t>
      </w:r>
    </w:p>
    <w:p w14:paraId="4130D767" w14:textId="77777777" w:rsidR="00A547BA" w:rsidRDefault="00000000">
      <w:r>
        <w:br w:type="page"/>
      </w:r>
    </w:p>
    <w:p w14:paraId="09C46190" w14:textId="77777777" w:rsidR="00A547BA" w:rsidRDefault="00000000">
      <w:pPr>
        <w:pStyle w:val="Heading1"/>
        <w:pBdr>
          <w:bottom w:val="single" w:sz="8" w:space="6" w:color="006B5E"/>
        </w:pBdr>
      </w:pPr>
      <w:r>
        <w:lastRenderedPageBreak/>
        <w:t>4. Results &amp; Analysis</w:t>
      </w:r>
    </w:p>
    <w:p w14:paraId="4DDF8E4E" w14:textId="77777777" w:rsidR="00A547BA" w:rsidRDefault="00000000">
      <w:pPr>
        <w:pStyle w:val="Heading2"/>
      </w:pPr>
      <w:r>
        <w:t>4.1 Overall Pipeline Performance (2023–2025)</w:t>
      </w:r>
    </w:p>
    <w:p w14:paraId="14631AA2" w14:textId="77777777" w:rsidR="00A547BA" w:rsidRDefault="00000000">
      <w:pPr>
        <w:spacing w:before="80" w:after="120" w:line="360" w:lineRule="auto"/>
        <w:jc w:val="both"/>
      </w:pPr>
      <w:r>
        <w:rPr>
          <w:color w:val="1A202C"/>
        </w:rPr>
        <w:t>Across the full study period, the UAC pipeline processed a substantial volume of children through each stage. Total pipeline volumes are summarized below:</w:t>
      </w:r>
    </w:p>
    <w:p w14:paraId="39017997" w14:textId="77777777" w:rsidR="00A547BA" w:rsidRDefault="00A547BA">
      <w:pPr>
        <w:spacing w:before="80"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A547BA" w14:paraId="10D56D22" w14:textId="77777777">
        <w:tblPrEx>
          <w:tblCellMar>
            <w:top w:w="0" w:type="dxa"/>
            <w:bottom w:w="0" w:type="dxa"/>
          </w:tblCellMar>
        </w:tblPrEx>
        <w:tc>
          <w:tcPr>
            <w:tcW w:w="3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08A26D4D" w14:textId="77777777" w:rsidR="00A547BA" w:rsidRDefault="00000000">
            <w:pPr>
              <w:jc w:val="center"/>
            </w:pPr>
            <w:r>
              <w:rPr>
                <w:b/>
                <w:bCs/>
                <w:color w:val="FFFFFF"/>
                <w:sz w:val="20"/>
                <w:szCs w:val="20"/>
              </w:rPr>
              <w:t>Pipeline Metric</w:t>
            </w:r>
          </w:p>
        </w:tc>
        <w:tc>
          <w:tcPr>
            <w:tcW w:w="3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5A47D579" w14:textId="77777777" w:rsidR="00A547BA" w:rsidRDefault="00000000">
            <w:pPr>
              <w:jc w:val="center"/>
            </w:pPr>
            <w:r>
              <w:rPr>
                <w:b/>
                <w:bCs/>
                <w:color w:val="FFFFFF"/>
                <w:sz w:val="20"/>
                <w:szCs w:val="20"/>
              </w:rPr>
              <w:t>3-Year Total</w:t>
            </w:r>
          </w:p>
        </w:tc>
      </w:tr>
      <w:tr w:rsidR="00A547BA" w14:paraId="35F7B7CA" w14:textId="77777777">
        <w:tblPrEx>
          <w:tblCellMar>
            <w:top w:w="0" w:type="dxa"/>
            <w:bottom w:w="0" w:type="dxa"/>
          </w:tblCellMar>
        </w:tblPrEx>
        <w:tc>
          <w:tcPr>
            <w:tcW w:w="36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66C87396" w14:textId="77777777" w:rsidR="00A547BA" w:rsidRDefault="00000000">
            <w:r>
              <w:rPr>
                <w:color w:val="1A202C"/>
                <w:sz w:val="20"/>
                <w:szCs w:val="20"/>
              </w:rPr>
              <w:t>Total Children Apprehended (CBP)</w:t>
            </w:r>
          </w:p>
        </w:tc>
        <w:tc>
          <w:tcPr>
            <w:tcW w:w="36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33073136" w14:textId="77777777" w:rsidR="00A547BA" w:rsidRDefault="00000000">
            <w:r>
              <w:rPr>
                <w:b/>
                <w:bCs/>
                <w:color w:val="1B3A6B"/>
                <w:sz w:val="20"/>
                <w:szCs w:val="20"/>
              </w:rPr>
              <w:t>67,337 children</w:t>
            </w:r>
          </w:p>
        </w:tc>
      </w:tr>
      <w:tr w:rsidR="00A547BA" w14:paraId="41B679D7" w14:textId="77777777">
        <w:tblPrEx>
          <w:tblCellMar>
            <w:top w:w="0" w:type="dxa"/>
            <w:bottom w:w="0" w:type="dxa"/>
          </w:tblCellMar>
        </w:tblPrEx>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7B528BAF" w14:textId="77777777" w:rsidR="00A547BA" w:rsidRDefault="00000000">
            <w:r>
              <w:rPr>
                <w:color w:val="1A202C"/>
                <w:sz w:val="20"/>
                <w:szCs w:val="20"/>
              </w:rPr>
              <w:t>Total CBP → HHS Transfers</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28C5A778" w14:textId="77777777" w:rsidR="00A547BA" w:rsidRDefault="00000000">
            <w:r>
              <w:rPr>
                <w:b/>
                <w:bCs/>
                <w:color w:val="006B5E"/>
                <w:sz w:val="20"/>
                <w:szCs w:val="20"/>
              </w:rPr>
              <w:t>92,641 children</w:t>
            </w:r>
          </w:p>
        </w:tc>
      </w:tr>
      <w:tr w:rsidR="00A547BA" w14:paraId="2055E3ED" w14:textId="77777777">
        <w:tblPrEx>
          <w:tblCellMar>
            <w:top w:w="0" w:type="dxa"/>
            <w:bottom w:w="0" w:type="dxa"/>
          </w:tblCellMar>
        </w:tblPrEx>
        <w:tc>
          <w:tcPr>
            <w:tcW w:w="36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106CFF61" w14:textId="77777777" w:rsidR="00A547BA" w:rsidRDefault="00000000">
            <w:r>
              <w:rPr>
                <w:color w:val="1A202C"/>
                <w:sz w:val="20"/>
                <w:szCs w:val="20"/>
              </w:rPr>
              <w:t>Total HHS Discharges (Sponsor Placements)</w:t>
            </w:r>
          </w:p>
        </w:tc>
        <w:tc>
          <w:tcPr>
            <w:tcW w:w="36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408DF0A6" w14:textId="77777777" w:rsidR="00A547BA" w:rsidRDefault="00000000">
            <w:r>
              <w:rPr>
                <w:b/>
                <w:bCs/>
                <w:color w:val="006B5E"/>
                <w:sz w:val="20"/>
                <w:szCs w:val="20"/>
              </w:rPr>
              <w:t>124,853 children</w:t>
            </w:r>
          </w:p>
        </w:tc>
      </w:tr>
      <w:tr w:rsidR="00A547BA" w14:paraId="3D88B57E" w14:textId="77777777">
        <w:tblPrEx>
          <w:tblCellMar>
            <w:top w:w="0" w:type="dxa"/>
            <w:bottom w:w="0" w:type="dxa"/>
          </w:tblCellMar>
        </w:tblPrEx>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1A15C9DA" w14:textId="77777777" w:rsidR="00A547BA" w:rsidRDefault="00000000">
            <w:r>
              <w:rPr>
                <w:color w:val="1A202C"/>
                <w:sz w:val="20"/>
                <w:szCs w:val="20"/>
              </w:rPr>
              <w:t>Reporting Period</w:t>
            </w:r>
          </w:p>
        </w:tc>
        <w:tc>
          <w:tcPr>
            <w:tcW w:w="36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50ED6000" w14:textId="77777777" w:rsidR="00A547BA" w:rsidRDefault="00000000">
            <w:r>
              <w:rPr>
                <w:color w:val="4A5568"/>
                <w:sz w:val="20"/>
                <w:szCs w:val="20"/>
              </w:rPr>
              <w:t>720 days (Jan 2023 – Dec 2025)</w:t>
            </w:r>
          </w:p>
        </w:tc>
      </w:tr>
    </w:tbl>
    <w:p w14:paraId="40A78647" w14:textId="77777777" w:rsidR="00A547BA" w:rsidRDefault="00A547BA">
      <w:pPr>
        <w:spacing w:before="120" w:after="120"/>
      </w:pPr>
    </w:p>
    <w:p w14:paraId="75D73405" w14:textId="77777777" w:rsidR="00A547BA" w:rsidRDefault="00000000">
      <w:pPr>
        <w:spacing w:before="80" w:after="120" w:line="360" w:lineRule="auto"/>
        <w:jc w:val="both"/>
      </w:pPr>
      <w:r>
        <w:rPr>
          <w:color w:val="1A202C"/>
        </w:rPr>
        <w:t>The fact that total discharges (124,853) substantially exceed total transfers (92,641) reflects the drawdown of the large census inherited at the start of the study period, as well as reporting methodology differences across the period.</w:t>
      </w:r>
    </w:p>
    <w:p w14:paraId="5BF3A90A" w14:textId="77777777" w:rsidR="00A547BA" w:rsidRDefault="00000000">
      <w:pPr>
        <w:pStyle w:val="Heading2"/>
      </w:pPr>
      <w:r>
        <w:t>4.2 HHS Census Trends</w:t>
      </w:r>
    </w:p>
    <w:p w14:paraId="2DA8BCFA" w14:textId="77777777" w:rsidR="00A547BA" w:rsidRDefault="00000000">
      <w:pPr>
        <w:spacing w:before="80" w:after="120" w:line="360" w:lineRule="auto"/>
        <w:jc w:val="both"/>
      </w:pPr>
      <w:r>
        <w:rPr>
          <w:color w:val="1A202C"/>
        </w:rPr>
        <w:t>The HHS active census exhibited three distinct phases over the study period:</w:t>
      </w:r>
    </w:p>
    <w:p w14:paraId="3D667C37" w14:textId="77777777" w:rsidR="00A547BA" w:rsidRDefault="00A547BA">
      <w:pPr>
        <w:spacing w:before="80" w:after="80"/>
      </w:pPr>
    </w:p>
    <w:p w14:paraId="1FB82911" w14:textId="77777777" w:rsidR="00A547BA" w:rsidRDefault="00000000">
      <w:pPr>
        <w:pStyle w:val="ListParagraph"/>
        <w:numPr>
          <w:ilvl w:val="0"/>
          <w:numId w:val="2"/>
        </w:numPr>
        <w:spacing w:before="60" w:after="60"/>
      </w:pPr>
      <w:r>
        <w:rPr>
          <w:color w:val="1A202C"/>
        </w:rPr>
        <w:t>Phase 1 — Escalation (Jan 2023 – Dec 2023): Census grew from 6,566 to a peak of 11,516 children, driven by sustained high daily transfers averaging 190 children/day during Q3–Q4 2023. Discharge operations could not keep pace with inflows.</w:t>
      </w:r>
    </w:p>
    <w:p w14:paraId="770C37E8" w14:textId="77777777" w:rsidR="00A547BA" w:rsidRDefault="00000000">
      <w:pPr>
        <w:pStyle w:val="ListParagraph"/>
        <w:numPr>
          <w:ilvl w:val="0"/>
          <w:numId w:val="2"/>
        </w:numPr>
        <w:spacing w:before="60" w:after="60"/>
      </w:pPr>
      <w:r>
        <w:rPr>
          <w:color w:val="1A202C"/>
        </w:rPr>
        <w:t>Phase 2 — Clearance (Jan 2024 – Dec 2024): Following the December 2023 peak, census declined steadily from 10,870 to approximately 6,300 by year-end. Monthly discharge totals frequently exceeded 5,000 children, reflecting expanded capacity.</w:t>
      </w:r>
    </w:p>
    <w:p w14:paraId="2AC9AB1B" w14:textId="77777777" w:rsidR="00A547BA" w:rsidRDefault="00000000">
      <w:pPr>
        <w:pStyle w:val="ListParagraph"/>
        <w:numPr>
          <w:ilvl w:val="0"/>
          <w:numId w:val="2"/>
        </w:numPr>
        <w:spacing w:before="60" w:after="60"/>
      </w:pPr>
      <w:r>
        <w:rPr>
          <w:color w:val="1A202C"/>
        </w:rPr>
        <w:t>Phase 3 — Stabilization (Jan 2025 – Dec 2025): A dramatic reduction in intake — from 150+ apprehensions/day to 5–20/day — accompanied by continued discharges drove the census to a low of 1,972 children in August 2025, settling at approximately 2,484 by December 2025. This represents an 83% reduction from the December 2023 peak.</w:t>
      </w:r>
    </w:p>
    <w:p w14:paraId="15B5ECF9" w14:textId="77777777" w:rsidR="00A547BA" w:rsidRDefault="00A547BA">
      <w:pPr>
        <w:spacing w:before="80" w:after="80"/>
      </w:pPr>
    </w:p>
    <w:p w14:paraId="7F50CED7" w14:textId="77777777" w:rsidR="00A547BA" w:rsidRDefault="00000000">
      <w:pPr>
        <w:spacing w:before="80" w:after="120" w:line="360" w:lineRule="auto"/>
        <w:jc w:val="both"/>
      </w:pPr>
      <w:r>
        <w:rPr>
          <w:color w:val="1A202C"/>
        </w:rPr>
        <w:t>The peak census of 11,516 children (December 20, 2023) is the single most significant event in the dataset and represents a convergence of high transfer volume, inadequate discharge capacity, and limited shelter availability.</w:t>
      </w:r>
    </w:p>
    <w:p w14:paraId="5A1C0BC2" w14:textId="77777777" w:rsidR="00A547BA" w:rsidRDefault="00000000">
      <w:pPr>
        <w:pStyle w:val="Heading2"/>
      </w:pPr>
      <w:r>
        <w:t>4.3 Transfer Efficiency Analysis</w:t>
      </w:r>
    </w:p>
    <w:p w14:paraId="00FC02D9" w14:textId="77777777" w:rsidR="00A547BA" w:rsidRDefault="00000000">
      <w:pPr>
        <w:spacing w:before="80" w:after="120" w:line="360" w:lineRule="auto"/>
        <w:jc w:val="both"/>
      </w:pPr>
      <w:r>
        <w:rPr>
          <w:color w:val="1A202C"/>
        </w:rPr>
        <w:t>The Transfer Efficiency Ratio (Transfers ÷ CBP Custody) averaged 69.1% across the full study period, below the 75% target threshold. Year-over-year analysis reveals important trends:</w:t>
      </w:r>
    </w:p>
    <w:p w14:paraId="5F05EB7D" w14:textId="77777777" w:rsidR="00A547BA" w:rsidRDefault="00A547BA">
      <w:pPr>
        <w:spacing w:before="80"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A547BA" w14:paraId="327E1EC3" w14:textId="77777777">
        <w:tblPrEx>
          <w:tblCellMar>
            <w:top w:w="0" w:type="dxa"/>
            <w:bottom w:w="0" w:type="dxa"/>
          </w:tblCellMar>
        </w:tblPrEx>
        <w:tc>
          <w:tcPr>
            <w:tcW w:w="1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0127FE25" w14:textId="77777777" w:rsidR="00A547BA" w:rsidRDefault="00000000">
            <w:pPr>
              <w:jc w:val="center"/>
            </w:pPr>
            <w:r>
              <w:rPr>
                <w:b/>
                <w:bCs/>
                <w:color w:val="FFFFFF"/>
                <w:sz w:val="20"/>
                <w:szCs w:val="20"/>
              </w:rPr>
              <w:t>Year</w:t>
            </w:r>
          </w:p>
        </w:tc>
        <w:tc>
          <w:tcPr>
            <w:tcW w:w="1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764D8750" w14:textId="77777777" w:rsidR="00A547BA" w:rsidRDefault="00000000">
            <w:pPr>
              <w:jc w:val="center"/>
            </w:pPr>
            <w:proofErr w:type="spellStart"/>
            <w:r>
              <w:rPr>
                <w:b/>
                <w:bCs/>
                <w:color w:val="FFFFFF"/>
                <w:sz w:val="20"/>
                <w:szCs w:val="20"/>
              </w:rPr>
              <w:t>Avg</w:t>
            </w:r>
            <w:proofErr w:type="spellEnd"/>
            <w:r>
              <w:rPr>
                <w:b/>
                <w:bCs/>
                <w:color w:val="FFFFFF"/>
                <w:sz w:val="20"/>
                <w:szCs w:val="20"/>
              </w:rPr>
              <w:t xml:space="preserve"> Transfer Eff %</w:t>
            </w:r>
          </w:p>
        </w:tc>
        <w:tc>
          <w:tcPr>
            <w:tcW w:w="1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174CF8E9" w14:textId="77777777" w:rsidR="00A547BA" w:rsidRDefault="00000000">
            <w:pPr>
              <w:jc w:val="center"/>
            </w:pPr>
            <w:proofErr w:type="spellStart"/>
            <w:r>
              <w:rPr>
                <w:b/>
                <w:bCs/>
                <w:color w:val="FFFFFF"/>
                <w:sz w:val="20"/>
                <w:szCs w:val="20"/>
              </w:rPr>
              <w:t>Avg</w:t>
            </w:r>
            <w:proofErr w:type="spellEnd"/>
            <w:r>
              <w:rPr>
                <w:b/>
                <w:bCs/>
                <w:color w:val="FFFFFF"/>
                <w:sz w:val="20"/>
                <w:szCs w:val="20"/>
              </w:rPr>
              <w:t xml:space="preserve"> Daily Transfers</w:t>
            </w:r>
          </w:p>
        </w:tc>
        <w:tc>
          <w:tcPr>
            <w:tcW w:w="1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7EF5B06C" w14:textId="77777777" w:rsidR="00A547BA" w:rsidRDefault="00000000">
            <w:pPr>
              <w:jc w:val="center"/>
            </w:pPr>
            <w:r>
              <w:rPr>
                <w:b/>
                <w:bCs/>
                <w:color w:val="FFFFFF"/>
                <w:sz w:val="20"/>
                <w:szCs w:val="20"/>
              </w:rPr>
              <w:t>Status</w:t>
            </w:r>
          </w:p>
        </w:tc>
      </w:tr>
      <w:tr w:rsidR="00A547BA" w14:paraId="0AFEA447" w14:textId="77777777">
        <w:tblPrEx>
          <w:tblCellMar>
            <w:top w:w="0" w:type="dxa"/>
            <w:bottom w:w="0" w:type="dxa"/>
          </w:tblCellMar>
        </w:tblPrEx>
        <w:tc>
          <w:tcPr>
            <w:tcW w:w="18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2B6EFEAD" w14:textId="77777777" w:rsidR="00A547BA" w:rsidRDefault="00000000">
            <w:r>
              <w:rPr>
                <w:b/>
                <w:bCs/>
                <w:color w:val="1B3A6B"/>
                <w:sz w:val="20"/>
                <w:szCs w:val="20"/>
              </w:rPr>
              <w:t>2023</w:t>
            </w:r>
          </w:p>
        </w:tc>
        <w:tc>
          <w:tcPr>
            <w:tcW w:w="18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5C2CF289" w14:textId="77777777" w:rsidR="00A547BA" w:rsidRDefault="00000000">
            <w:r>
              <w:rPr>
                <w:b/>
                <w:bCs/>
                <w:color w:val="006B5E"/>
                <w:sz w:val="20"/>
                <w:szCs w:val="20"/>
              </w:rPr>
              <w:t>74.2%</w:t>
            </w:r>
          </w:p>
        </w:tc>
        <w:tc>
          <w:tcPr>
            <w:tcW w:w="18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43615ABF" w14:textId="77777777" w:rsidR="00A547BA" w:rsidRDefault="00000000">
            <w:r>
              <w:rPr>
                <w:color w:val="1A202C"/>
                <w:sz w:val="20"/>
                <w:szCs w:val="20"/>
              </w:rPr>
              <w:t>195/day</w:t>
            </w:r>
          </w:p>
        </w:tc>
        <w:tc>
          <w:tcPr>
            <w:tcW w:w="18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08E31739" w14:textId="77777777" w:rsidR="00A547BA" w:rsidRDefault="00000000">
            <w:r>
              <w:rPr>
                <w:color w:val="006B5E"/>
                <w:sz w:val="20"/>
                <w:szCs w:val="20"/>
              </w:rPr>
              <w:t>Near target</w:t>
            </w:r>
          </w:p>
        </w:tc>
      </w:tr>
      <w:tr w:rsidR="00A547BA" w14:paraId="6B9EF7AB" w14:textId="77777777">
        <w:tblPrEx>
          <w:tblCellMar>
            <w:top w:w="0" w:type="dxa"/>
            <w:bottom w:w="0" w:type="dxa"/>
          </w:tblCellMar>
        </w:tblPrEx>
        <w:tc>
          <w:tcPr>
            <w:tcW w:w="1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65F0DE9B" w14:textId="77777777" w:rsidR="00A547BA" w:rsidRDefault="00000000">
            <w:r>
              <w:rPr>
                <w:b/>
                <w:bCs/>
                <w:color w:val="1B3A6B"/>
                <w:sz w:val="20"/>
                <w:szCs w:val="20"/>
              </w:rPr>
              <w:t>2024</w:t>
            </w:r>
          </w:p>
        </w:tc>
        <w:tc>
          <w:tcPr>
            <w:tcW w:w="1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6498BD98" w14:textId="77777777" w:rsidR="00A547BA" w:rsidRDefault="00000000">
            <w:r>
              <w:rPr>
                <w:b/>
                <w:bCs/>
                <w:color w:val="006B5E"/>
                <w:sz w:val="20"/>
                <w:szCs w:val="20"/>
              </w:rPr>
              <w:t>71.8%</w:t>
            </w:r>
          </w:p>
        </w:tc>
        <w:tc>
          <w:tcPr>
            <w:tcW w:w="1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52AE4F87" w14:textId="77777777" w:rsidR="00A547BA" w:rsidRDefault="00000000">
            <w:r>
              <w:rPr>
                <w:color w:val="1A202C"/>
                <w:sz w:val="20"/>
                <w:szCs w:val="20"/>
              </w:rPr>
              <w:t>184/day</w:t>
            </w:r>
          </w:p>
        </w:tc>
        <w:tc>
          <w:tcPr>
            <w:tcW w:w="18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042DC9AF" w14:textId="77777777" w:rsidR="00A547BA" w:rsidRDefault="00000000">
            <w:r>
              <w:rPr>
                <w:color w:val="4A5568"/>
                <w:sz w:val="20"/>
                <w:szCs w:val="20"/>
              </w:rPr>
              <w:t>Caution</w:t>
            </w:r>
          </w:p>
        </w:tc>
      </w:tr>
      <w:tr w:rsidR="00A547BA" w14:paraId="445B813A" w14:textId="77777777">
        <w:tblPrEx>
          <w:tblCellMar>
            <w:top w:w="0" w:type="dxa"/>
            <w:bottom w:w="0" w:type="dxa"/>
          </w:tblCellMar>
        </w:tblPrEx>
        <w:tc>
          <w:tcPr>
            <w:tcW w:w="18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4C9044B2" w14:textId="77777777" w:rsidR="00A547BA" w:rsidRDefault="00000000">
            <w:r>
              <w:rPr>
                <w:b/>
                <w:bCs/>
                <w:color w:val="1B3A6B"/>
                <w:sz w:val="20"/>
                <w:szCs w:val="20"/>
              </w:rPr>
              <w:t>2025</w:t>
            </w:r>
          </w:p>
        </w:tc>
        <w:tc>
          <w:tcPr>
            <w:tcW w:w="18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55A837F4" w14:textId="77777777" w:rsidR="00A547BA" w:rsidRDefault="00000000">
            <w:r>
              <w:rPr>
                <w:b/>
                <w:bCs/>
                <w:color w:val="C8392B"/>
                <w:sz w:val="20"/>
                <w:szCs w:val="20"/>
              </w:rPr>
              <w:t>48.3%</w:t>
            </w:r>
          </w:p>
        </w:tc>
        <w:tc>
          <w:tcPr>
            <w:tcW w:w="18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31777CEF" w14:textId="77777777" w:rsidR="00A547BA" w:rsidRDefault="00000000">
            <w:r>
              <w:rPr>
                <w:color w:val="1A202C"/>
                <w:sz w:val="20"/>
                <w:szCs w:val="20"/>
              </w:rPr>
              <w:t>9/day</w:t>
            </w:r>
          </w:p>
        </w:tc>
        <w:tc>
          <w:tcPr>
            <w:tcW w:w="18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5000A8E0" w14:textId="77777777" w:rsidR="00A547BA" w:rsidRDefault="00000000">
            <w:r>
              <w:rPr>
                <w:color w:val="C8392B"/>
                <w:sz w:val="20"/>
                <w:szCs w:val="20"/>
              </w:rPr>
              <w:t>Below target*</w:t>
            </w:r>
          </w:p>
        </w:tc>
      </w:tr>
    </w:tbl>
    <w:p w14:paraId="05795E79" w14:textId="77777777" w:rsidR="00A547BA" w:rsidRDefault="00A547BA">
      <w:pPr>
        <w:spacing w:before="120" w:after="120"/>
      </w:pPr>
    </w:p>
    <w:p w14:paraId="1C29F79D" w14:textId="77777777" w:rsidR="00A547BA" w:rsidRDefault="00000000">
      <w:pPr>
        <w:spacing w:before="80" w:after="120" w:line="360" w:lineRule="auto"/>
        <w:jc w:val="both"/>
      </w:pPr>
      <w:r>
        <w:rPr>
          <w:color w:val="1A202C"/>
        </w:rPr>
        <w:t>*Note: The 2025 ratio decline is substantially attributable to low-volume effects — when daily CBP custody is 15–30 children, even 9 daily transfers produce a low ratio. The absolute throughput impact is minimal given the dramatically reduced intake.</w:t>
      </w:r>
    </w:p>
    <w:p w14:paraId="110D0998" w14:textId="77777777" w:rsidR="00A547BA" w:rsidRDefault="00000000">
      <w:pPr>
        <w:pStyle w:val="Heading2"/>
      </w:pPr>
      <w:r>
        <w:t>4.4 Discharge Effectiveness Analysis</w:t>
      </w:r>
    </w:p>
    <w:p w14:paraId="3C35D19A" w14:textId="77777777" w:rsidR="00A547BA" w:rsidRDefault="00000000">
      <w:pPr>
        <w:spacing w:before="80" w:after="120" w:line="360" w:lineRule="auto"/>
        <w:jc w:val="both"/>
      </w:pPr>
      <w:r>
        <w:rPr>
          <w:color w:val="1A202C"/>
        </w:rPr>
        <w:t>The Discharge Effectiveness Index (Discharges ÷ HHS Care) averaged 2.37% per day across the study period. During the peak crisis period (Q4 2023), this rate dropped to approximately 1.8–2.1% as the census denominator ballooned while absolute discharge counts remained constrained. The period of maximum discharge throughput was Q1 2024, when expanded operations enabled discharge rates of 3.2–4.1% per day.</w:t>
      </w:r>
    </w:p>
    <w:p w14:paraId="77B6E26D" w14:textId="77777777" w:rsidR="00A547BA" w:rsidRDefault="00000000">
      <w:pPr>
        <w:spacing w:before="80" w:after="120" w:line="360" w:lineRule="auto"/>
        <w:jc w:val="both"/>
      </w:pPr>
      <w:r>
        <w:rPr>
          <w:color w:val="1A202C"/>
        </w:rPr>
        <w:t xml:space="preserve">The Outcome Stability Score, computed as 1 − </w:t>
      </w:r>
      <w:proofErr w:type="gramStart"/>
      <w:r>
        <w:rPr>
          <w:color w:val="1A202C"/>
        </w:rPr>
        <w:t>CV(</w:t>
      </w:r>
      <w:proofErr w:type="gramEnd"/>
      <w:r>
        <w:rPr>
          <w:color w:val="1A202C"/>
        </w:rPr>
        <w:t>discharge effectiveness) over 30-day rolling windows, averaged 0.68 — just below the 0.70 target — indicating moderate consistency in placement operations. Stability was lowest during the December 2023 surge and highest during the controlled drawdown of mid-2024.</w:t>
      </w:r>
    </w:p>
    <w:p w14:paraId="3E195580" w14:textId="77777777" w:rsidR="00A547BA" w:rsidRDefault="00000000">
      <w:pPr>
        <w:pStyle w:val="Heading2"/>
      </w:pPr>
      <w:r>
        <w:t>4.5 Backlog Detection</w:t>
      </w:r>
    </w:p>
    <w:p w14:paraId="6CF1EA89" w14:textId="77777777" w:rsidR="00A547BA" w:rsidRDefault="00000000">
      <w:pPr>
        <w:spacing w:before="80" w:after="120" w:line="360" w:lineRule="auto"/>
        <w:jc w:val="both"/>
      </w:pPr>
      <w:r>
        <w:rPr>
          <w:color w:val="1A202C"/>
        </w:rPr>
        <w:t>Systematic bottleneck analysis identified three major backlog accumulation periods:</w:t>
      </w:r>
    </w:p>
    <w:p w14:paraId="17BF7E36" w14:textId="77777777" w:rsidR="00A547BA" w:rsidRDefault="00A547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A547BA" w14:paraId="29CA32F4" w14:textId="77777777">
        <w:tblPrEx>
          <w:tblCellMar>
            <w:top w:w="0" w:type="dxa"/>
            <w:bottom w:w="0" w:type="dxa"/>
          </w:tblCellMar>
        </w:tblPrEx>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28599B96" w14:textId="77777777" w:rsidR="00A547BA" w:rsidRDefault="00000000">
            <w:pPr>
              <w:jc w:val="center"/>
            </w:pPr>
            <w:r>
              <w:rPr>
                <w:b/>
                <w:bCs/>
                <w:color w:val="FFFFFF"/>
                <w:sz w:val="20"/>
                <w:szCs w:val="20"/>
              </w:rPr>
              <w:t>Period</w:t>
            </w:r>
          </w:p>
        </w:tc>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10B2854A" w14:textId="77777777" w:rsidR="00A547BA" w:rsidRDefault="00000000">
            <w:pPr>
              <w:jc w:val="center"/>
            </w:pPr>
            <w:r>
              <w:rPr>
                <w:b/>
                <w:bCs/>
                <w:color w:val="FFFFFF"/>
                <w:sz w:val="20"/>
                <w:szCs w:val="20"/>
              </w:rPr>
              <w:t>Duration</w:t>
            </w:r>
          </w:p>
        </w:tc>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2BB01969" w14:textId="77777777" w:rsidR="00A547BA" w:rsidRDefault="00000000">
            <w:pPr>
              <w:jc w:val="center"/>
            </w:pPr>
            <w:r>
              <w:rPr>
                <w:b/>
                <w:bCs/>
                <w:color w:val="FFFFFF"/>
                <w:sz w:val="20"/>
                <w:szCs w:val="20"/>
              </w:rPr>
              <w:t>Peak Backlog</w:t>
            </w:r>
          </w:p>
        </w:tc>
        <w:tc>
          <w:tcPr>
            <w:tcW w:w="21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tcPr>
          <w:p w14:paraId="1DCBAD75" w14:textId="77777777" w:rsidR="00A547BA" w:rsidRDefault="00000000">
            <w:pPr>
              <w:jc w:val="center"/>
            </w:pPr>
            <w:r>
              <w:rPr>
                <w:b/>
                <w:bCs/>
                <w:color w:val="FFFFFF"/>
                <w:sz w:val="20"/>
                <w:szCs w:val="20"/>
              </w:rPr>
              <w:t>Severity</w:t>
            </w:r>
          </w:p>
        </w:tc>
      </w:tr>
      <w:tr w:rsidR="00A547BA" w14:paraId="123C3FF5" w14:textId="77777777">
        <w:tblPrEx>
          <w:tblCellMar>
            <w:top w:w="0" w:type="dxa"/>
            <w:bottom w:w="0" w:type="dxa"/>
          </w:tblCellMar>
        </w:tblPrEx>
        <w:tc>
          <w:tcPr>
            <w:tcW w:w="24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4D117F20" w14:textId="77777777" w:rsidR="00A547BA" w:rsidRDefault="00000000">
            <w:r>
              <w:rPr>
                <w:color w:val="1A202C"/>
                <w:sz w:val="20"/>
                <w:szCs w:val="20"/>
              </w:rPr>
              <w:t>Sep – Dec 2023</w:t>
            </w:r>
          </w:p>
        </w:tc>
        <w:tc>
          <w:tcPr>
            <w:tcW w:w="24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3346C937" w14:textId="77777777" w:rsidR="00A547BA" w:rsidRDefault="00000000">
            <w:r>
              <w:rPr>
                <w:color w:val="1A202C"/>
                <w:sz w:val="20"/>
                <w:szCs w:val="20"/>
              </w:rPr>
              <w:t>~105 days</w:t>
            </w:r>
          </w:p>
        </w:tc>
        <w:tc>
          <w:tcPr>
            <w:tcW w:w="24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3DA20D9C" w14:textId="77777777" w:rsidR="00A547BA" w:rsidRDefault="00000000">
            <w:r>
              <w:rPr>
                <w:b/>
                <w:bCs/>
                <w:color w:val="C8392B"/>
                <w:sz w:val="20"/>
                <w:szCs w:val="20"/>
              </w:rPr>
              <w:t>11,700+ children</w:t>
            </w:r>
          </w:p>
        </w:tc>
        <w:tc>
          <w:tcPr>
            <w:tcW w:w="216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0CF0F038" w14:textId="77777777" w:rsidR="00A547BA" w:rsidRDefault="00000000">
            <w:r>
              <w:rPr>
                <w:b/>
                <w:bCs/>
                <w:color w:val="C8392B"/>
                <w:sz w:val="20"/>
                <w:szCs w:val="20"/>
              </w:rPr>
              <w:t>Critical</w:t>
            </w:r>
          </w:p>
        </w:tc>
      </w:tr>
      <w:tr w:rsidR="00A547BA" w14:paraId="74B33964" w14:textId="77777777">
        <w:tblPrEx>
          <w:tblCellMar>
            <w:top w:w="0" w:type="dxa"/>
            <w:bottom w:w="0" w:type="dxa"/>
          </w:tblCellMar>
        </w:tblPrEx>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2C6E428B" w14:textId="77777777" w:rsidR="00A547BA" w:rsidRDefault="00000000">
            <w:r>
              <w:rPr>
                <w:color w:val="1A202C"/>
                <w:sz w:val="20"/>
                <w:szCs w:val="20"/>
              </w:rPr>
              <w:t>Mar – Apr 2023</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1CFB8C3D" w14:textId="77777777" w:rsidR="00A547BA" w:rsidRDefault="00000000">
            <w:r>
              <w:rPr>
                <w:color w:val="1A202C"/>
                <w:sz w:val="20"/>
                <w:szCs w:val="20"/>
              </w:rPr>
              <w:t>~45 days</w:t>
            </w:r>
          </w:p>
        </w:tc>
        <w:tc>
          <w:tcPr>
            <w:tcW w:w="240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793FCD68" w14:textId="77777777" w:rsidR="00A547BA" w:rsidRDefault="00000000">
            <w:r>
              <w:rPr>
                <w:b/>
                <w:bCs/>
                <w:color w:val="4A5568"/>
                <w:sz w:val="20"/>
                <w:szCs w:val="20"/>
              </w:rPr>
              <w:t>8,400 children</w:t>
            </w:r>
          </w:p>
        </w:tc>
        <w:tc>
          <w:tcPr>
            <w:tcW w:w="2160" w:type="dxa"/>
            <w:tcBorders>
              <w:top w:val="single" w:sz="4" w:space="0" w:color="D0D9E8"/>
              <w:left w:val="single" w:sz="4" w:space="0" w:color="D0D9E8"/>
              <w:bottom w:val="single" w:sz="4" w:space="0" w:color="D0D9E8"/>
              <w:right w:val="single" w:sz="4" w:space="0" w:color="D0D9E8"/>
            </w:tcBorders>
            <w:shd w:val="clear" w:color="auto" w:fill="FFFFFF"/>
            <w:tcMar>
              <w:top w:w="80" w:type="dxa"/>
              <w:left w:w="140" w:type="dxa"/>
              <w:bottom w:w="80" w:type="dxa"/>
              <w:right w:w="140" w:type="dxa"/>
            </w:tcMar>
          </w:tcPr>
          <w:p w14:paraId="1FB81967" w14:textId="77777777" w:rsidR="00A547BA" w:rsidRDefault="00000000">
            <w:r>
              <w:rPr>
                <w:b/>
                <w:bCs/>
                <w:color w:val="4A5568"/>
                <w:sz w:val="20"/>
                <w:szCs w:val="20"/>
              </w:rPr>
              <w:t>Elevated</w:t>
            </w:r>
          </w:p>
        </w:tc>
      </w:tr>
      <w:tr w:rsidR="00A547BA" w14:paraId="558EBA8B" w14:textId="77777777">
        <w:tblPrEx>
          <w:tblCellMar>
            <w:top w:w="0" w:type="dxa"/>
            <w:bottom w:w="0" w:type="dxa"/>
          </w:tblCellMar>
        </w:tblPrEx>
        <w:tc>
          <w:tcPr>
            <w:tcW w:w="24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1AAD9B48" w14:textId="77777777" w:rsidR="00A547BA" w:rsidRDefault="00000000">
            <w:r>
              <w:rPr>
                <w:color w:val="1A202C"/>
                <w:sz w:val="20"/>
                <w:szCs w:val="20"/>
              </w:rPr>
              <w:t>Nov 2023</w:t>
            </w:r>
          </w:p>
        </w:tc>
        <w:tc>
          <w:tcPr>
            <w:tcW w:w="24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112AC6A4" w14:textId="77777777" w:rsidR="00A547BA" w:rsidRDefault="00000000">
            <w:r>
              <w:rPr>
                <w:color w:val="1A202C"/>
                <w:sz w:val="20"/>
                <w:szCs w:val="20"/>
              </w:rPr>
              <w:t>~22 days</w:t>
            </w:r>
          </w:p>
        </w:tc>
        <w:tc>
          <w:tcPr>
            <w:tcW w:w="240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31133EDF" w14:textId="77777777" w:rsidR="00A547BA" w:rsidRDefault="00000000">
            <w:r>
              <w:rPr>
                <w:b/>
                <w:bCs/>
                <w:color w:val="4A5568"/>
                <w:sz w:val="20"/>
                <w:szCs w:val="20"/>
              </w:rPr>
              <w:t>10,100 children</w:t>
            </w:r>
          </w:p>
        </w:tc>
        <w:tc>
          <w:tcPr>
            <w:tcW w:w="2160" w:type="dxa"/>
            <w:tcBorders>
              <w:top w:val="single" w:sz="4" w:space="0" w:color="D0D9E8"/>
              <w:left w:val="single" w:sz="4" w:space="0" w:color="D0D9E8"/>
              <w:bottom w:val="single" w:sz="4" w:space="0" w:color="D0D9E8"/>
              <w:right w:val="single" w:sz="4" w:space="0" w:color="D0D9E8"/>
            </w:tcBorders>
            <w:shd w:val="clear" w:color="auto" w:fill="F0F4F8"/>
            <w:tcMar>
              <w:top w:w="80" w:type="dxa"/>
              <w:left w:w="140" w:type="dxa"/>
              <w:bottom w:w="80" w:type="dxa"/>
              <w:right w:w="140" w:type="dxa"/>
            </w:tcMar>
          </w:tcPr>
          <w:p w14:paraId="4A5FBAD1" w14:textId="77777777" w:rsidR="00A547BA" w:rsidRDefault="00000000">
            <w:r>
              <w:rPr>
                <w:b/>
                <w:bCs/>
                <w:color w:val="4A5568"/>
                <w:sz w:val="20"/>
                <w:szCs w:val="20"/>
              </w:rPr>
              <w:t>Elevated</w:t>
            </w:r>
          </w:p>
        </w:tc>
      </w:tr>
    </w:tbl>
    <w:p w14:paraId="5F973F6F" w14:textId="77777777" w:rsidR="00A547BA" w:rsidRDefault="00A547BA">
      <w:pPr>
        <w:spacing w:before="120" w:after="120"/>
      </w:pPr>
    </w:p>
    <w:p w14:paraId="48697677" w14:textId="77777777" w:rsidR="00A547BA" w:rsidRDefault="00000000">
      <w:pPr>
        <w:spacing w:before="80" w:after="120" w:line="360" w:lineRule="auto"/>
        <w:jc w:val="both"/>
      </w:pPr>
      <w:r>
        <w:rPr>
          <w:color w:val="1A202C"/>
        </w:rPr>
        <w:t>The September–December 2023 bottleneck is the most severe on record, representing an 8+ week period during which transfers far exceeded discharges. During this phase, monthly net flow (transfers minus discharges) averaged +1,200 children/month — a rate that cannot be sustained without crisis-level census growth.</w:t>
      </w:r>
    </w:p>
    <w:p w14:paraId="10F297B6" w14:textId="77777777" w:rsidR="00A547BA" w:rsidRDefault="00000000">
      <w:pPr>
        <w:pStyle w:val="Heading2"/>
      </w:pPr>
      <w:r>
        <w:lastRenderedPageBreak/>
        <w:t>4.6 Weekday Performance Patterns</w:t>
      </w:r>
    </w:p>
    <w:p w14:paraId="45B2EAD9" w14:textId="77777777" w:rsidR="00A547BA" w:rsidRDefault="00000000">
      <w:pPr>
        <w:spacing w:before="80" w:after="120" w:line="360" w:lineRule="auto"/>
        <w:jc w:val="both"/>
      </w:pPr>
      <w:r>
        <w:rPr>
          <w:color w:val="1A202C"/>
        </w:rPr>
        <w:t>Analysis of discharge volumes by day of week reveals a consistent midweek peak pattern sustained across all three years. Average daily discharges are highest on Wednesday (168/day) and Tuesday (162/day), with the lowest volumes recorded on Sunday (98/day) and Saturday (104/day). This pattern reflects case management staffing schedules and court/administrative processing cycles. Optimizing placement operations toward a more uniform daily schedule could increase effective throughput by an estimated 8–12%.</w:t>
      </w:r>
    </w:p>
    <w:p w14:paraId="7BE8567A" w14:textId="77777777" w:rsidR="00A547BA" w:rsidRDefault="00000000">
      <w:r>
        <w:br w:type="page"/>
      </w:r>
    </w:p>
    <w:p w14:paraId="1B4A89BF" w14:textId="77777777" w:rsidR="00A547BA" w:rsidRDefault="00000000">
      <w:pPr>
        <w:pStyle w:val="Heading1"/>
        <w:pBdr>
          <w:bottom w:val="single" w:sz="8" w:space="6" w:color="006B5E"/>
        </w:pBdr>
      </w:pPr>
      <w:r>
        <w:lastRenderedPageBreak/>
        <w:t>5. Analytics Dashboard</w:t>
      </w:r>
    </w:p>
    <w:p w14:paraId="15932EF1" w14:textId="77777777" w:rsidR="00A547BA" w:rsidRDefault="00000000">
      <w:pPr>
        <w:pStyle w:val="Heading2"/>
      </w:pPr>
      <w:r>
        <w:t>5.1 Dashboard Architecture</w:t>
      </w:r>
    </w:p>
    <w:p w14:paraId="4A7CA320" w14:textId="77777777" w:rsidR="00A547BA" w:rsidRDefault="00000000">
      <w:pPr>
        <w:spacing w:before="80" w:after="120" w:line="360" w:lineRule="auto"/>
        <w:jc w:val="both"/>
      </w:pPr>
      <w:r>
        <w:rPr>
          <w:color w:val="1A202C"/>
        </w:rPr>
        <w:t>An interactive analytics dashboard was developed to operationalize the research findings for policy stakeholders. The dashboard is built as a self-contained HTML/JavaScript application using Chart.js for visualization and embeds the full processed dataset as a JSON object, eliminating server dependencies and enabling offline usage.</w:t>
      </w:r>
    </w:p>
    <w:p w14:paraId="2A8AD8B8" w14:textId="77777777" w:rsidR="00A547BA" w:rsidRDefault="00000000">
      <w:pPr>
        <w:spacing w:before="80" w:after="120" w:line="360" w:lineRule="auto"/>
        <w:jc w:val="both"/>
      </w:pPr>
      <w:r>
        <w:rPr>
          <w:color w:val="1A202C"/>
        </w:rPr>
        <w:t>The dashboard architecture comprises five integrated modules, accessible via a persistent top navigation bar and collapsible sidebar:</w:t>
      </w:r>
    </w:p>
    <w:p w14:paraId="2BA8D95F" w14:textId="77777777" w:rsidR="00A547BA" w:rsidRDefault="00A547BA">
      <w:pPr>
        <w:spacing w:before="80" w:after="80"/>
      </w:pPr>
    </w:p>
    <w:p w14:paraId="07A7D2C7" w14:textId="77777777" w:rsidR="00A547BA" w:rsidRDefault="00000000">
      <w:pPr>
        <w:pStyle w:val="ListParagraph"/>
        <w:numPr>
          <w:ilvl w:val="0"/>
          <w:numId w:val="2"/>
        </w:numPr>
        <w:spacing w:before="60" w:after="60"/>
      </w:pPr>
      <w:r>
        <w:rPr>
          <w:color w:val="1A202C"/>
        </w:rPr>
        <w:t>Module 1 — System Overview: KPI scorecards, care pipeline flow visualization, census time series, monthly volume charts, and key findings panel</w:t>
      </w:r>
    </w:p>
    <w:p w14:paraId="4C4DD7C9" w14:textId="77777777" w:rsidR="00A547BA" w:rsidRDefault="00000000">
      <w:pPr>
        <w:pStyle w:val="ListParagraph"/>
        <w:numPr>
          <w:ilvl w:val="0"/>
          <w:numId w:val="2"/>
        </w:numPr>
        <w:spacing w:before="60" w:after="60"/>
      </w:pPr>
      <w:r>
        <w:rPr>
          <w:color w:val="1A202C"/>
        </w:rPr>
        <w:t>Module 2 — Efficiency Analytics: KPI gauge charts for 30-day rolling metrics, transfer efficiency trend, discharge effectiveness trend, pipeline throughput bar chart, weekday performance analysis</w:t>
      </w:r>
    </w:p>
    <w:p w14:paraId="615C1C66" w14:textId="77777777" w:rsidR="00A547BA" w:rsidRDefault="00000000">
      <w:pPr>
        <w:pStyle w:val="ListParagraph"/>
        <w:numPr>
          <w:ilvl w:val="0"/>
          <w:numId w:val="2"/>
        </w:numPr>
        <w:spacing w:before="60" w:after="60"/>
      </w:pPr>
      <w:r>
        <w:rPr>
          <w:color w:val="1A202C"/>
        </w:rPr>
        <w:t>Module 3 — Backlog Detection: Stacked area chart of CBP + HHS combined backlog, monthly net flow bar chart with bottleneck interpretation, and quantitative backlog statistics</w:t>
      </w:r>
    </w:p>
    <w:p w14:paraId="25BA61DA" w14:textId="77777777" w:rsidR="00A547BA" w:rsidRDefault="00000000">
      <w:pPr>
        <w:pStyle w:val="ListParagraph"/>
        <w:numPr>
          <w:ilvl w:val="0"/>
          <w:numId w:val="2"/>
        </w:numPr>
        <w:spacing w:before="60" w:after="60"/>
      </w:pPr>
      <w:r>
        <w:rPr>
          <w:color w:val="1A202C"/>
        </w:rPr>
        <w:t>Module 4 — Outcome Trends: Monthly discharge volume with rolling average, year-over-year comparison by day-of-year, discharge distribution histogram, and top 10 discharge months table</w:t>
      </w:r>
    </w:p>
    <w:p w14:paraId="7A48B824" w14:textId="77777777" w:rsidR="00A547BA" w:rsidRDefault="00000000">
      <w:pPr>
        <w:pStyle w:val="ListParagraph"/>
        <w:numPr>
          <w:ilvl w:val="0"/>
          <w:numId w:val="2"/>
        </w:numPr>
        <w:spacing w:before="60" w:after="60"/>
      </w:pPr>
      <w:r>
        <w:rPr>
          <w:color w:val="1A202C"/>
        </w:rPr>
        <w:t>Module 5 — Monthly Report: Filterable performance table with threshold-based conditional formatting, alert log for KPI violations, and export capabilities (CSV + executive text summary)</w:t>
      </w:r>
    </w:p>
    <w:p w14:paraId="52CD3603" w14:textId="77777777" w:rsidR="00A547BA" w:rsidRDefault="00000000">
      <w:pPr>
        <w:pStyle w:val="Heading2"/>
      </w:pPr>
      <w:r>
        <w:t>5.2 Key Design Principles</w:t>
      </w:r>
    </w:p>
    <w:p w14:paraId="259DF186" w14:textId="77777777" w:rsidR="00A547BA" w:rsidRDefault="00000000">
      <w:pPr>
        <w:spacing w:before="80" w:after="120" w:line="360" w:lineRule="auto"/>
        <w:jc w:val="both"/>
      </w:pPr>
      <w:r>
        <w:rPr>
          <w:color w:val="1A202C"/>
        </w:rPr>
        <w:t>The dashboard was designed to be professional, data-dense, and immediately actionable for government stakeholders. Key design principles include: threshold-based visual alerts (green/yellow/red) for all KPIs; exportable reports for offline distribution; self-contained single-file deployment requiring no server infrastructure; and a dark-theme visual design optimized for extended analytical sessions.</w:t>
      </w:r>
    </w:p>
    <w:p w14:paraId="374772C1" w14:textId="77777777" w:rsidR="00A547BA" w:rsidRDefault="00000000">
      <w:pPr>
        <w:pStyle w:val="Heading2"/>
      </w:pPr>
      <w:r>
        <w:t>5.3 Technical Implementation</w:t>
      </w:r>
    </w:p>
    <w:p w14:paraId="4B0A1E1E" w14:textId="77777777" w:rsidR="00A547BA" w:rsidRDefault="00000000">
      <w:pPr>
        <w:spacing w:before="80" w:after="120" w:line="360" w:lineRule="auto"/>
        <w:jc w:val="both"/>
      </w:pPr>
      <w:r>
        <w:rPr>
          <w:color w:val="1A202C"/>
        </w:rPr>
        <w:t xml:space="preserve">The analytics pipeline is implemented in Python using pandas and </w:t>
      </w:r>
      <w:proofErr w:type="spellStart"/>
      <w:r>
        <w:rPr>
          <w:color w:val="1A202C"/>
        </w:rPr>
        <w:t>numpy</w:t>
      </w:r>
      <w:proofErr w:type="spellEnd"/>
      <w:r>
        <w:rPr>
          <w:color w:val="1A202C"/>
        </w:rPr>
        <w:t xml:space="preserve"> for data processing, with all computations validated against the raw CSV source. The dashboard frontend uses Chart.js 4.4.1 loaded from CDN, with custom tooltip formatting, annotation support, and responsive layout breakpoints for tablet and desktop viewing.</w:t>
      </w:r>
    </w:p>
    <w:p w14:paraId="5E325417" w14:textId="77777777" w:rsidR="00A547BA" w:rsidRDefault="00000000">
      <w:r>
        <w:br w:type="page"/>
      </w:r>
    </w:p>
    <w:p w14:paraId="4BD0E579" w14:textId="77777777" w:rsidR="00A547BA" w:rsidRDefault="00000000">
      <w:pPr>
        <w:pStyle w:val="Heading1"/>
        <w:pBdr>
          <w:bottom w:val="single" w:sz="8" w:space="6" w:color="006B5E"/>
        </w:pBdr>
      </w:pPr>
      <w:r>
        <w:lastRenderedPageBreak/>
        <w:t>6. Discussion</w:t>
      </w:r>
    </w:p>
    <w:p w14:paraId="28003B1C" w14:textId="77777777" w:rsidR="00A547BA" w:rsidRDefault="00000000">
      <w:pPr>
        <w:pStyle w:val="Heading2"/>
      </w:pPr>
      <w:r>
        <w:t>6.1 Policy Implications</w:t>
      </w:r>
    </w:p>
    <w:p w14:paraId="2BE86715" w14:textId="77777777" w:rsidR="00A547BA" w:rsidRDefault="00000000">
      <w:pPr>
        <w:spacing w:before="80" w:after="120" w:line="360" w:lineRule="auto"/>
        <w:jc w:val="both"/>
      </w:pPr>
      <w:r>
        <w:rPr>
          <w:color w:val="1A202C"/>
        </w:rPr>
        <w:t>The findings of this research carry direct policy implications for the HHS UAC Program. The identification of the September–December 2023 bottleneck as the most severe in the study period suggests that the program lacked adequate surge protocols during this period. A threshold-based alert system — triggering expanded shelter capacity procurement when HHS census exceeds 8,000 children — could have enabled earlier response, potentially preventing the census from reaching 11,516.</w:t>
      </w:r>
    </w:p>
    <w:p w14:paraId="0DC7562A" w14:textId="77777777" w:rsidR="00A547BA" w:rsidRDefault="00000000">
      <w:pPr>
        <w:spacing w:before="80" w:after="120" w:line="360" w:lineRule="auto"/>
        <w:jc w:val="both"/>
      </w:pPr>
      <w:r>
        <w:rPr>
          <w:color w:val="1A202C"/>
        </w:rPr>
        <w:t>The Transfer Efficiency findings indicate that CBP custody sometimes retains children for multiple days beyond what is operationally necessary, given transfer rates of 65–75% of the custody count. Strengthening CBP-ORR coordination agreements and streamlining transfer logistics could improve this ratio toward the 75% target.</w:t>
      </w:r>
    </w:p>
    <w:p w14:paraId="33415250" w14:textId="77777777" w:rsidR="00A547BA" w:rsidRDefault="00000000">
      <w:pPr>
        <w:pStyle w:val="Heading2"/>
      </w:pPr>
      <w:r>
        <w:t>6.2 Operational Recommendations</w:t>
      </w:r>
    </w:p>
    <w:p w14:paraId="6BFFA4B8" w14:textId="77777777" w:rsidR="00A547BA" w:rsidRDefault="00000000">
      <w:pPr>
        <w:spacing w:before="80" w:after="120" w:line="360" w:lineRule="auto"/>
        <w:jc w:val="both"/>
      </w:pPr>
      <w:r>
        <w:rPr>
          <w:color w:val="1A202C"/>
        </w:rPr>
        <w:t>Based on the analytical findings, the following operational recommendations are proposed:</w:t>
      </w:r>
    </w:p>
    <w:p w14:paraId="495F28FE" w14:textId="77777777" w:rsidR="00A547BA" w:rsidRDefault="00A547BA">
      <w:pPr>
        <w:spacing w:before="80" w:after="80"/>
      </w:pPr>
    </w:p>
    <w:p w14:paraId="62B485BE" w14:textId="77777777" w:rsidR="00A547BA" w:rsidRDefault="00000000">
      <w:pPr>
        <w:pStyle w:val="ListParagraph"/>
        <w:numPr>
          <w:ilvl w:val="0"/>
          <w:numId w:val="2"/>
        </w:numPr>
        <w:spacing w:before="60" w:after="60"/>
      </w:pPr>
      <w:r>
        <w:rPr>
          <w:color w:val="1A202C"/>
        </w:rPr>
        <w:t>Implement HHS Census threshold alerts: Normal (&lt;4,000), Elevated (4,000–8,000), Surge (&gt;8,000) with corresponding capacity response protocols</w:t>
      </w:r>
    </w:p>
    <w:p w14:paraId="427BB253" w14:textId="77777777" w:rsidR="00A547BA" w:rsidRDefault="00000000">
      <w:pPr>
        <w:pStyle w:val="ListParagraph"/>
        <w:numPr>
          <w:ilvl w:val="0"/>
          <w:numId w:val="2"/>
        </w:numPr>
        <w:spacing w:before="60" w:after="60"/>
      </w:pPr>
      <w:r>
        <w:rPr>
          <w:color w:val="1A202C"/>
        </w:rPr>
        <w:t>Establish Transfer Efficiency monitoring: Investigate CBP coordination protocols when Transfer Efficiency falls below 60% for more than 5 consecutive days</w:t>
      </w:r>
    </w:p>
    <w:p w14:paraId="1E74EE00" w14:textId="77777777" w:rsidR="00A547BA" w:rsidRDefault="00000000">
      <w:pPr>
        <w:pStyle w:val="ListParagraph"/>
        <w:numPr>
          <w:ilvl w:val="0"/>
          <w:numId w:val="2"/>
        </w:numPr>
        <w:spacing w:before="60" w:after="60"/>
      </w:pPr>
      <w:r>
        <w:rPr>
          <w:color w:val="1A202C"/>
        </w:rPr>
        <w:t>Address weekday discharge gap: Explore expanded weekend case management staffing to reduce the Saturday–Sunday discharge gap of approximately 40% below midweek levels</w:t>
      </w:r>
    </w:p>
    <w:p w14:paraId="06DB334C" w14:textId="77777777" w:rsidR="00A547BA" w:rsidRDefault="00000000">
      <w:pPr>
        <w:pStyle w:val="ListParagraph"/>
        <w:numPr>
          <w:ilvl w:val="0"/>
          <w:numId w:val="2"/>
        </w:numPr>
        <w:spacing w:before="60" w:after="60"/>
      </w:pPr>
      <w:r>
        <w:rPr>
          <w:color w:val="1A202C"/>
        </w:rPr>
        <w:t>Implement net flow monitoring: Trigger discharge capacity escalation when cumulative net flow exceeds +400 children over any 4-week rolling period</w:t>
      </w:r>
    </w:p>
    <w:p w14:paraId="224B8E0D" w14:textId="77777777" w:rsidR="00A547BA" w:rsidRDefault="00000000">
      <w:pPr>
        <w:pStyle w:val="ListParagraph"/>
        <w:numPr>
          <w:ilvl w:val="0"/>
          <w:numId w:val="2"/>
        </w:numPr>
        <w:spacing w:before="60" w:after="60"/>
      </w:pPr>
      <w:r>
        <w:rPr>
          <w:color w:val="1A202C"/>
        </w:rPr>
        <w:t xml:space="preserve">Develop predictive intake </w:t>
      </w:r>
      <w:proofErr w:type="spellStart"/>
      <w:r>
        <w:rPr>
          <w:color w:val="1A202C"/>
        </w:rPr>
        <w:t>modeling</w:t>
      </w:r>
      <w:proofErr w:type="spellEnd"/>
      <w:r>
        <w:rPr>
          <w:color w:val="1A202C"/>
        </w:rPr>
        <w:t>: Use seasonal patterns identified in this research to forecast census 30–60 days ahead, enabling proactive shelter capacity management</w:t>
      </w:r>
    </w:p>
    <w:p w14:paraId="47955F57" w14:textId="77777777" w:rsidR="00A547BA" w:rsidRDefault="00000000">
      <w:pPr>
        <w:pStyle w:val="Heading2"/>
      </w:pPr>
      <w:r>
        <w:t>6.3 Limitations</w:t>
      </w:r>
    </w:p>
    <w:p w14:paraId="4877658C" w14:textId="77777777" w:rsidR="00A547BA" w:rsidRDefault="00000000">
      <w:pPr>
        <w:spacing w:before="80" w:after="120" w:line="360" w:lineRule="auto"/>
        <w:jc w:val="both"/>
      </w:pPr>
      <w:r>
        <w:rPr>
          <w:color w:val="1A202C"/>
        </w:rPr>
        <w:t>This research is subject to several limitations that should be considered when interpreting the findings:</w:t>
      </w:r>
    </w:p>
    <w:p w14:paraId="277F76A4" w14:textId="77777777" w:rsidR="00A547BA" w:rsidRDefault="00A547BA">
      <w:pPr>
        <w:spacing w:before="80" w:after="80"/>
      </w:pPr>
    </w:p>
    <w:p w14:paraId="5FF72FB1" w14:textId="77777777" w:rsidR="00A547BA" w:rsidRDefault="00000000">
      <w:pPr>
        <w:pStyle w:val="ListParagraph"/>
        <w:numPr>
          <w:ilvl w:val="0"/>
          <w:numId w:val="2"/>
        </w:numPr>
        <w:spacing w:before="60" w:after="60"/>
      </w:pPr>
      <w:r>
        <w:rPr>
          <w:color w:val="1A202C"/>
        </w:rPr>
        <w:t>Data frequency: The dataset contains reporting-day records rather than true daily counts, with some periods having 3–</w:t>
      </w:r>
      <w:proofErr w:type="gramStart"/>
      <w:r>
        <w:rPr>
          <w:color w:val="1A202C"/>
        </w:rPr>
        <w:t>5 day</w:t>
      </w:r>
      <w:proofErr w:type="gramEnd"/>
      <w:r>
        <w:rPr>
          <w:color w:val="1A202C"/>
        </w:rPr>
        <w:t xml:space="preserve"> gaps due to weekends and holidays. This introduces minor noise in rolling average computations.</w:t>
      </w:r>
    </w:p>
    <w:p w14:paraId="28ED8965" w14:textId="77777777" w:rsidR="00A547BA" w:rsidRDefault="00000000">
      <w:pPr>
        <w:pStyle w:val="ListParagraph"/>
        <w:numPr>
          <w:ilvl w:val="0"/>
          <w:numId w:val="2"/>
        </w:numPr>
        <w:spacing w:before="60" w:after="60"/>
      </w:pPr>
      <w:r>
        <w:rPr>
          <w:color w:val="1A202C"/>
        </w:rPr>
        <w:t>Counterfactual analysis: Without a control group or counterfactual policy scenario, causal claims about the drivers of efficiency changes (policy vs. operational vs. demographic) cannot be established.</w:t>
      </w:r>
    </w:p>
    <w:p w14:paraId="3BBCB757" w14:textId="77777777" w:rsidR="00A547BA" w:rsidRDefault="00000000">
      <w:pPr>
        <w:pStyle w:val="ListParagraph"/>
        <w:numPr>
          <w:ilvl w:val="0"/>
          <w:numId w:val="2"/>
        </w:numPr>
        <w:spacing w:before="60" w:after="60"/>
      </w:pPr>
      <w:r>
        <w:rPr>
          <w:color w:val="1A202C"/>
        </w:rPr>
        <w:t>Data granularity: The dataset contains national-level aggregates only. Geographic or shelter-level variation in efficiency — which may be substantial — cannot be assessed.</w:t>
      </w:r>
    </w:p>
    <w:p w14:paraId="51D261AA" w14:textId="77777777" w:rsidR="00A547BA" w:rsidRDefault="00000000">
      <w:pPr>
        <w:pStyle w:val="ListParagraph"/>
        <w:numPr>
          <w:ilvl w:val="0"/>
          <w:numId w:val="2"/>
        </w:numPr>
        <w:spacing w:before="60" w:after="60"/>
      </w:pPr>
      <w:r>
        <w:rPr>
          <w:color w:val="1A202C"/>
        </w:rPr>
        <w:t>Sponsor outcome tracking: Discharge counts reflect transfer to sponsor, but post-placement outcomes (sponsor compliance, child safety) are not tracked in this dataset.</w:t>
      </w:r>
    </w:p>
    <w:p w14:paraId="0EF9A787" w14:textId="77777777" w:rsidR="00A547BA" w:rsidRDefault="00000000">
      <w:r>
        <w:br w:type="page"/>
      </w:r>
    </w:p>
    <w:p w14:paraId="1A9CA7AF" w14:textId="77777777" w:rsidR="00A547BA" w:rsidRDefault="00000000">
      <w:pPr>
        <w:pStyle w:val="Heading1"/>
        <w:pBdr>
          <w:bottom w:val="single" w:sz="8" w:space="6" w:color="006B5E"/>
        </w:pBdr>
      </w:pPr>
      <w:r>
        <w:lastRenderedPageBreak/>
        <w:t>7. Conclusion</w:t>
      </w:r>
    </w:p>
    <w:p w14:paraId="06D99C8D" w14:textId="77777777" w:rsidR="00A547BA" w:rsidRDefault="00000000">
      <w:pPr>
        <w:spacing w:before="80" w:after="120" w:line="360" w:lineRule="auto"/>
        <w:jc w:val="both"/>
      </w:pPr>
      <w:r>
        <w:rPr>
          <w:color w:val="1A202C"/>
        </w:rPr>
        <w:t xml:space="preserve">This research demonstrates that the HHS UAC Program dataset, when </w:t>
      </w:r>
      <w:proofErr w:type="spellStart"/>
      <w:r>
        <w:rPr>
          <w:color w:val="1A202C"/>
        </w:rPr>
        <w:t>analyzed</w:t>
      </w:r>
      <w:proofErr w:type="spellEnd"/>
      <w:r>
        <w:rPr>
          <w:color w:val="1A202C"/>
        </w:rPr>
        <w:t xml:space="preserve"> through a care pipeline efficiency lens, yields rich and actionable insights beyond what aggregate census counts provide. The application of process efficiency metrics — Transfer Efficiency Ratio, Discharge Effectiveness Index, Pipeline Throughput Rate, Backlog Accumulation Rate, and Outcome Stability Score — to three years of daily program data reveals a complex story of crisis, response, and stabilization.</w:t>
      </w:r>
    </w:p>
    <w:p w14:paraId="655774A2" w14:textId="77777777" w:rsidR="00A547BA" w:rsidRDefault="00000000">
      <w:pPr>
        <w:spacing w:before="80" w:after="120" w:line="360" w:lineRule="auto"/>
        <w:jc w:val="both"/>
      </w:pPr>
      <w:r>
        <w:rPr>
          <w:color w:val="1A202C"/>
        </w:rPr>
        <w:t>The December 2023 census peak of 11,516 children represents the most significant operational challenge of the study period, driven by sustained transfer volumes that outpaced discharge capacity for over two months. The subsequent 83% reduction in census by December 2025 demonstrates the program's capacity to mount an effective response, though this reduction was substantially aided by a policy-driven reduction in intake that began in early 2025.</w:t>
      </w:r>
    </w:p>
    <w:p w14:paraId="67225985" w14:textId="77777777" w:rsidR="00A547BA" w:rsidRDefault="00000000">
      <w:pPr>
        <w:spacing w:before="80" w:after="120" w:line="360" w:lineRule="auto"/>
        <w:jc w:val="both"/>
      </w:pPr>
      <w:r>
        <w:rPr>
          <w:color w:val="1A202C"/>
        </w:rPr>
        <w:t>The analytics dashboard developed as part of this research provides a reusable tool for ongoing monitoring of pipeline efficiency, enabling policy makers and program administrators to identify emerging bottlenecks in near real-time. The threshold-based alert framework translates analytical findings into operational protocols that can be directly embedded in program management workflows.</w:t>
      </w:r>
    </w:p>
    <w:p w14:paraId="2BD12806" w14:textId="77777777" w:rsidR="00A547BA" w:rsidRDefault="00000000">
      <w:pPr>
        <w:spacing w:before="80" w:after="120" w:line="360" w:lineRule="auto"/>
        <w:jc w:val="both"/>
      </w:pPr>
      <w:r>
        <w:rPr>
          <w:color w:val="1A202C"/>
        </w:rPr>
        <w:t xml:space="preserve">Future research should extend this framework to facility-level data, incorporate predictive </w:t>
      </w:r>
      <w:proofErr w:type="spellStart"/>
      <w:r>
        <w:rPr>
          <w:color w:val="1A202C"/>
        </w:rPr>
        <w:t>modeling</w:t>
      </w:r>
      <w:proofErr w:type="spellEnd"/>
      <w:r>
        <w:rPr>
          <w:color w:val="1A202C"/>
        </w:rPr>
        <w:t xml:space="preserve"> for census forecasting, and link discharge outcomes to longer-term child safety and family reunification metrics. The methodological contributions of this research — the care pipeline model and the five derived KPIs — are generalizable to other child welfare contexts beyond the UAC program.</w:t>
      </w:r>
    </w:p>
    <w:p w14:paraId="11F92674" w14:textId="77777777" w:rsidR="00A547BA" w:rsidRDefault="00000000">
      <w:r>
        <w:br w:type="page"/>
      </w:r>
    </w:p>
    <w:p w14:paraId="1E44F36E" w14:textId="77777777" w:rsidR="00A547BA" w:rsidRDefault="00000000">
      <w:pPr>
        <w:pStyle w:val="Heading1"/>
        <w:pBdr>
          <w:bottom w:val="single" w:sz="8" w:space="6" w:color="006B5E"/>
        </w:pBdr>
      </w:pPr>
      <w:r>
        <w:lastRenderedPageBreak/>
        <w:t>8. References</w:t>
      </w:r>
    </w:p>
    <w:p w14:paraId="563B7AC8" w14:textId="77777777" w:rsidR="00A547BA" w:rsidRDefault="00A547BA">
      <w:pPr>
        <w:spacing w:before="80" w:after="80"/>
      </w:pPr>
    </w:p>
    <w:p w14:paraId="42E230DC" w14:textId="77777777" w:rsidR="00A547BA" w:rsidRDefault="00000000">
      <w:pPr>
        <w:spacing w:before="80" w:after="120" w:line="360" w:lineRule="auto"/>
        <w:jc w:val="both"/>
      </w:pPr>
      <w:r>
        <w:rPr>
          <w:color w:val="1A202C"/>
        </w:rPr>
        <w:t>Byrne, O., &amp; Miller, E. (2012). The flow of unaccompanied children through the immigration system: A resource for practitioners, policy makers, and researchers. Vera Institute of Justice.</w:t>
      </w:r>
    </w:p>
    <w:p w14:paraId="7A793877" w14:textId="77777777" w:rsidR="00A547BA" w:rsidRDefault="00A547BA">
      <w:pPr>
        <w:spacing w:before="60" w:after="60"/>
      </w:pPr>
    </w:p>
    <w:p w14:paraId="1778378D" w14:textId="77777777" w:rsidR="00A547BA" w:rsidRDefault="00000000">
      <w:pPr>
        <w:spacing w:before="80" w:after="120" w:line="360" w:lineRule="auto"/>
        <w:jc w:val="both"/>
      </w:pPr>
      <w:r>
        <w:rPr>
          <w:color w:val="1A202C"/>
        </w:rPr>
        <w:t>Government Performance and Results Act of 1993, Pub. L. No. 103-62, 107 Stat. 285 (1993).</w:t>
      </w:r>
    </w:p>
    <w:p w14:paraId="79F7DBAF" w14:textId="77777777" w:rsidR="00A547BA" w:rsidRDefault="00A547BA">
      <w:pPr>
        <w:spacing w:before="60" w:after="60"/>
      </w:pPr>
    </w:p>
    <w:p w14:paraId="34B3C302" w14:textId="77777777" w:rsidR="00A547BA" w:rsidRDefault="00000000">
      <w:pPr>
        <w:spacing w:before="80" w:after="120" w:line="360" w:lineRule="auto"/>
        <w:jc w:val="both"/>
      </w:pPr>
      <w:r>
        <w:rPr>
          <w:color w:val="1A202C"/>
        </w:rPr>
        <w:t>HHS Office of Refugee Resettlement. (2023–2025). UAC Program daily reporting data. U.S. Department of Health and Human Services. Retrieved from HHS ORR public reporting portal.</w:t>
      </w:r>
    </w:p>
    <w:p w14:paraId="6F4CF612" w14:textId="77777777" w:rsidR="00A547BA" w:rsidRDefault="00A547BA">
      <w:pPr>
        <w:spacing w:before="60" w:after="60"/>
      </w:pPr>
    </w:p>
    <w:p w14:paraId="76890247" w14:textId="77777777" w:rsidR="00A547BA" w:rsidRDefault="00000000">
      <w:pPr>
        <w:spacing w:before="80" w:after="120" w:line="360" w:lineRule="auto"/>
        <w:jc w:val="both"/>
      </w:pPr>
      <w:r>
        <w:rPr>
          <w:color w:val="1A202C"/>
        </w:rPr>
        <w:t xml:space="preserve">Little, J. D. C. (1961). A proof for the queuing formula: L = </w:t>
      </w:r>
      <w:proofErr w:type="spellStart"/>
      <w:r>
        <w:rPr>
          <w:color w:val="1A202C"/>
        </w:rPr>
        <w:t>λW</w:t>
      </w:r>
      <w:proofErr w:type="spellEnd"/>
      <w:r>
        <w:rPr>
          <w:color w:val="1A202C"/>
        </w:rPr>
        <w:t>. Operations Research, 9(3), 383–387.</w:t>
      </w:r>
    </w:p>
    <w:p w14:paraId="012953CF" w14:textId="77777777" w:rsidR="00A547BA" w:rsidRDefault="00A547BA">
      <w:pPr>
        <w:spacing w:before="60" w:after="60"/>
      </w:pPr>
    </w:p>
    <w:p w14:paraId="2980E2F9" w14:textId="77777777" w:rsidR="00A547BA" w:rsidRDefault="00000000">
      <w:pPr>
        <w:spacing w:before="80" w:after="120" w:line="360" w:lineRule="auto"/>
        <w:jc w:val="both"/>
      </w:pPr>
      <w:r>
        <w:rPr>
          <w:color w:val="1A202C"/>
        </w:rPr>
        <w:t>Office of Management and Budget. (2004). Program assessment rating tool guidance. Executive Office of the President.</w:t>
      </w:r>
    </w:p>
    <w:p w14:paraId="50903BD4" w14:textId="77777777" w:rsidR="00A547BA" w:rsidRDefault="00A547BA">
      <w:pPr>
        <w:spacing w:before="60" w:after="60"/>
      </w:pPr>
    </w:p>
    <w:p w14:paraId="48542365" w14:textId="77777777" w:rsidR="00A547BA" w:rsidRDefault="00000000">
      <w:pPr>
        <w:spacing w:before="80" w:after="120" w:line="360" w:lineRule="auto"/>
        <w:jc w:val="both"/>
      </w:pPr>
      <w:r>
        <w:rPr>
          <w:color w:val="1A202C"/>
        </w:rPr>
        <w:t>Ryo, E. (2018). Fostering compliance and cooperation with immigration law. Indiana Law Journal, 94(1), 155–204.</w:t>
      </w:r>
    </w:p>
    <w:p w14:paraId="5EDEC716" w14:textId="77777777" w:rsidR="00A547BA" w:rsidRDefault="00A547BA">
      <w:pPr>
        <w:spacing w:before="60" w:after="60"/>
      </w:pPr>
    </w:p>
    <w:p w14:paraId="23887853" w14:textId="77777777" w:rsidR="00A547BA" w:rsidRDefault="00000000">
      <w:pPr>
        <w:spacing w:before="80" w:after="120" w:line="360" w:lineRule="auto"/>
        <w:jc w:val="both"/>
      </w:pPr>
      <w:r>
        <w:rPr>
          <w:color w:val="1A202C"/>
        </w:rPr>
        <w:t>U.S. Department of Health and Human Services. (2024). Unaccompanied children program fact sheet. Office of Refugee Resettlement.</w:t>
      </w:r>
    </w:p>
    <w:p w14:paraId="457CE01E" w14:textId="77777777" w:rsidR="00A547BA" w:rsidRDefault="00A547BA">
      <w:pPr>
        <w:spacing w:before="60" w:after="60"/>
      </w:pPr>
    </w:p>
    <w:p w14:paraId="62AEC22D" w14:textId="77777777" w:rsidR="00A547BA" w:rsidRDefault="00000000">
      <w:pPr>
        <w:spacing w:before="80" w:after="120" w:line="360" w:lineRule="auto"/>
        <w:jc w:val="both"/>
      </w:pPr>
      <w:proofErr w:type="spellStart"/>
      <w:r>
        <w:rPr>
          <w:color w:val="1A202C"/>
        </w:rPr>
        <w:t>Wulczyn</w:t>
      </w:r>
      <w:proofErr w:type="spellEnd"/>
      <w:r>
        <w:rPr>
          <w:color w:val="1A202C"/>
        </w:rPr>
        <w:t>, F., Barth, R. P., Yuan, Y. T., Jones Harden, B., &amp; Landsverk, J. (2010). Beyond common sense: Child welfare, child well-being, and the evidence for policy reform. Transaction Publishers.</w:t>
      </w:r>
    </w:p>
    <w:p w14:paraId="655C2C09" w14:textId="77777777" w:rsidR="00A547BA" w:rsidRDefault="00A547BA">
      <w:pPr>
        <w:spacing w:before="200" w:after="200"/>
      </w:pPr>
    </w:p>
    <w:p w14:paraId="1C12407F" w14:textId="77777777" w:rsidR="00A547BA" w:rsidRDefault="00A547BA">
      <w:pPr>
        <w:pBdr>
          <w:bottom w:val="single" w:sz="4" w:space="1" w:color="1B3A6B"/>
        </w:pBdr>
        <w:spacing w:before="120" w:after="120"/>
      </w:pPr>
    </w:p>
    <w:p w14:paraId="0340F8D8" w14:textId="77777777" w:rsidR="00A547BA" w:rsidRDefault="00A547B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7BA" w14:paraId="6F644D3D" w14:textId="77777777">
        <w:tblPrEx>
          <w:tblCellMar>
            <w:top w:w="0" w:type="dxa"/>
            <w:bottom w:w="0" w:type="dxa"/>
          </w:tblCellMar>
        </w:tblPrEx>
        <w:tc>
          <w:tcPr>
            <w:tcW w:w="9360" w:type="dxa"/>
            <w:tcBorders>
              <w:top w:val="nil"/>
              <w:left w:val="nil"/>
              <w:bottom w:val="nil"/>
              <w:right w:val="nil"/>
            </w:tcBorders>
            <w:shd w:val="clear" w:color="auto" w:fill="F0F4F8"/>
            <w:tcMar>
              <w:top w:w="140" w:type="dxa"/>
              <w:left w:w="180" w:type="dxa"/>
              <w:bottom w:w="140" w:type="dxa"/>
              <w:right w:w="180" w:type="dxa"/>
            </w:tcMar>
          </w:tcPr>
          <w:p w14:paraId="6E972C7D" w14:textId="77777777" w:rsidR="00A547BA" w:rsidRDefault="00000000">
            <w:pPr>
              <w:jc w:val="center"/>
            </w:pPr>
            <w:r>
              <w:rPr>
                <w:color w:val="4A5568"/>
                <w:sz w:val="19"/>
                <w:szCs w:val="19"/>
              </w:rPr>
              <w:t>This research paper was submitted as part of the Unified Mentor Data Analytics Internship Program.</w:t>
            </w:r>
          </w:p>
          <w:p w14:paraId="3892B631" w14:textId="77777777" w:rsidR="00A547BA" w:rsidRDefault="00000000">
            <w:pPr>
              <w:spacing w:before="60"/>
              <w:jc w:val="center"/>
            </w:pPr>
            <w:r>
              <w:rPr>
                <w:i/>
                <w:iCs/>
                <w:color w:val="4A5568"/>
                <w:sz w:val="18"/>
                <w:szCs w:val="18"/>
              </w:rPr>
              <w:t>Dataset: HHS UAC Program (Jan 2023 – Dec 2025</w:t>
            </w:r>
            <w:proofErr w:type="gramStart"/>
            <w:r>
              <w:rPr>
                <w:i/>
                <w:iCs/>
                <w:color w:val="4A5568"/>
                <w:sz w:val="18"/>
                <w:szCs w:val="18"/>
              </w:rPr>
              <w:t>)  ·</w:t>
            </w:r>
            <w:proofErr w:type="gramEnd"/>
            <w:r>
              <w:rPr>
                <w:i/>
                <w:iCs/>
                <w:color w:val="4A5568"/>
                <w:sz w:val="18"/>
                <w:szCs w:val="18"/>
              </w:rPr>
              <w:t xml:space="preserve">  Records: 720 reporting </w:t>
            </w:r>
            <w:proofErr w:type="gramStart"/>
            <w:r>
              <w:rPr>
                <w:i/>
                <w:iCs/>
                <w:color w:val="4A5568"/>
                <w:sz w:val="18"/>
                <w:szCs w:val="18"/>
              </w:rPr>
              <w:t>days  ·</w:t>
            </w:r>
            <w:proofErr w:type="gramEnd"/>
            <w:r>
              <w:rPr>
                <w:i/>
                <w:iCs/>
                <w:color w:val="4A5568"/>
                <w:sz w:val="18"/>
                <w:szCs w:val="18"/>
              </w:rPr>
              <w:t xml:space="preserve">  Analysis: Python, pandas, </w:t>
            </w:r>
            <w:proofErr w:type="spellStart"/>
            <w:r>
              <w:rPr>
                <w:i/>
                <w:iCs/>
                <w:color w:val="4A5568"/>
                <w:sz w:val="18"/>
                <w:szCs w:val="18"/>
              </w:rPr>
              <w:t>numpy</w:t>
            </w:r>
            <w:proofErr w:type="spellEnd"/>
            <w:r>
              <w:rPr>
                <w:i/>
                <w:iCs/>
                <w:color w:val="4A5568"/>
                <w:sz w:val="18"/>
                <w:szCs w:val="18"/>
              </w:rPr>
              <w:t xml:space="preserve">, Plotly, </w:t>
            </w:r>
            <w:proofErr w:type="spellStart"/>
            <w:r>
              <w:rPr>
                <w:i/>
                <w:iCs/>
                <w:color w:val="4A5568"/>
                <w:sz w:val="18"/>
                <w:szCs w:val="18"/>
              </w:rPr>
              <w:t>Streamlit</w:t>
            </w:r>
            <w:proofErr w:type="spellEnd"/>
          </w:p>
        </w:tc>
      </w:tr>
    </w:tbl>
    <w:p w14:paraId="75F41C63" w14:textId="77777777" w:rsidR="00A50C63" w:rsidRDefault="00A50C63"/>
    <w:sectPr w:rsidR="00A50C6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C3E3E" w14:textId="77777777" w:rsidR="00A50C63" w:rsidRDefault="00A50C63">
      <w:r>
        <w:separator/>
      </w:r>
    </w:p>
  </w:endnote>
  <w:endnote w:type="continuationSeparator" w:id="0">
    <w:p w14:paraId="0D659B50" w14:textId="77777777" w:rsidR="00A50C63" w:rsidRDefault="00A50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3CEE" w14:textId="77777777" w:rsidR="00A547BA" w:rsidRDefault="00000000">
    <w:pPr>
      <w:pBdr>
        <w:top w:val="single" w:sz="4" w:space="4" w:color="D0D9E8"/>
      </w:pBdr>
      <w:tabs>
        <w:tab w:val="center" w:pos="4680"/>
        <w:tab w:val="right" w:pos="9360"/>
      </w:tabs>
    </w:pPr>
    <w:r>
      <w:rPr>
        <w:color w:val="4A5568"/>
        <w:sz w:val="16"/>
        <w:szCs w:val="16"/>
      </w:rPr>
      <w:t>Unified Mentor Internship — Data Analytics Project</w:t>
    </w:r>
    <w:r>
      <w:rPr>
        <w:sz w:val="16"/>
        <w:szCs w:val="16"/>
      </w:rPr>
      <w:tab/>
    </w:r>
    <w:r>
      <w:rPr>
        <w:color w:val="4A5568"/>
        <w:sz w:val="16"/>
        <w:szCs w:val="16"/>
      </w:rPr>
      <w:t xml:space="preserve">Page </w:t>
    </w:r>
    <w:r>
      <w:rPr>
        <w:color w:val="1B3A6B"/>
        <w:sz w:val="16"/>
        <w:szCs w:val="16"/>
      </w:rPr>
      <w:fldChar w:fldCharType="begin"/>
    </w:r>
    <w:r>
      <w:rPr>
        <w:color w:val="1B3A6B"/>
        <w:sz w:val="16"/>
        <w:szCs w:val="16"/>
      </w:rPr>
      <w:instrText>PAGE</w:instrText>
    </w:r>
    <w:r>
      <w:rPr>
        <w:color w:val="1B3A6B"/>
        <w:sz w:val="16"/>
        <w:szCs w:val="16"/>
      </w:rPr>
      <w:fldChar w:fldCharType="separate"/>
    </w:r>
    <w:r w:rsidR="002242F6">
      <w:rPr>
        <w:noProof/>
        <w:color w:val="1B3A6B"/>
        <w:sz w:val="16"/>
        <w:szCs w:val="16"/>
      </w:rPr>
      <w:t>1</w:t>
    </w:r>
    <w:r>
      <w:rPr>
        <w:color w:val="1B3A6B"/>
        <w:sz w:val="16"/>
        <w:szCs w:val="16"/>
      </w:rPr>
      <w:fldChar w:fldCharType="end"/>
    </w:r>
    <w:r>
      <w:rPr>
        <w:sz w:val="16"/>
        <w:szCs w:val="16"/>
      </w:rPr>
      <w:tab/>
    </w:r>
    <w:r>
      <w:rPr>
        <w:color w:val="4A5568"/>
        <w:sz w:val="16"/>
        <w:szCs w:val="16"/>
      </w:rPr>
      <w:t>© 2025 — Vaibhav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47EFF" w14:textId="77777777" w:rsidR="00A50C63" w:rsidRDefault="00A50C63">
      <w:r>
        <w:separator/>
      </w:r>
    </w:p>
  </w:footnote>
  <w:footnote w:type="continuationSeparator" w:id="0">
    <w:p w14:paraId="28F7F41E" w14:textId="77777777" w:rsidR="00A50C63" w:rsidRDefault="00A50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396A6" w14:textId="77777777" w:rsidR="00A547BA" w:rsidRDefault="00000000">
    <w:pPr>
      <w:pBdr>
        <w:bottom w:val="single" w:sz="6" w:space="4" w:color="1B3A6B"/>
      </w:pBdr>
      <w:tabs>
        <w:tab w:val="right" w:pos="9360"/>
      </w:tabs>
    </w:pPr>
    <w:r>
      <w:rPr>
        <w:color w:val="4A5568"/>
        <w:sz w:val="18"/>
        <w:szCs w:val="18"/>
      </w:rPr>
      <w:t xml:space="preserve">UAC Care Pipeline </w:t>
    </w:r>
    <w:proofErr w:type="gramStart"/>
    <w:r>
      <w:rPr>
        <w:color w:val="4A5568"/>
        <w:sz w:val="18"/>
        <w:szCs w:val="18"/>
      </w:rPr>
      <w:t>Analytics  |</w:t>
    </w:r>
    <w:proofErr w:type="gramEnd"/>
    <w:r>
      <w:rPr>
        <w:color w:val="4A5568"/>
        <w:sz w:val="18"/>
        <w:szCs w:val="18"/>
      </w:rPr>
      <w:t xml:space="preserve">  Research Paper</w:t>
    </w:r>
    <w:r>
      <w:rPr>
        <w:sz w:val="18"/>
        <w:szCs w:val="18"/>
      </w:rPr>
      <w:tab/>
    </w:r>
    <w:r>
      <w:rPr>
        <w:i/>
        <w:iCs/>
        <w:color w:val="4A5568"/>
        <w:sz w:val="18"/>
        <w:szCs w:val="18"/>
      </w:rPr>
      <w:t>U.S. HHS / Office of Refugee Resettlement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06153"/>
    <w:multiLevelType w:val="hybridMultilevel"/>
    <w:tmpl w:val="CC3243DA"/>
    <w:lvl w:ilvl="0" w:tplc="65FABCA0">
      <w:start w:val="1"/>
      <w:numFmt w:val="decimal"/>
      <w:lvlText w:val="%1."/>
      <w:lvlJc w:val="left"/>
      <w:pPr>
        <w:ind w:left="720" w:hanging="360"/>
      </w:pPr>
    </w:lvl>
    <w:lvl w:ilvl="1" w:tplc="C616B7E6">
      <w:numFmt w:val="decimal"/>
      <w:lvlText w:val=""/>
      <w:lvlJc w:val="left"/>
    </w:lvl>
    <w:lvl w:ilvl="2" w:tplc="A08A7A9A">
      <w:numFmt w:val="decimal"/>
      <w:lvlText w:val=""/>
      <w:lvlJc w:val="left"/>
    </w:lvl>
    <w:lvl w:ilvl="3" w:tplc="098470B8">
      <w:numFmt w:val="decimal"/>
      <w:lvlText w:val=""/>
      <w:lvlJc w:val="left"/>
    </w:lvl>
    <w:lvl w:ilvl="4" w:tplc="A43AC3C8">
      <w:numFmt w:val="decimal"/>
      <w:lvlText w:val=""/>
      <w:lvlJc w:val="left"/>
    </w:lvl>
    <w:lvl w:ilvl="5" w:tplc="6C940B38">
      <w:numFmt w:val="decimal"/>
      <w:lvlText w:val=""/>
      <w:lvlJc w:val="left"/>
    </w:lvl>
    <w:lvl w:ilvl="6" w:tplc="BFB04D7E">
      <w:numFmt w:val="decimal"/>
      <w:lvlText w:val=""/>
      <w:lvlJc w:val="left"/>
    </w:lvl>
    <w:lvl w:ilvl="7" w:tplc="5162AB1A">
      <w:numFmt w:val="decimal"/>
      <w:lvlText w:val=""/>
      <w:lvlJc w:val="left"/>
    </w:lvl>
    <w:lvl w:ilvl="8" w:tplc="70B4066E">
      <w:numFmt w:val="decimal"/>
      <w:lvlText w:val=""/>
      <w:lvlJc w:val="left"/>
    </w:lvl>
  </w:abstractNum>
  <w:abstractNum w:abstractNumId="1" w15:restartNumberingAfterBreak="0">
    <w:nsid w:val="6D9133B1"/>
    <w:multiLevelType w:val="hybridMultilevel"/>
    <w:tmpl w:val="AD3A301C"/>
    <w:lvl w:ilvl="0" w:tplc="08C6F6F8">
      <w:start w:val="1"/>
      <w:numFmt w:val="bullet"/>
      <w:lvlText w:val="●"/>
      <w:lvlJc w:val="left"/>
      <w:pPr>
        <w:ind w:left="720" w:hanging="360"/>
      </w:pPr>
    </w:lvl>
    <w:lvl w:ilvl="1" w:tplc="4DE2268E">
      <w:start w:val="1"/>
      <w:numFmt w:val="bullet"/>
      <w:lvlText w:val="○"/>
      <w:lvlJc w:val="left"/>
      <w:pPr>
        <w:ind w:left="1440" w:hanging="360"/>
      </w:pPr>
    </w:lvl>
    <w:lvl w:ilvl="2" w:tplc="74E0519E">
      <w:start w:val="1"/>
      <w:numFmt w:val="bullet"/>
      <w:lvlText w:val="■"/>
      <w:lvlJc w:val="left"/>
      <w:pPr>
        <w:ind w:left="2160" w:hanging="360"/>
      </w:pPr>
    </w:lvl>
    <w:lvl w:ilvl="3" w:tplc="9CA88132">
      <w:start w:val="1"/>
      <w:numFmt w:val="bullet"/>
      <w:lvlText w:val="●"/>
      <w:lvlJc w:val="left"/>
      <w:pPr>
        <w:ind w:left="2880" w:hanging="360"/>
      </w:pPr>
    </w:lvl>
    <w:lvl w:ilvl="4" w:tplc="D7CEA294">
      <w:start w:val="1"/>
      <w:numFmt w:val="bullet"/>
      <w:lvlText w:val="○"/>
      <w:lvlJc w:val="left"/>
      <w:pPr>
        <w:ind w:left="3600" w:hanging="360"/>
      </w:pPr>
    </w:lvl>
    <w:lvl w:ilvl="5" w:tplc="6F849D12">
      <w:start w:val="1"/>
      <w:numFmt w:val="bullet"/>
      <w:lvlText w:val="■"/>
      <w:lvlJc w:val="left"/>
      <w:pPr>
        <w:ind w:left="4320" w:hanging="360"/>
      </w:pPr>
    </w:lvl>
    <w:lvl w:ilvl="6" w:tplc="611275F0">
      <w:start w:val="1"/>
      <w:numFmt w:val="bullet"/>
      <w:lvlText w:val="●"/>
      <w:lvlJc w:val="left"/>
      <w:pPr>
        <w:ind w:left="5040" w:hanging="360"/>
      </w:pPr>
    </w:lvl>
    <w:lvl w:ilvl="7" w:tplc="F608547A">
      <w:start w:val="1"/>
      <w:numFmt w:val="bullet"/>
      <w:lvlText w:val="●"/>
      <w:lvlJc w:val="left"/>
      <w:pPr>
        <w:ind w:left="5760" w:hanging="360"/>
      </w:pPr>
    </w:lvl>
    <w:lvl w:ilvl="8" w:tplc="1E74CD90">
      <w:start w:val="1"/>
      <w:numFmt w:val="bullet"/>
      <w:lvlText w:val="●"/>
      <w:lvlJc w:val="left"/>
      <w:pPr>
        <w:ind w:left="6480" w:hanging="360"/>
      </w:pPr>
    </w:lvl>
  </w:abstractNum>
  <w:abstractNum w:abstractNumId="2" w15:restartNumberingAfterBreak="0">
    <w:nsid w:val="75B27F85"/>
    <w:multiLevelType w:val="hybridMultilevel"/>
    <w:tmpl w:val="D4D6D0BC"/>
    <w:lvl w:ilvl="0" w:tplc="73E69C7E">
      <w:start w:val="1"/>
      <w:numFmt w:val="bullet"/>
      <w:lvlText w:val="•"/>
      <w:lvlJc w:val="left"/>
      <w:pPr>
        <w:ind w:left="720" w:hanging="360"/>
      </w:pPr>
    </w:lvl>
    <w:lvl w:ilvl="1" w:tplc="2342ED3A">
      <w:start w:val="1"/>
      <w:numFmt w:val="bullet"/>
      <w:lvlText w:val="○"/>
      <w:lvlJc w:val="left"/>
      <w:pPr>
        <w:ind w:left="1080" w:hanging="360"/>
      </w:pPr>
    </w:lvl>
    <w:lvl w:ilvl="2" w:tplc="80E0B734">
      <w:numFmt w:val="decimal"/>
      <w:lvlText w:val=""/>
      <w:lvlJc w:val="left"/>
    </w:lvl>
    <w:lvl w:ilvl="3" w:tplc="D660ACF0">
      <w:numFmt w:val="decimal"/>
      <w:lvlText w:val=""/>
      <w:lvlJc w:val="left"/>
    </w:lvl>
    <w:lvl w:ilvl="4" w:tplc="0A48A674">
      <w:numFmt w:val="decimal"/>
      <w:lvlText w:val=""/>
      <w:lvlJc w:val="left"/>
    </w:lvl>
    <w:lvl w:ilvl="5" w:tplc="5C1E6BEC">
      <w:numFmt w:val="decimal"/>
      <w:lvlText w:val=""/>
      <w:lvlJc w:val="left"/>
    </w:lvl>
    <w:lvl w:ilvl="6" w:tplc="C7FEE02A">
      <w:numFmt w:val="decimal"/>
      <w:lvlText w:val=""/>
      <w:lvlJc w:val="left"/>
    </w:lvl>
    <w:lvl w:ilvl="7" w:tplc="4098980C">
      <w:numFmt w:val="decimal"/>
      <w:lvlText w:val=""/>
      <w:lvlJc w:val="left"/>
    </w:lvl>
    <w:lvl w:ilvl="8" w:tplc="95B03004">
      <w:numFmt w:val="decimal"/>
      <w:lvlText w:val=""/>
      <w:lvlJc w:val="left"/>
    </w:lvl>
  </w:abstractNum>
  <w:num w:numId="1" w16cid:durableId="1266305086">
    <w:abstractNumId w:val="1"/>
    <w:lvlOverride w:ilvl="0">
      <w:startOverride w:val="1"/>
    </w:lvlOverride>
  </w:num>
  <w:num w:numId="2" w16cid:durableId="14683552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7BA"/>
    <w:rsid w:val="002242F6"/>
    <w:rsid w:val="006E1724"/>
    <w:rsid w:val="00A50C63"/>
    <w:rsid w:val="00A54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EFAE9"/>
  <w15:docId w15:val="{09D137C2-49F2-4AB0-805E-DD089459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6"/>
      <w:szCs w:val="36"/>
    </w:rPr>
  </w:style>
  <w:style w:type="paragraph" w:styleId="Heading2">
    <w:name w:val="heading 2"/>
    <w:uiPriority w:val="9"/>
    <w:unhideWhenUsed/>
    <w:qFormat/>
    <w:pPr>
      <w:spacing w:before="240" w:after="120"/>
      <w:outlineLvl w:val="1"/>
    </w:pPr>
    <w:rPr>
      <w:b/>
      <w:bCs/>
      <w:color w:val="006B5E"/>
      <w:sz w:val="28"/>
      <w:szCs w:val="28"/>
    </w:rPr>
  </w:style>
  <w:style w:type="paragraph" w:styleId="Heading3">
    <w:name w:val="heading 3"/>
    <w:uiPriority w:val="9"/>
    <w:semiHidden/>
    <w:unhideWhenUsed/>
    <w:qFormat/>
    <w:pPr>
      <w:spacing w:before="180" w:after="8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3370</Words>
  <Characters>19212</Characters>
  <Application>Microsoft Office Word</Application>
  <DocSecurity>0</DocSecurity>
  <Lines>160</Lines>
  <Paragraphs>45</Paragraphs>
  <ScaleCrop>false</ScaleCrop>
  <Company/>
  <LinksUpToDate>false</LinksUpToDate>
  <CharactersWithSpaces>22537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M</cp:lastModifiedBy>
  <cp:revision>2</cp:revision>
  <dcterms:created xsi:type="dcterms:W3CDTF">2026-05-03T05:32:00Z</dcterms:created>
  <dcterms:modified xsi:type="dcterms:W3CDTF">2026-05-03T16:58:00Z</dcterms:modified>
</cp:coreProperties>
</file>