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Responses to the reviewer's analysis requests</w:t>
      </w:r>
    </w:p>
    <w:p>
      <w:pPr>
        <w:spacing w:after="120"/>
      </w:pPr>
      <w:r>
        <w:rPr>
          <w:b w:val="0"/>
          <w:i/>
          <w:sz w:val="22"/>
        </w:rPr>
        <w:t>Prior-use in Parkinson's disease: colour-cued Glass-pattern task</w:t>
      </w:r>
    </w:p>
    <w:p>
      <w:pPr>
        <w:spacing w:after="200"/>
      </w:pPr>
      <w:r>
        <w:rPr>
          <w:b w:val="0"/>
          <w:i w:val="0"/>
        </w:rPr>
        <w:t>This report answers the review points that have been completed. Each section states what was asked, what was done, the result, and how to read it. Every number is reproduced by the named notebook in the project repository; nothing here is quoted from an earlier draft. Three requested analyses remain outstanding and are listed at the 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Point</w:t>
            </w:r>
          </w:p>
        </w:tc>
        <w:tc>
          <w:tcPr>
            <w:tcW w:type="dxa" w:w="2160"/>
          </w:tcPr>
          <w:p>
            <w:r>
              <w:rPr>
                <w:b/>
                <w:sz w:val="18"/>
              </w:rPr>
              <w:t>Topic</w:t>
            </w:r>
          </w:p>
        </w:tc>
        <w:tc>
          <w:tcPr>
            <w:tcW w:type="dxa" w:w="2160"/>
          </w:tcPr>
          <w:p>
            <w:r>
              <w:rPr>
                <w:b/>
                <w:sz w:val="18"/>
              </w:rPr>
              <w:t>Notebook</w:t>
            </w:r>
          </w:p>
        </w:tc>
        <w:tc>
          <w:tcPr>
            <w:tcW w:type="dxa" w:w="2160"/>
          </w:tcPr>
          <w:p>
            <w:r>
              <w:rPr>
                <w:b/>
                <w:sz w:val="18"/>
              </w:rPr>
              <w:t>Status</w:t>
            </w:r>
          </w:p>
        </w:tc>
      </w:tr>
      <w:tr>
        <w:tc>
          <w:tcPr>
            <w:tcW w:type="dxa" w:w="2160"/>
          </w:tcPr>
          <w:p>
            <w:r>
              <w:rPr>
                <w:sz w:val="18"/>
              </w:rPr>
              <w:t>1</w:t>
            </w:r>
          </w:p>
        </w:tc>
        <w:tc>
          <w:tcPr>
            <w:tcW w:type="dxa" w:w="2160"/>
          </w:tcPr>
          <w:p>
            <w:r>
              <w:rPr>
                <w:sz w:val="18"/>
              </w:rPr>
              <w:t>Direct subtype contrast</w:t>
            </w:r>
          </w:p>
        </w:tc>
        <w:tc>
          <w:tcPr>
            <w:tcW w:type="dxa" w:w="2160"/>
          </w:tcPr>
          <w:p>
            <w:r>
              <w:rPr>
                <w:sz w:val="18"/>
              </w:rPr>
              <w:t>2.27</w:t>
            </w:r>
          </w:p>
        </w:tc>
        <w:tc>
          <w:tcPr>
            <w:tcW w:type="dxa" w:w="2160"/>
          </w:tcPr>
          <w:p>
            <w:r>
              <w:rPr>
                <w:sz w:val="18"/>
              </w:rPr>
              <w:t>Done</w:t>
            </w:r>
          </w:p>
        </w:tc>
      </w:tr>
      <w:tr>
        <w:tc>
          <w:tcPr>
            <w:tcW w:type="dxa" w:w="2160"/>
          </w:tcPr>
          <w:p>
            <w:r>
              <w:rPr>
                <w:sz w:val="18"/>
              </w:rPr>
              <w:t>2</w:t>
            </w:r>
          </w:p>
        </w:tc>
        <w:tc>
          <w:tcPr>
            <w:tcW w:type="dxa" w:w="2160"/>
          </w:tcPr>
          <w:p>
            <w:r>
              <w:rPr>
                <w:sz w:val="18"/>
              </w:rPr>
              <w:t>Participant-level paired changes and covariates</w:t>
            </w:r>
          </w:p>
        </w:tc>
        <w:tc>
          <w:tcPr>
            <w:tcW w:type="dxa" w:w="2160"/>
          </w:tcPr>
          <w:p>
            <w:r>
              <w:rPr>
                <w:sz w:val="18"/>
              </w:rPr>
              <w:t>2.28</w:t>
            </w:r>
          </w:p>
        </w:tc>
        <w:tc>
          <w:tcPr>
            <w:tcW w:type="dxa" w:w="2160"/>
          </w:tcPr>
          <w:p>
            <w:r>
              <w:rPr>
                <w:sz w:val="18"/>
              </w:rPr>
              <w:t>Done except levodopa dose</w:t>
            </w:r>
          </w:p>
        </w:tc>
      </w:tr>
      <w:tr>
        <w:tc>
          <w:tcPr>
            <w:tcW w:type="dxa" w:w="2160"/>
          </w:tcPr>
          <w:p>
            <w:r>
              <w:rPr>
                <w:sz w:val="18"/>
              </w:rPr>
              <w:t>3</w:t>
            </w:r>
          </w:p>
        </w:tc>
        <w:tc>
          <w:tcPr>
            <w:tcW w:type="dxa" w:w="2160"/>
          </w:tcPr>
          <w:p>
            <w:r>
              <w:rPr>
                <w:sz w:val="18"/>
              </w:rPr>
              <w:t>Permutation test</w:t>
            </w:r>
          </w:p>
        </w:tc>
        <w:tc>
          <w:tcPr>
            <w:tcW w:type="dxa" w:w="2160"/>
          </w:tcPr>
          <w:p>
            <w:r>
              <w:rPr>
                <w:sz w:val="18"/>
              </w:rPr>
              <w:t>2.24</w:t>
            </w:r>
          </w:p>
        </w:tc>
        <w:tc>
          <w:tcPr>
            <w:tcW w:type="dxa" w:w="2160"/>
          </w:tcPr>
          <w:p>
            <w:r>
              <w:rPr>
                <w:sz w:val="18"/>
              </w:rPr>
              <w:t>Done</w:t>
            </w:r>
          </w:p>
        </w:tc>
      </w:tr>
      <w:tr>
        <w:tc>
          <w:tcPr>
            <w:tcW w:type="dxa" w:w="2160"/>
          </w:tcPr>
          <w:p>
            <w:r>
              <w:rPr>
                <w:sz w:val="18"/>
              </w:rPr>
              <w:t>3b</w:t>
            </w:r>
          </w:p>
        </w:tc>
        <w:tc>
          <w:tcPr>
            <w:tcW w:type="dxa" w:w="2160"/>
          </w:tcPr>
          <w:p>
            <w:r>
              <w:rPr>
                <w:sz w:val="18"/>
              </w:rPr>
              <w:t>Prior and random-effects sensitivity</w:t>
            </w:r>
          </w:p>
        </w:tc>
        <w:tc>
          <w:tcPr>
            <w:tcW w:type="dxa" w:w="2160"/>
          </w:tcPr>
          <w:p>
            <w:r>
              <w:rPr>
                <w:sz w:val="18"/>
              </w:rPr>
              <w:t>2.29</w:t>
            </w:r>
          </w:p>
        </w:tc>
        <w:tc>
          <w:tcPr>
            <w:tcW w:type="dxa" w:w="2160"/>
          </w:tcPr>
          <w:p>
            <w:r>
              <w:rPr>
                <w:sz w:val="18"/>
              </w:rPr>
              <w:t>Done</w:t>
            </w:r>
          </w:p>
        </w:tc>
      </w:tr>
      <w:tr>
        <w:tc>
          <w:tcPr>
            <w:tcW w:type="dxa" w:w="2160"/>
          </w:tcPr>
          <w:p>
            <w:r>
              <w:rPr>
                <w:sz w:val="18"/>
              </w:rPr>
              <w:t>4</w:t>
            </w:r>
          </w:p>
        </w:tc>
        <w:tc>
          <w:tcPr>
            <w:tcW w:type="dxa" w:w="2160"/>
          </w:tcPr>
          <w:p>
            <w:r>
              <w:rPr>
                <w:sz w:val="18"/>
              </w:rPr>
              <w:t>DDM multiplicity and model-fit checks</w:t>
            </w:r>
          </w:p>
        </w:tc>
        <w:tc>
          <w:tcPr>
            <w:tcW w:type="dxa" w:w="2160"/>
          </w:tcPr>
          <w:p>
            <w:r>
              <w:rPr>
                <w:sz w:val="18"/>
              </w:rPr>
              <w:t>3.50</w:t>
            </w:r>
          </w:p>
        </w:tc>
        <w:tc>
          <w:tcPr>
            <w:tcW w:type="dxa" w:w="2160"/>
          </w:tcPr>
          <w:p>
            <w:r>
              <w:rPr>
                <w:sz w:val="18"/>
              </w:rPr>
              <w:t>Done except parameter recovery</w:t>
            </w:r>
          </w:p>
        </w:tc>
      </w:tr>
      <w:tr>
        <w:tc>
          <w:tcPr>
            <w:tcW w:type="dxa" w:w="2160"/>
          </w:tcPr>
          <w:p>
            <w:r>
              <w:rPr>
                <w:sz w:val="18"/>
              </w:rPr>
              <w:t>6</w:t>
            </w:r>
          </w:p>
        </w:tc>
        <w:tc>
          <w:tcPr>
            <w:tcW w:type="dxa" w:w="2160"/>
          </w:tcPr>
          <w:p>
            <w:r>
              <w:rPr>
                <w:sz w:val="18"/>
              </w:rPr>
              <w:t>Continuous occupancy-weighted measure</w:t>
            </w:r>
          </w:p>
        </w:tc>
        <w:tc>
          <w:tcPr>
            <w:tcW w:type="dxa" w:w="2160"/>
          </w:tcPr>
          <w:p>
            <w:r>
              <w:rPr>
                <w:sz w:val="18"/>
              </w:rPr>
              <w:t>4.20</w:t>
            </w:r>
          </w:p>
        </w:tc>
        <w:tc>
          <w:tcPr>
            <w:tcW w:type="dxa" w:w="2160"/>
          </w:tcPr>
          <w:p>
            <w:r>
              <w:rPr>
                <w:sz w:val="18"/>
              </w:rPr>
              <w:t>Done</w:t>
            </w:r>
          </w:p>
        </w:tc>
      </w:tr>
      <w:tr>
        <w:tc>
          <w:tcPr>
            <w:tcW w:type="dxa" w:w="2160"/>
          </w:tcPr>
          <w:p>
            <w:r>
              <w:rPr>
                <w:sz w:val="18"/>
              </w:rPr>
              <w:t>7</w:t>
            </w:r>
          </w:p>
        </w:tc>
        <w:tc>
          <w:tcPr>
            <w:tcW w:type="dxa" w:w="2160"/>
          </w:tcPr>
          <w:p>
            <w:r>
              <w:rPr>
                <w:sz w:val="18"/>
              </w:rPr>
              <w:t>Cross-model convergence</w:t>
            </w:r>
          </w:p>
        </w:tc>
        <w:tc>
          <w:tcPr>
            <w:tcW w:type="dxa" w:w="2160"/>
          </w:tcPr>
          <w:p>
            <w:r>
              <w:rPr>
                <w:sz w:val="18"/>
              </w:rPr>
              <w:t>4.20</w:t>
            </w:r>
          </w:p>
        </w:tc>
        <w:tc>
          <w:tcPr>
            <w:tcW w:type="dxa" w:w="2160"/>
          </w:tcPr>
          <w:p>
            <w:r>
              <w:rPr>
                <w:sz w:val="18"/>
              </w:rPr>
              <w:t>Done</w:t>
            </w:r>
          </w:p>
        </w:tc>
      </w:tr>
      <w:tr>
        <w:tc>
          <w:tcPr>
            <w:tcW w:type="dxa" w:w="2160"/>
          </w:tcPr>
          <w:p>
            <w:r>
              <w:rPr>
                <w:sz w:val="18"/>
              </w:rPr>
              <w:t>8</w:t>
            </w:r>
          </w:p>
        </w:tc>
        <w:tc>
          <w:tcPr>
            <w:tcW w:type="dxa" w:w="2160"/>
          </w:tcPr>
          <w:p>
            <w:r>
              <w:rPr>
                <w:sz w:val="18"/>
              </w:rPr>
              <w:t>Colour artifact</w:t>
            </w:r>
          </w:p>
        </w:tc>
        <w:tc>
          <w:tcPr>
            <w:tcW w:type="dxa" w:w="2160"/>
          </w:tcPr>
          <w:p>
            <w:r>
              <w:rPr>
                <w:sz w:val="18"/>
              </w:rPr>
              <w:t>2.31</w:t>
            </w:r>
          </w:p>
        </w:tc>
        <w:tc>
          <w:tcPr>
            <w:tcW w:type="dxa" w:w="2160"/>
          </w:tcPr>
          <w:p>
            <w:r>
              <w:rPr>
                <w:sz w:val="18"/>
              </w:rPr>
              <w:t>Done</w:t>
            </w:r>
          </w:p>
        </w:tc>
      </w:tr>
    </w:tbl>
    <w:p>
      <w:pPr>
        <w:spacing w:after="40"/>
      </w:pPr>
    </w:p>
    <w:p>
      <w:r>
        <w:br w:type="page"/>
      </w:r>
    </w:p>
    <w:p>
      <w:pPr>
        <w:pStyle w:val="Heading1"/>
      </w:pPr>
      <w:r>
        <w:t>Point 1. The subtypes are not shown to differ</w:t>
      </w:r>
    </w:p>
    <w:p>
      <w:pPr>
        <w:spacing w:after="120"/>
      </w:pPr>
      <w:r>
        <w:rPr>
          <w:b/>
          <w:color w:val="8A3A12"/>
        </w:rPr>
        <w:t xml:space="preserve">Asked:  </w:t>
      </w:r>
      <w:r>
        <w:t>Figure 2 shows a medication x prior effect in tremor-dominant patients and little in bradykinesia-dominant patients. Report the direct three-way contrast, its interval and effect size.</w:t>
      </w:r>
    </w:p>
    <w:p>
      <w:pPr>
        <w:spacing w:after="120"/>
      </w:pPr>
      <w:r>
        <w:rPr>
          <w:b/>
          <w:color w:val="8A3A12"/>
        </w:rPr>
        <w:t xml:space="preserve">Done:  </w:t>
      </w:r>
      <w:r>
        <w:t>One hierarchical model fitted to both subtypes' single-trial choices, with subtype interacting with every term of the within-subtype model. The subtype x colour x medication coefficient is the difference between the subtypes' medication effects. A second estimate differences the two separately fitted posteriors, which do not share between-participant variance.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Estimate</w:t>
            </w:r>
          </w:p>
        </w:tc>
        <w:tc>
          <w:tcPr>
            <w:tcW w:type="dxa" w:w="1728"/>
          </w:tcPr>
          <w:p>
            <w:r>
              <w:rPr>
                <w:b/>
                <w:sz w:val="18"/>
              </w:rPr>
              <w:t>mean</w:t>
            </w:r>
          </w:p>
        </w:tc>
        <w:tc>
          <w:tcPr>
            <w:tcW w:type="dxa" w:w="1728"/>
          </w:tcPr>
          <w:p>
            <w:r>
              <w:rPr>
                <w:b/>
                <w:sz w:val="18"/>
              </w:rPr>
              <w:t>2.5%</w:t>
            </w:r>
          </w:p>
        </w:tc>
        <w:tc>
          <w:tcPr>
            <w:tcW w:type="dxa" w:w="1728"/>
          </w:tcPr>
          <w:p>
            <w:r>
              <w:rPr>
                <w:b/>
                <w:sz w:val="18"/>
              </w:rPr>
              <w:t>97.5%</w:t>
            </w:r>
          </w:p>
        </w:tc>
        <w:tc>
          <w:tcPr>
            <w:tcW w:type="dxa" w:w="1728"/>
          </w:tcPr>
          <w:p>
            <w:r>
              <w:rPr>
                <w:b/>
                <w:sz w:val="18"/>
              </w:rPr>
              <w:t>P(&gt; 0)</w:t>
            </w:r>
          </w:p>
        </w:tc>
      </w:tr>
      <w:tr>
        <w:tc>
          <w:tcPr>
            <w:tcW w:type="dxa" w:w="1728"/>
          </w:tcPr>
          <w:p>
            <w:r>
              <w:rPr>
                <w:sz w:val="18"/>
              </w:rPr>
              <w:t>1. three-way coefficient (joint model)</w:t>
            </w:r>
          </w:p>
        </w:tc>
        <w:tc>
          <w:tcPr>
            <w:tcW w:type="dxa" w:w="1728"/>
          </w:tcPr>
          <w:p>
            <w:r>
              <w:rPr>
                <w:sz w:val="18"/>
              </w:rPr>
              <w:t>0.469</w:t>
            </w:r>
          </w:p>
        </w:tc>
        <w:tc>
          <w:tcPr>
            <w:tcW w:type="dxa" w:w="1728"/>
          </w:tcPr>
          <w:p>
            <w:r>
              <w:rPr>
                <w:sz w:val="18"/>
              </w:rPr>
              <w:t>-0.291</w:t>
            </w:r>
          </w:p>
        </w:tc>
        <w:tc>
          <w:tcPr>
            <w:tcW w:type="dxa" w:w="1728"/>
          </w:tcPr>
          <w:p>
            <w:r>
              <w:rPr>
                <w:sz w:val="18"/>
              </w:rPr>
              <w:t>1.241</w:t>
            </w:r>
          </w:p>
        </w:tc>
        <w:tc>
          <w:tcPr>
            <w:tcW w:type="dxa" w:w="1728"/>
          </w:tcPr>
          <w:p>
            <w:r>
              <w:rPr>
                <w:sz w:val="18"/>
              </w:rPr>
              <w:t>0.897</w:t>
            </w:r>
          </w:p>
        </w:tc>
      </w:tr>
      <w:tr>
        <w:tc>
          <w:tcPr>
            <w:tcW w:type="dxa" w:w="1728"/>
          </w:tcPr>
          <w:p>
            <w:r>
              <w:rPr>
                <w:sz w:val="18"/>
              </w:rPr>
              <w:t>2. group-mean difference (these 21 participants only)</w:t>
            </w:r>
          </w:p>
        </w:tc>
        <w:tc>
          <w:tcPr>
            <w:tcW w:type="dxa" w:w="1728"/>
          </w:tcPr>
          <w:p>
            <w:r>
              <w:rPr>
                <w:sz w:val="18"/>
              </w:rPr>
              <w:t>0.486</w:t>
            </w:r>
          </w:p>
        </w:tc>
        <w:tc>
          <w:tcPr>
            <w:tcW w:type="dxa" w:w="1728"/>
          </w:tcPr>
          <w:p>
            <w:r>
              <w:rPr>
                <w:sz w:val="18"/>
              </w:rPr>
              <w:t>0.247</w:t>
            </w:r>
          </w:p>
        </w:tc>
        <w:tc>
          <w:tcPr>
            <w:tcW w:type="dxa" w:w="1728"/>
          </w:tcPr>
          <w:p>
            <w:r>
              <w:rPr>
                <w:sz w:val="18"/>
              </w:rPr>
              <w:t>0.730</w:t>
            </w:r>
          </w:p>
        </w:tc>
        <w:tc>
          <w:tcPr>
            <w:tcW w:type="dxa" w:w="1728"/>
          </w:tcPr>
          <w:p>
            <w:r>
              <w:rPr>
                <w:sz w:val="18"/>
              </w:rPr>
              <w:t>1.000</w:t>
            </w:r>
          </w:p>
        </w:tc>
      </w:tr>
      <w:tr>
        <w:tc>
          <w:tcPr>
            <w:tcW w:type="dxa" w:w="1728"/>
          </w:tcPr>
          <w:p>
            <w:r>
              <w:rPr>
                <w:sz w:val="18"/>
              </w:rPr>
              <w:t>3. difference of separate fits</w:t>
            </w:r>
          </w:p>
        </w:tc>
        <w:tc>
          <w:tcPr>
            <w:tcW w:type="dxa" w:w="1728"/>
          </w:tcPr>
          <w:p>
            <w:r>
              <w:rPr>
                <w:sz w:val="18"/>
              </w:rPr>
              <w:t>0.494</w:t>
            </w:r>
          </w:p>
        </w:tc>
        <w:tc>
          <w:tcPr>
            <w:tcW w:type="dxa" w:w="1728"/>
          </w:tcPr>
          <w:p>
            <w:r>
              <w:rPr>
                <w:sz w:val="18"/>
              </w:rPr>
              <w:t>-0.276</w:t>
            </w:r>
          </w:p>
        </w:tc>
        <w:tc>
          <w:tcPr>
            <w:tcW w:type="dxa" w:w="1728"/>
          </w:tcPr>
          <w:p>
            <w:r>
              <w:rPr>
                <w:sz w:val="18"/>
              </w:rPr>
              <w:t>1.247</w:t>
            </w:r>
          </w:p>
        </w:tc>
        <w:tc>
          <w:tcPr>
            <w:tcW w:type="dxa" w:w="1728"/>
          </w:tcPr>
          <w:p>
            <w:r>
              <w:rPr>
                <w:sz w:val="18"/>
              </w:rPr>
              <w:t>0.905</w:t>
            </w:r>
          </w:p>
        </w:tc>
      </w:tr>
      <w:tr>
        <w:tc>
          <w:tcPr>
            <w:tcW w:type="dxa" w:w="1728"/>
          </w:tcPr>
          <w:p>
            <w:r>
              <w:rPr>
                <w:sz w:val="18"/>
              </w:rPr>
              <w:t>4. bootstrap of per-participant means</w:t>
            </w:r>
          </w:p>
        </w:tc>
        <w:tc>
          <w:tcPr>
            <w:tcW w:type="dxa" w:w="1728"/>
          </w:tcPr>
          <w:p>
            <w:r>
              <w:rPr>
                <w:sz w:val="18"/>
              </w:rPr>
              <w:t>0.488</w:t>
            </w:r>
          </w:p>
        </w:tc>
        <w:tc>
          <w:tcPr>
            <w:tcW w:type="dxa" w:w="1728"/>
          </w:tcPr>
          <w:p>
            <w:r>
              <w:rPr>
                <w:sz w:val="18"/>
              </w:rPr>
              <w:t>-0.116</w:t>
            </w:r>
          </w:p>
        </w:tc>
        <w:tc>
          <w:tcPr>
            <w:tcW w:type="dxa" w:w="1728"/>
          </w:tcPr>
          <w:p>
            <w:r>
              <w:rPr>
                <w:sz w:val="18"/>
              </w:rPr>
              <w:t>1.066</w:t>
            </w:r>
          </w:p>
        </w:tc>
        <w:tc>
          <w:tcPr>
            <w:tcW w:type="dxa" w:w="1728"/>
          </w:tcPr>
          <w:p>
            <w:r>
              <w:rPr>
                <w:sz w:val="18"/>
              </w:rPr>
              <w:t>0.945</w:t>
            </w:r>
          </w:p>
        </w:tc>
      </w:tr>
    </w:tbl>
    <w:p>
      <w:pPr>
        <w:spacing w:after="40"/>
      </w:pPr>
    </w:p>
    <w:p>
      <w:pPr>
        <w:jc w:val="center"/>
      </w:pPr>
      <w:r>
        <w:drawing>
          <wp:inline xmlns:a="http://schemas.openxmlformats.org/drawingml/2006/main" xmlns:pic="http://schemas.openxmlformats.org/drawingml/2006/picture">
            <wp:extent cx="5760720" cy="2261503"/>
            <wp:docPr id="1" name="Picture 1"/>
            <wp:cNvGraphicFramePr>
              <a:graphicFrameLocks noChangeAspect="1"/>
            </wp:cNvGraphicFramePr>
            <a:graphic>
              <a:graphicData uri="http://schemas.openxmlformats.org/drawingml/2006/picture">
                <pic:pic>
                  <pic:nvPicPr>
                    <pic:cNvPr id="0" name="subtype_comparison.png"/>
                    <pic:cNvPicPr/>
                  </pic:nvPicPr>
                  <pic:blipFill>
                    <a:blip r:embed="rId9"/>
                    <a:stretch>
                      <a:fillRect/>
                    </a:stretch>
                  </pic:blipFill>
                  <pic:spPr>
                    <a:xfrm>
                      <a:off x="0" y="0"/>
                      <a:ext cx="5760720" cy="2261503"/>
                    </a:xfrm>
                    <a:prstGeom prst="rect"/>
                  </pic:spPr>
                </pic:pic>
              </a:graphicData>
            </a:graphic>
          </wp:inline>
        </w:drawing>
      </w:r>
    </w:p>
    <w:p>
      <w:pPr>
        <w:spacing w:after="240"/>
        <w:jc w:val="center"/>
      </w:pPr>
      <w:r>
        <w:rPr>
          <w:i/>
          <w:sz w:val="18"/>
        </w:rPr>
        <w:t>Four estimates of the TD-PD minus BD-PD difference. Rows 1 and 3 answer the population question; rows 2 and 4 do not (see text).</w:t>
      </w:r>
    </w:p>
    <w:p>
      <w:pPr>
        <w:spacing w:after="120"/>
      </w:pPr>
      <w:r>
        <w:rPr>
          <w:b/>
          <w:color w:val="8A3A12"/>
        </w:rPr>
        <w:t xml:space="preserve">How to read it:  </w:t>
      </w:r>
      <w:r>
        <w:t>The two estimates that answer the question, the joint model and the separate fits, agree at about +0.47 to +0.49 log-odds with roughly 90% posterior probability of being positive, and both intervals include zero. On the probability scale the difference is about 11.5 percentage points of prior-driven bias at 0% coherence, 95% CI -7.3 to +30.3. The direction supports the subtype claim; the data do not establish it.</w:t>
      </w:r>
    </w:p>
    <w:p>
      <w:pPr>
        <w:spacing w:after="120"/>
      </w:pPr>
      <w:r>
        <w:rPr>
          <w:b/>
          <w:color w:val="8A3A12"/>
        </w:rPr>
        <w:t xml:space="preserve">Do not use:  </w:t>
      </w:r>
      <w:r>
        <w:t>The group-mean difference row has a much narrower interval that excludes zero, but it conditions on these 21 participants and omits the variability from sampling different ones. That variability alone contributes about 0.37 to the uncertainty. The bootstrap row treats shrunken posterior means as exact and is also too narrow.</w:t>
      </w:r>
    </w:p>
    <w:p>
      <w:r>
        <w:br w:type="page"/>
      </w:r>
    </w:p>
    <w:p>
      <w:pPr>
        <w:pStyle w:val="Heading1"/>
      </w:pPr>
      <w:r>
        <w:t>Point 2. Participant-level paired changes, and covariate adjustment</w:t>
      </w:r>
    </w:p>
    <w:p>
      <w:pPr>
        <w:spacing w:after="120"/>
      </w:pPr>
      <w:r>
        <w:rPr>
          <w:b/>
          <w:color w:val="8A3A12"/>
        </w:rPr>
        <w:t xml:space="preserve">Asked:  </w:t>
      </w:r>
      <w:r>
        <w:t>With n = 11 and n = 10, group curves can conceal influential individuals. Show paired OFF to ON estimates, and report whether the tremor result survives adjustment for session order, site, colour-orientation mapping, disease severity and levodopa-equivalent dose.</w:t>
      </w:r>
    </w:p>
    <w:p>
      <w:pPr>
        <w:spacing w:after="120"/>
      </w:pPr>
      <w:r>
        <w:rPr>
          <w:b/>
          <w:color w:val="8A3A12"/>
        </w:rPr>
        <w:t xml:space="preserve">Done:  </w:t>
      </w:r>
      <w:r>
        <w:t>Each patient's prior effect OFF and ON, both as observed choice proportions at 0% coherence and as posterior estimates from the reported model; then the model refitted with each covariate added, entered with its interactions so it can modulate the medication effect.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subtype</w:t>
            </w:r>
          </w:p>
        </w:tc>
        <w:tc>
          <w:tcPr>
            <w:tcW w:type="dxa" w:w="1440"/>
          </w:tcPr>
          <w:p>
            <w:r>
              <w:rPr>
                <w:b/>
                <w:sz w:val="18"/>
              </w:rPr>
              <w:t>n</w:t>
            </w:r>
          </w:p>
        </w:tc>
        <w:tc>
          <w:tcPr>
            <w:tcW w:type="dxa" w:w="1440"/>
          </w:tcPr>
          <w:p>
            <w:r>
              <w:rPr>
                <w:b/>
                <w:sz w:val="18"/>
              </w:rPr>
              <w:t>improved</w:t>
            </w:r>
          </w:p>
        </w:tc>
        <w:tc>
          <w:tcPr>
            <w:tcW w:type="dxa" w:w="1440"/>
          </w:tcPr>
          <w:p>
            <w:r>
              <w:rPr>
                <w:b/>
                <w:sz w:val="18"/>
              </w:rPr>
              <w:t>mean_change</w:t>
            </w:r>
          </w:p>
        </w:tc>
        <w:tc>
          <w:tcPr>
            <w:tcW w:type="dxa" w:w="1440"/>
          </w:tcPr>
          <w:p>
            <w:r>
              <w:rPr>
                <w:b/>
                <w:sz w:val="18"/>
              </w:rPr>
              <w:t>min_change</w:t>
            </w:r>
          </w:p>
        </w:tc>
        <w:tc>
          <w:tcPr>
            <w:tcW w:type="dxa" w:w="1440"/>
          </w:tcPr>
          <w:p>
            <w:r>
              <w:rPr>
                <w:b/>
                <w:sz w:val="18"/>
              </w:rPr>
              <w:t>max_change</w:t>
            </w:r>
          </w:p>
        </w:tc>
      </w:tr>
      <w:tr>
        <w:tc>
          <w:tcPr>
            <w:tcW w:type="dxa" w:w="1440"/>
          </w:tcPr>
          <w:p>
            <w:r>
              <w:rPr>
                <w:sz w:val="18"/>
              </w:rPr>
              <w:t>bradykinetic</w:t>
            </w:r>
          </w:p>
        </w:tc>
        <w:tc>
          <w:tcPr>
            <w:tcW w:type="dxa" w:w="1440"/>
          </w:tcPr>
          <w:p>
            <w:r>
              <w:rPr>
                <w:sz w:val="18"/>
              </w:rPr>
              <w:t>10</w:t>
            </w:r>
          </w:p>
        </w:tc>
        <w:tc>
          <w:tcPr>
            <w:tcW w:type="dxa" w:w="1440"/>
          </w:tcPr>
          <w:p>
            <w:r>
              <w:rPr>
                <w:sz w:val="18"/>
              </w:rPr>
              <w:t>5</w:t>
            </w:r>
          </w:p>
        </w:tc>
        <w:tc>
          <w:tcPr>
            <w:tcW w:type="dxa" w:w="1440"/>
          </w:tcPr>
          <w:p>
            <w:r>
              <w:rPr>
                <w:sz w:val="18"/>
              </w:rPr>
              <w:t>-0.021</w:t>
            </w:r>
          </w:p>
        </w:tc>
        <w:tc>
          <w:tcPr>
            <w:tcW w:type="dxa" w:w="1440"/>
          </w:tcPr>
          <w:p>
            <w:r>
              <w:rPr>
                <w:sz w:val="18"/>
              </w:rPr>
              <w:t>-0.350</w:t>
            </w:r>
          </w:p>
        </w:tc>
        <w:tc>
          <w:tcPr>
            <w:tcW w:type="dxa" w:w="1440"/>
          </w:tcPr>
          <w:p>
            <w:r>
              <w:rPr>
                <w:sz w:val="18"/>
              </w:rPr>
              <w:t>0.343</w:t>
            </w:r>
          </w:p>
        </w:tc>
      </w:tr>
      <w:tr>
        <w:tc>
          <w:tcPr>
            <w:tcW w:type="dxa" w:w="1440"/>
          </w:tcPr>
          <w:p>
            <w:r>
              <w:rPr>
                <w:sz w:val="18"/>
              </w:rPr>
              <w:t>tremor</w:t>
            </w:r>
          </w:p>
        </w:tc>
        <w:tc>
          <w:tcPr>
            <w:tcW w:type="dxa" w:w="1440"/>
          </w:tcPr>
          <w:p>
            <w:r>
              <w:rPr>
                <w:sz w:val="18"/>
              </w:rPr>
              <w:t>11</w:t>
            </w:r>
          </w:p>
        </w:tc>
        <w:tc>
          <w:tcPr>
            <w:tcW w:type="dxa" w:w="1440"/>
          </w:tcPr>
          <w:p>
            <w:r>
              <w:rPr>
                <w:sz w:val="18"/>
              </w:rPr>
              <w:t>7</w:t>
            </w:r>
          </w:p>
        </w:tc>
        <w:tc>
          <w:tcPr>
            <w:tcW w:type="dxa" w:w="1440"/>
          </w:tcPr>
          <w:p>
            <w:r>
              <w:rPr>
                <w:sz w:val="18"/>
              </w:rPr>
              <w:t>0.112</w:t>
            </w:r>
          </w:p>
        </w:tc>
        <w:tc>
          <w:tcPr>
            <w:tcW w:type="dxa" w:w="1440"/>
          </w:tcPr>
          <w:p>
            <w:r>
              <w:rPr>
                <w:sz w:val="18"/>
              </w:rPr>
              <w:t>-0.330</w:t>
            </w:r>
          </w:p>
        </w:tc>
        <w:tc>
          <w:tcPr>
            <w:tcW w:type="dxa" w:w="1440"/>
          </w:tcPr>
          <w:p>
            <w:r>
              <w:rPr>
                <w:sz w:val="18"/>
              </w:rPr>
              <w:t>0.366</w:t>
            </w:r>
          </w:p>
        </w:tc>
      </w:tr>
    </w:tbl>
    <w:p>
      <w:pPr>
        <w:spacing w:after="40"/>
      </w:pPr>
    </w:p>
    <w:p>
      <w:pPr>
        <w:jc w:val="center"/>
      </w:pPr>
      <w:r>
        <w:drawing>
          <wp:inline xmlns:a="http://schemas.openxmlformats.org/drawingml/2006/main" xmlns:pic="http://schemas.openxmlformats.org/drawingml/2006/picture">
            <wp:extent cx="5486400" cy="4226113"/>
            <wp:docPr id="2" name="Picture 2"/>
            <wp:cNvGraphicFramePr>
              <a:graphicFrameLocks noChangeAspect="1"/>
            </wp:cNvGraphicFramePr>
            <a:graphic>
              <a:graphicData uri="http://schemas.openxmlformats.org/drawingml/2006/picture">
                <pic:pic>
                  <pic:nvPicPr>
                    <pic:cNvPr id="0" name="paired_participant_changes.png"/>
                    <pic:cNvPicPr/>
                  </pic:nvPicPr>
                  <pic:blipFill>
                    <a:blip r:embed="rId10"/>
                    <a:stretch>
                      <a:fillRect/>
                    </a:stretch>
                  </pic:blipFill>
                  <pic:spPr>
                    <a:xfrm>
                      <a:off x="0" y="0"/>
                      <a:ext cx="5486400" cy="4226113"/>
                    </a:xfrm>
                    <a:prstGeom prst="rect"/>
                  </pic:spPr>
                </pic:pic>
              </a:graphicData>
            </a:graphic>
          </wp:inline>
        </w:drawing>
      </w:r>
    </w:p>
    <w:p>
      <w:pPr>
        <w:spacing w:after="240"/>
        <w:jc w:val="center"/>
      </w:pPr>
      <w:r>
        <w:rPr>
          <w:i/>
          <w:sz w:val="18"/>
        </w:rPr>
        <w:t>Left: observed paired changes, one line per patient. Right: model-based OFF to ON change with 95% intervals; the shaded band is the population estimate.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col:med</w:t>
            </w:r>
          </w:p>
        </w:tc>
        <w:tc>
          <w:tcPr>
            <w:tcW w:type="dxa" w:w="1728"/>
          </w:tcPr>
          <w:p>
            <w:r>
              <w:rPr>
                <w:b/>
                <w:sz w:val="18"/>
              </w:rPr>
              <w:t>2.5%</w:t>
            </w:r>
          </w:p>
        </w:tc>
        <w:tc>
          <w:tcPr>
            <w:tcW w:type="dxa" w:w="1728"/>
          </w:tcPr>
          <w:p>
            <w:r>
              <w:rPr>
                <w:b/>
                <w:sz w:val="18"/>
              </w:rPr>
              <w:t>97.5%</w:t>
            </w:r>
          </w:p>
        </w:tc>
        <w:tc>
          <w:tcPr>
            <w:tcW w:type="dxa" w:w="1728"/>
          </w:tcPr>
          <w:p>
            <w:r>
              <w:rPr>
                <w:b/>
                <w:sz w:val="18"/>
              </w:rPr>
              <w:t>P(&gt; 0)</w:t>
            </w:r>
          </w:p>
        </w:tc>
      </w:tr>
      <w:tr>
        <w:tc>
          <w:tcPr>
            <w:tcW w:type="dxa" w:w="1728"/>
          </w:tcPr>
          <w:p>
            <w:r>
              <w:rPr>
                <w:sz w:val="18"/>
              </w:rPr>
              <w:t>reported model</w:t>
            </w:r>
          </w:p>
        </w:tc>
        <w:tc>
          <w:tcPr>
            <w:tcW w:type="dxa" w:w="1728"/>
          </w:tcPr>
          <w:p>
            <w:r>
              <w:rPr>
                <w:sz w:val="18"/>
              </w:rPr>
              <w:t>0.544</w:t>
            </w:r>
          </w:p>
        </w:tc>
        <w:tc>
          <w:tcPr>
            <w:tcW w:type="dxa" w:w="1728"/>
          </w:tcPr>
          <w:p>
            <w:r>
              <w:rPr>
                <w:sz w:val="18"/>
              </w:rPr>
              <w:t>-0.009</w:t>
            </w:r>
          </w:p>
        </w:tc>
        <w:tc>
          <w:tcPr>
            <w:tcW w:type="dxa" w:w="1728"/>
          </w:tcPr>
          <w:p>
            <w:r>
              <w:rPr>
                <w:sz w:val="18"/>
              </w:rPr>
              <w:t>1.082</w:t>
            </w:r>
          </w:p>
        </w:tc>
        <w:tc>
          <w:tcPr>
            <w:tcW w:type="dxa" w:w="1728"/>
          </w:tcPr>
          <w:p>
            <w:r>
              <w:rPr>
                <w:sz w:val="18"/>
              </w:rPr>
              <w:t>0.974</w:t>
            </w:r>
          </w:p>
        </w:tc>
      </w:tr>
      <w:tr>
        <w:tc>
          <w:tcPr>
            <w:tcW w:type="dxa" w:w="1728"/>
          </w:tcPr>
          <w:p>
            <w:r>
              <w:rPr>
                <w:sz w:val="18"/>
              </w:rPr>
              <w:t>+ session order</w:t>
            </w:r>
          </w:p>
        </w:tc>
        <w:tc>
          <w:tcPr>
            <w:tcW w:type="dxa" w:w="1728"/>
          </w:tcPr>
          <w:p>
            <w:r>
              <w:rPr>
                <w:sz w:val="18"/>
              </w:rPr>
              <w:t>0.520</w:t>
            </w:r>
          </w:p>
        </w:tc>
        <w:tc>
          <w:tcPr>
            <w:tcW w:type="dxa" w:w="1728"/>
          </w:tcPr>
          <w:p>
            <w:r>
              <w:rPr>
                <w:sz w:val="18"/>
              </w:rPr>
              <w:t>-0.073</w:t>
            </w:r>
          </w:p>
        </w:tc>
        <w:tc>
          <w:tcPr>
            <w:tcW w:type="dxa" w:w="1728"/>
          </w:tcPr>
          <w:p>
            <w:r>
              <w:rPr>
                <w:sz w:val="18"/>
              </w:rPr>
              <w:t>1.122</w:t>
            </w:r>
          </w:p>
        </w:tc>
        <w:tc>
          <w:tcPr>
            <w:tcW w:type="dxa" w:w="1728"/>
          </w:tcPr>
          <w:p>
            <w:r>
              <w:rPr>
                <w:sz w:val="18"/>
              </w:rPr>
              <w:t>0.959</w:t>
            </w:r>
          </w:p>
        </w:tc>
      </w:tr>
      <w:tr>
        <w:tc>
          <w:tcPr>
            <w:tcW w:type="dxa" w:w="1728"/>
          </w:tcPr>
          <w:p>
            <w:r>
              <w:rPr>
                <w:sz w:val="18"/>
              </w:rPr>
              <w:t>+ site</w:t>
            </w:r>
          </w:p>
        </w:tc>
        <w:tc>
          <w:tcPr>
            <w:tcW w:type="dxa" w:w="1728"/>
          </w:tcPr>
          <w:p>
            <w:r>
              <w:rPr>
                <w:sz w:val="18"/>
              </w:rPr>
              <w:t>0.419</w:t>
            </w:r>
          </w:p>
        </w:tc>
        <w:tc>
          <w:tcPr>
            <w:tcW w:type="dxa" w:w="1728"/>
          </w:tcPr>
          <w:p>
            <w:r>
              <w:rPr>
                <w:sz w:val="18"/>
              </w:rPr>
              <w:t>-0.231</w:t>
            </w:r>
          </w:p>
        </w:tc>
        <w:tc>
          <w:tcPr>
            <w:tcW w:type="dxa" w:w="1728"/>
          </w:tcPr>
          <w:p>
            <w:r>
              <w:rPr>
                <w:sz w:val="18"/>
              </w:rPr>
              <w:t>1.049</w:t>
            </w:r>
          </w:p>
        </w:tc>
        <w:tc>
          <w:tcPr>
            <w:tcW w:type="dxa" w:w="1728"/>
          </w:tcPr>
          <w:p>
            <w:r>
              <w:rPr>
                <w:sz w:val="18"/>
              </w:rPr>
              <w:t>0.908</w:t>
            </w:r>
          </w:p>
        </w:tc>
      </w:tr>
      <w:tr>
        <w:tc>
          <w:tcPr>
            <w:tcW w:type="dxa" w:w="1728"/>
          </w:tcPr>
          <w:p>
            <w:r>
              <w:rPr>
                <w:sz w:val="18"/>
              </w:rPr>
              <w:t>+ disease severity (UPDRS)</w:t>
            </w:r>
          </w:p>
        </w:tc>
        <w:tc>
          <w:tcPr>
            <w:tcW w:type="dxa" w:w="1728"/>
          </w:tcPr>
          <w:p>
            <w:r>
              <w:rPr>
                <w:sz w:val="18"/>
              </w:rPr>
              <w:t>0.544</w:t>
            </w:r>
          </w:p>
        </w:tc>
        <w:tc>
          <w:tcPr>
            <w:tcW w:type="dxa" w:w="1728"/>
          </w:tcPr>
          <w:p>
            <w:r>
              <w:rPr>
                <w:sz w:val="18"/>
              </w:rPr>
              <w:t>0.089</w:t>
            </w:r>
          </w:p>
        </w:tc>
        <w:tc>
          <w:tcPr>
            <w:tcW w:type="dxa" w:w="1728"/>
          </w:tcPr>
          <w:p>
            <w:r>
              <w:rPr>
                <w:sz w:val="18"/>
              </w:rPr>
              <w:t>1.001</w:t>
            </w:r>
          </w:p>
        </w:tc>
        <w:tc>
          <w:tcPr>
            <w:tcW w:type="dxa" w:w="1728"/>
          </w:tcPr>
          <w:p>
            <w:r>
              <w:rPr>
                <w:sz w:val="18"/>
              </w:rPr>
              <w:t>0.986</w:t>
            </w:r>
          </w:p>
        </w:tc>
      </w:tr>
      <w:tr>
        <w:tc>
          <w:tcPr>
            <w:tcW w:type="dxa" w:w="1728"/>
          </w:tcPr>
          <w:p>
            <w:r>
              <w:rPr>
                <w:sz w:val="18"/>
              </w:rPr>
              <w:t>+ colour-orientation mapping</w:t>
            </w:r>
          </w:p>
        </w:tc>
        <w:tc>
          <w:tcPr>
            <w:tcW w:type="dxa" w:w="1728"/>
          </w:tcPr>
          <w:p>
            <w:r>
              <w:rPr>
                <w:sz w:val="18"/>
              </w:rPr>
              <w:t>0.450</w:t>
            </w:r>
          </w:p>
        </w:tc>
        <w:tc>
          <w:tcPr>
            <w:tcW w:type="dxa" w:w="1728"/>
          </w:tcPr>
          <w:p>
            <w:r>
              <w:rPr>
                <w:sz w:val="18"/>
              </w:rPr>
              <w:t>-0.032</w:t>
            </w:r>
          </w:p>
        </w:tc>
        <w:tc>
          <w:tcPr>
            <w:tcW w:type="dxa" w:w="1728"/>
          </w:tcPr>
          <w:p>
            <w:r>
              <w:rPr>
                <w:sz w:val="18"/>
              </w:rPr>
              <w:t>0.954</w:t>
            </w:r>
          </w:p>
        </w:tc>
        <w:tc>
          <w:tcPr>
            <w:tcW w:type="dxa" w:w="1728"/>
          </w:tcPr>
          <w:p>
            <w:r>
              <w:rPr>
                <w:sz w:val="18"/>
              </w:rPr>
              <w:t>0.966</w:t>
            </w:r>
          </w:p>
        </w:tc>
      </w:tr>
      <w:tr>
        <w:tc>
          <w:tcPr>
            <w:tcW w:type="dxa" w:w="1728"/>
          </w:tcPr>
          <w:p>
            <w:r>
              <w:rPr>
                <w:sz w:val="18"/>
              </w:rPr>
              <w:t>+ all of the above</w:t>
            </w:r>
          </w:p>
        </w:tc>
        <w:tc>
          <w:tcPr>
            <w:tcW w:type="dxa" w:w="1728"/>
          </w:tcPr>
          <w:p>
            <w:r>
              <w:rPr>
                <w:sz w:val="18"/>
              </w:rPr>
              <w:t>0.265</w:t>
            </w:r>
          </w:p>
        </w:tc>
        <w:tc>
          <w:tcPr>
            <w:tcW w:type="dxa" w:w="1728"/>
          </w:tcPr>
          <w:p>
            <w:r>
              <w:rPr>
                <w:sz w:val="18"/>
              </w:rPr>
              <w:t>-0.130</w:t>
            </w:r>
          </w:p>
        </w:tc>
        <w:tc>
          <w:tcPr>
            <w:tcW w:type="dxa" w:w="1728"/>
          </w:tcPr>
          <w:p>
            <w:r>
              <w:rPr>
                <w:sz w:val="18"/>
              </w:rPr>
              <w:t>0.669</w:t>
            </w:r>
          </w:p>
        </w:tc>
        <w:tc>
          <w:tcPr>
            <w:tcW w:type="dxa" w:w="1728"/>
          </w:tcPr>
          <w:p>
            <w:r>
              <w:rPr>
                <w:sz w:val="18"/>
              </w:rPr>
              <w:t>0.925</w:t>
            </w:r>
          </w:p>
        </w:tc>
      </w:tr>
    </w:tbl>
    <w:p>
      <w:pPr>
        <w:spacing w:after="40"/>
      </w:pPr>
    </w:p>
    <w:p>
      <w:pPr>
        <w:jc w:val="center"/>
      </w:pPr>
      <w:r>
        <w:drawing>
          <wp:inline xmlns:a="http://schemas.openxmlformats.org/drawingml/2006/main" xmlns:pic="http://schemas.openxmlformats.org/drawingml/2006/picture">
            <wp:extent cx="5760720" cy="1985620"/>
            <wp:docPr id="3" name="Picture 3"/>
            <wp:cNvGraphicFramePr>
              <a:graphicFrameLocks noChangeAspect="1"/>
            </wp:cNvGraphicFramePr>
            <a:graphic>
              <a:graphicData uri="http://schemas.openxmlformats.org/drawingml/2006/picture">
                <pic:pic>
                  <pic:nvPicPr>
                    <pic:cNvPr id="0" name="covariate_adjustment.png"/>
                    <pic:cNvPicPr/>
                  </pic:nvPicPr>
                  <pic:blipFill>
                    <a:blip r:embed="rId11"/>
                    <a:stretch>
                      <a:fillRect/>
                    </a:stretch>
                  </pic:blipFill>
                  <pic:spPr>
                    <a:xfrm>
                      <a:off x="0" y="0"/>
                      <a:ext cx="5760720" cy="1985620"/>
                    </a:xfrm>
                    <a:prstGeom prst="rect"/>
                  </pic:spPr>
                </pic:pic>
              </a:graphicData>
            </a:graphic>
          </wp:inline>
        </w:drawing>
      </w:r>
    </w:p>
    <w:p>
      <w:pPr>
        <w:spacing w:after="240"/>
        <w:jc w:val="center"/>
      </w:pPr>
      <w:r>
        <w:rPr>
          <w:i/>
          <w:sz w:val="18"/>
        </w:rPr>
        <w:t>The colour x medication interaction under each adjustment, both subtypes.</w:t>
      </w:r>
    </w:p>
    <w:p>
      <w:pPr>
        <w:spacing w:after="120"/>
      </w:pPr>
      <w:r>
        <w:rPr>
          <w:b/>
          <w:color w:val="8A3A12"/>
        </w:rPr>
        <w:t xml:space="preserve">How to read it:  </w:t>
      </w:r>
      <w:r>
        <w:t>Four of eleven tremor patients have intervals entirely above zero and one entirely below, so the effect is a majority tendency rather than a uniform shift, and it is not carried by any single patient. The interaction keeps its sign and roughly its size under every single covariate, with posterior probability never below 0.91. Site and the colour-orientation mapping each reduce it by about 20%; mapping is the only one that can confound directly, because every patient had a different mapping in their second session.</w:t>
      </w:r>
    </w:p>
    <w:p>
      <w:pPr>
        <w:spacing w:after="120"/>
      </w:pPr>
      <w:r>
        <w:rPr>
          <w:b/>
          <w:color w:val="8A3A12"/>
        </w:rPr>
        <w:t xml:space="preserve">Caution:  </w:t>
      </w:r>
      <w:r>
        <w:t>Change is strongly related to starting point (r = -0.84 in tremor). The same correlation appears in bradykinesia patients, where there is no net effect (r = -0.74), which is the signature of regression to the mean. Avoid any claim conditioned on the OFF-medication value, including responder analyses. The all-covariates model adds 16 terms estimated from 11 patients and should be read as a stress test, not as the estimate.</w:t>
      </w:r>
    </w:p>
    <w:p>
      <w:pPr>
        <w:spacing w:after="120"/>
      </w:pPr>
      <w:r>
        <w:rPr>
          <w:b/>
          <w:color w:val="8A3A12"/>
        </w:rPr>
        <w:t xml:space="preserve">Not done:  </w:t>
      </w:r>
      <w:r>
        <w:t>Levodopa-equivalent dose. The metadata contains no dose column. Free-text prescriptions exist for all 21 patients, so LEDD can be derived, but that needs parsing and clinical checking before use.</w:t>
      </w:r>
    </w:p>
    <w:p>
      <w:r>
        <w:br w:type="page"/>
      </w:r>
    </w:p>
    <w:p>
      <w:pPr>
        <w:pStyle w:val="Heading1"/>
      </w:pPr>
      <w:r>
        <w:t>Point 3. Permutation test, and why it changed the headline number</w:t>
      </w:r>
    </w:p>
    <w:p>
      <w:pPr>
        <w:spacing w:after="120"/>
      </w:pPr>
      <w:r>
        <w:rPr>
          <w:b/>
          <w:color w:val="8A3A12"/>
        </w:rPr>
        <w:t xml:space="preserve">Asked:  </w:t>
      </w:r>
      <w:r>
        <w:t>Add a permutation test that swaps OFF and ON labels within participant.</w:t>
      </w:r>
    </w:p>
    <w:p>
      <w:pPr>
        <w:spacing w:after="120"/>
      </w:pPr>
      <w:r>
        <w:rPr>
          <w:b/>
          <w:color w:val="8A3A12"/>
        </w:rPr>
        <w:t xml:space="preserve">Done:  </w:t>
      </w:r>
      <w:r>
        <w:t>Each patient has one OFF and one ON session, so under the null those labels are exchangeable within a patient. Swapping them at random gives datasets with no medication effect by construction. 300 such datasets per subtype were used to calibrate each inference method, and 1,000 were used for the exact permutation p-value.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False-positive rate, tremor</w:t>
            </w:r>
          </w:p>
        </w:tc>
        <w:tc>
          <w:tcPr>
            <w:tcW w:type="dxa" w:w="2880"/>
          </w:tcPr>
          <w:p>
            <w:r>
              <w:rPr>
                <w:b/>
                <w:sz w:val="18"/>
              </w:rPr>
              <w:t>bradykinesia</w:t>
            </w:r>
          </w:p>
        </w:tc>
      </w:tr>
      <w:tr>
        <w:tc>
          <w:tcPr>
            <w:tcW w:type="dxa" w:w="2880"/>
          </w:tcPr>
          <w:p>
            <w:r>
              <w:rPr>
                <w:sz w:val="18"/>
              </w:rPr>
              <w:t>Naive pooled logistic</w:t>
            </w:r>
          </w:p>
        </w:tc>
        <w:tc>
          <w:tcPr>
            <w:tcW w:type="dxa" w:w="2880"/>
          </w:tcPr>
          <w:p>
            <w:r>
              <w:rPr>
                <w:sz w:val="18"/>
              </w:rPr>
              <w:t>0.520</w:t>
            </w:r>
          </w:p>
        </w:tc>
        <w:tc>
          <w:tcPr>
            <w:tcW w:type="dxa" w:w="2880"/>
          </w:tcPr>
          <w:p>
            <w:r>
              <w:rPr>
                <w:sz w:val="18"/>
              </w:rPr>
              <w:t>0.480</w:t>
            </w:r>
          </w:p>
        </w:tc>
      </w:tr>
      <w:tr>
        <w:tc>
          <w:tcPr>
            <w:tcW w:type="dxa" w:w="2880"/>
          </w:tcPr>
          <w:p>
            <w:r>
              <w:rPr>
                <w:sz w:val="18"/>
              </w:rPr>
              <w:t>Bayesian mixed GLM (variational)</w:t>
            </w:r>
          </w:p>
        </w:tc>
        <w:tc>
          <w:tcPr>
            <w:tcW w:type="dxa" w:w="2880"/>
          </w:tcPr>
          <w:p>
            <w:r>
              <w:rPr>
                <w:sz w:val="18"/>
              </w:rPr>
              <w:t>0.517</w:t>
            </w:r>
          </w:p>
        </w:tc>
        <w:tc>
          <w:tcPr>
            <w:tcW w:type="dxa" w:w="2880"/>
          </w:tcPr>
          <w:p>
            <w:r>
              <w:rPr>
                <w:sz w:val="18"/>
              </w:rPr>
              <w:t>0.503</w:t>
            </w:r>
          </w:p>
        </w:tc>
      </w:tr>
      <w:tr>
        <w:tc>
          <w:tcPr>
            <w:tcW w:type="dxa" w:w="2880"/>
          </w:tcPr>
          <w:p>
            <w:r>
              <w:rPr>
                <w:sz w:val="18"/>
              </w:rPr>
              <w:t>Cluster-robust logistic</w:t>
            </w:r>
          </w:p>
        </w:tc>
        <w:tc>
          <w:tcPr>
            <w:tcW w:type="dxa" w:w="2880"/>
          </w:tcPr>
          <w:p>
            <w:r>
              <w:rPr>
                <w:sz w:val="18"/>
              </w:rPr>
              <w:t>0.083</w:t>
            </w:r>
          </w:p>
        </w:tc>
        <w:tc>
          <w:tcPr>
            <w:tcW w:type="dxa" w:w="2880"/>
          </w:tcPr>
          <w:p>
            <w:r>
              <w:rPr>
                <w:sz w:val="18"/>
              </w:rPr>
              <w:t>0.100</w:t>
            </w:r>
          </w:p>
        </w:tc>
      </w:tr>
      <w:tr>
        <w:tc>
          <w:tcPr>
            <w:tcW w:type="dxa" w:w="2880"/>
          </w:tcPr>
          <w:p>
            <w:r>
              <w:rPr>
                <w:sz w:val="18"/>
              </w:rPr>
              <w:t>Subject-level Wilcoxon</w:t>
            </w:r>
          </w:p>
        </w:tc>
        <w:tc>
          <w:tcPr>
            <w:tcW w:type="dxa" w:w="2880"/>
          </w:tcPr>
          <w:p>
            <w:r>
              <w:rPr>
                <w:sz w:val="18"/>
              </w:rPr>
              <w:t>0.033</w:t>
            </w:r>
          </w:p>
        </w:tc>
        <w:tc>
          <w:tcPr>
            <w:tcW w:type="dxa" w:w="2880"/>
          </w:tcPr>
          <w:p>
            <w:r>
              <w:rPr>
                <w:sz w:val="18"/>
              </w:rPr>
              <w:t>0.057</w:t>
            </w:r>
          </w:p>
        </w:tc>
      </w:tr>
    </w:tbl>
    <w:p>
      <w:pPr>
        <w:spacing w:after="40"/>
      </w:pPr>
    </w:p>
    <w:p>
      <w:pPr>
        <w:jc w:val="center"/>
      </w:pPr>
      <w:r>
        <w:drawing>
          <wp:inline xmlns:a="http://schemas.openxmlformats.org/drawingml/2006/main" xmlns:pic="http://schemas.openxmlformats.org/drawingml/2006/picture">
            <wp:extent cx="5760720" cy="2393436"/>
            <wp:docPr id="4" name="Picture 4"/>
            <wp:cNvGraphicFramePr>
              <a:graphicFrameLocks noChangeAspect="1"/>
            </wp:cNvGraphicFramePr>
            <a:graphic>
              <a:graphicData uri="http://schemas.openxmlformats.org/drawingml/2006/picture">
                <pic:pic>
                  <pic:nvPicPr>
                    <pic:cNvPr id="0" name="calib1.png"/>
                    <pic:cNvPicPr/>
                  </pic:nvPicPr>
                  <pic:blipFill>
                    <a:blip r:embed="rId12"/>
                    <a:stretch>
                      <a:fillRect/>
                    </a:stretch>
                  </pic:blipFill>
                  <pic:spPr>
                    <a:xfrm>
                      <a:off x="0" y="0"/>
                      <a:ext cx="5760720" cy="2393436"/>
                    </a:xfrm>
                    <a:prstGeom prst="rect"/>
                  </pic:spPr>
                </pic:pic>
              </a:graphicData>
            </a:graphic>
          </wp:inline>
        </w:drawing>
      </w:r>
    </w:p>
    <w:p>
      <w:pPr>
        <w:spacing w:after="240"/>
        <w:jc w:val="center"/>
      </w:pPr>
      <w:r>
        <w:rPr>
          <w:i/>
          <w:sz w:val="18"/>
        </w:rPr>
        <w:t>Calibration curves. A correctly calibrated method follows the diagonal. The variational fit lies on top of the naive pooled logistic, far above it.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b/>
                <w:sz w:val="18"/>
              </w:rPr>
              <w:t>Colour x medication, tremor</w:t>
            </w:r>
          </w:p>
        </w:tc>
      </w:tr>
      <w:tr>
        <w:tc>
          <w:tcPr>
            <w:tcW w:type="dxa" w:w="4320"/>
          </w:tcPr>
          <w:p>
            <w:r>
              <w:rPr>
                <w:sz w:val="18"/>
              </w:rPr>
              <w:t>Published variational GLMM</w:t>
            </w:r>
          </w:p>
        </w:tc>
        <w:tc>
          <w:tcPr>
            <w:tcW w:type="dxa" w:w="4320"/>
          </w:tcPr>
          <w:p>
            <w:r>
              <w:rPr>
                <w:sz w:val="18"/>
              </w:rPr>
              <w:t>7.5e-9</w:t>
            </w:r>
          </w:p>
        </w:tc>
      </w:tr>
      <w:tr>
        <w:tc>
          <w:tcPr>
            <w:tcW w:type="dxa" w:w="4320"/>
          </w:tcPr>
          <w:p>
            <w:r>
              <w:rPr>
                <w:sz w:val="18"/>
              </w:rPr>
              <w:t>Cluster-robust logistic</w:t>
            </w:r>
          </w:p>
        </w:tc>
        <w:tc>
          <w:tcPr>
            <w:tcW w:type="dxa" w:w="4320"/>
          </w:tcPr>
          <w:p>
            <w:r>
              <w:rPr>
                <w:sz w:val="18"/>
              </w:rPr>
              <w:t>0.041</w:t>
            </w:r>
          </w:p>
        </w:tc>
      </w:tr>
      <w:tr>
        <w:tc>
          <w:tcPr>
            <w:tcW w:type="dxa" w:w="4320"/>
          </w:tcPr>
          <w:p>
            <w:r>
              <w:rPr>
                <w:sz w:val="18"/>
              </w:rPr>
              <w:t>Sign-flip permutation, 1,000 shuffles</w:t>
            </w:r>
          </w:p>
        </w:tc>
        <w:tc>
          <w:tcPr>
            <w:tcW w:type="dxa" w:w="4320"/>
          </w:tcPr>
          <w:p>
            <w:r>
              <w:rPr>
                <w:sz w:val="18"/>
              </w:rPr>
              <w:t>0.067</w:t>
            </w:r>
          </w:p>
        </w:tc>
      </w:tr>
      <w:tr>
        <w:tc>
          <w:tcPr>
            <w:tcW w:type="dxa" w:w="4320"/>
          </w:tcPr>
          <w:p>
            <w:r>
              <w:rPr>
                <w:sz w:val="18"/>
              </w:rPr>
              <w:t>MCMC, twice the tail probability</w:t>
            </w:r>
          </w:p>
        </w:tc>
        <w:tc>
          <w:tcPr>
            <w:tcW w:type="dxa" w:w="4320"/>
          </w:tcPr>
          <w:p>
            <w:r>
              <w:rPr>
                <w:sz w:val="18"/>
              </w:rPr>
              <w:t>0.060</w:t>
            </w:r>
          </w:p>
        </w:tc>
      </w:tr>
      <w:tr>
        <w:tc>
          <w:tcPr>
            <w:tcW w:type="dxa" w:w="4320"/>
          </w:tcPr>
          <w:p>
            <w:r>
              <w:rPr>
                <w:sz w:val="18"/>
              </w:rPr>
              <w:t>Subject-level difference-in-differences</w:t>
            </w:r>
          </w:p>
        </w:tc>
        <w:tc>
          <w:tcPr>
            <w:tcW w:type="dxa" w:w="4320"/>
          </w:tcPr>
          <w:p>
            <w:r>
              <w:rPr>
                <w:sz w:val="18"/>
              </w:rPr>
              <w:t>0.148</w:t>
            </w:r>
          </w:p>
        </w:tc>
      </w:tr>
    </w:tbl>
    <w:p>
      <w:pPr>
        <w:spacing w:after="40"/>
      </w:pPr>
    </w:p>
    <w:p>
      <w:pPr>
        <w:spacing w:after="120"/>
      </w:pPr>
      <w:r>
        <w:rPr>
          <w:b/>
          <w:color w:val="8A3A12"/>
        </w:rPr>
        <w:t xml:space="preserve">How to read it:  </w:t>
      </w:r>
      <w:r>
        <w:t>The variational fit rejects a true null in about half of datasets where no medication effect exists, so its p-values cannot be reported. Four sound methods agree on roughly 0.04 to 0.15. The effect is marginal, not decisive. Subject-level tests elsewhere in the paper are correctly calibrated and are unaffected.</w:t>
      </w:r>
    </w:p>
    <w:p>
      <w:r>
        <w:br w:type="page"/>
      </w:r>
    </w:p>
    <w:p>
      <w:pPr>
        <w:pStyle w:val="Heading1"/>
      </w:pPr>
      <w:r>
        <w:t>Point 3b. Prior and random-effects sensitivity</w:t>
      </w:r>
    </w:p>
    <w:p>
      <w:pPr>
        <w:spacing w:after="120"/>
      </w:pPr>
      <w:r>
        <w:rPr>
          <w:b/>
          <w:color w:val="8A3A12"/>
        </w:rPr>
        <w:t xml:space="preserve">Asked:  </w:t>
      </w:r>
      <w:r>
        <w:t>Refit under alternative reasonable priors and random-effects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specification</w:t>
            </w:r>
          </w:p>
        </w:tc>
        <w:tc>
          <w:tcPr>
            <w:tcW w:type="dxa" w:w="1440"/>
          </w:tcPr>
          <w:p>
            <w:r>
              <w:rPr>
                <w:b/>
                <w:sz w:val="18"/>
              </w:rPr>
              <w:t>col:med</w:t>
            </w:r>
          </w:p>
        </w:tc>
        <w:tc>
          <w:tcPr>
            <w:tcW w:type="dxa" w:w="1440"/>
          </w:tcPr>
          <w:p>
            <w:r>
              <w:rPr>
                <w:b/>
                <w:sz w:val="18"/>
              </w:rPr>
              <w:t>SD</w:t>
            </w:r>
          </w:p>
        </w:tc>
        <w:tc>
          <w:tcPr>
            <w:tcW w:type="dxa" w:w="1440"/>
          </w:tcPr>
          <w:p>
            <w:r>
              <w:rPr>
                <w:b/>
                <w:sz w:val="18"/>
              </w:rPr>
              <w:t>2.5%</w:t>
            </w:r>
          </w:p>
        </w:tc>
        <w:tc>
          <w:tcPr>
            <w:tcW w:type="dxa" w:w="1440"/>
          </w:tcPr>
          <w:p>
            <w:r>
              <w:rPr>
                <w:b/>
                <w:sz w:val="18"/>
              </w:rPr>
              <w:t>97.5%</w:t>
            </w:r>
          </w:p>
        </w:tc>
        <w:tc>
          <w:tcPr>
            <w:tcW w:type="dxa" w:w="1440"/>
          </w:tcPr>
          <w:p>
            <w:r>
              <w:rPr>
                <w:b/>
                <w:sz w:val="18"/>
              </w:rPr>
              <w:t>P(&gt; 0)</w:t>
            </w:r>
          </w:p>
        </w:tc>
      </w:tr>
      <w:tr>
        <w:tc>
          <w:tcPr>
            <w:tcW w:type="dxa" w:w="1440"/>
          </w:tcPr>
          <w:p>
            <w:r>
              <w:rPr>
                <w:sz w:val="18"/>
              </w:rPr>
              <w:t>reported</w:t>
            </w:r>
          </w:p>
        </w:tc>
        <w:tc>
          <w:tcPr>
            <w:tcW w:type="dxa" w:w="1440"/>
          </w:tcPr>
          <w:p>
            <w:r>
              <w:rPr>
                <w:sz w:val="18"/>
              </w:rPr>
              <w:t>0.530</w:t>
            </w:r>
          </w:p>
        </w:tc>
        <w:tc>
          <w:tcPr>
            <w:tcW w:type="dxa" w:w="1440"/>
          </w:tcPr>
          <w:p>
            <w:r>
              <w:rPr>
                <w:sz w:val="18"/>
              </w:rPr>
              <w:t>0.279</w:t>
            </w:r>
          </w:p>
        </w:tc>
        <w:tc>
          <w:tcPr>
            <w:tcW w:type="dxa" w:w="1440"/>
          </w:tcPr>
          <w:p>
            <w:r>
              <w:rPr>
                <w:sz w:val="18"/>
              </w:rPr>
              <w:t>-0.016</w:t>
            </w:r>
          </w:p>
        </w:tc>
        <w:tc>
          <w:tcPr>
            <w:tcW w:type="dxa" w:w="1440"/>
          </w:tcPr>
          <w:p>
            <w:r>
              <w:rPr>
                <w:sz w:val="18"/>
              </w:rPr>
              <w:t>1.064</w:t>
            </w:r>
          </w:p>
        </w:tc>
        <w:tc>
          <w:tcPr>
            <w:tcW w:type="dxa" w:w="1440"/>
          </w:tcPr>
          <w:p>
            <w:r>
              <w:rPr>
                <w:sz w:val="18"/>
              </w:rPr>
              <w:t>0.971</w:t>
            </w:r>
          </w:p>
        </w:tc>
      </w:tr>
      <w:tr>
        <w:tc>
          <w:tcPr>
            <w:tcW w:type="dxa" w:w="1440"/>
          </w:tcPr>
          <w:p>
            <w:r>
              <w:rPr>
                <w:sz w:val="18"/>
              </w:rPr>
              <w:t>wide priors</w:t>
            </w:r>
          </w:p>
        </w:tc>
        <w:tc>
          <w:tcPr>
            <w:tcW w:type="dxa" w:w="1440"/>
          </w:tcPr>
          <w:p>
            <w:r>
              <w:rPr>
                <w:sz w:val="18"/>
              </w:rPr>
              <w:t>0.542</w:t>
            </w:r>
          </w:p>
        </w:tc>
        <w:tc>
          <w:tcPr>
            <w:tcW w:type="dxa" w:w="1440"/>
          </w:tcPr>
          <w:p>
            <w:r>
              <w:rPr>
                <w:sz w:val="18"/>
              </w:rPr>
              <w:t>0.299</w:t>
            </w:r>
          </w:p>
        </w:tc>
        <w:tc>
          <w:tcPr>
            <w:tcW w:type="dxa" w:w="1440"/>
          </w:tcPr>
          <w:p>
            <w:r>
              <w:rPr>
                <w:sz w:val="18"/>
              </w:rPr>
              <w:t>-0.038</w:t>
            </w:r>
          </w:p>
        </w:tc>
        <w:tc>
          <w:tcPr>
            <w:tcW w:type="dxa" w:w="1440"/>
          </w:tcPr>
          <w:p>
            <w:r>
              <w:rPr>
                <w:sz w:val="18"/>
              </w:rPr>
              <w:t>1.135</w:t>
            </w:r>
          </w:p>
        </w:tc>
        <w:tc>
          <w:tcPr>
            <w:tcW w:type="dxa" w:w="1440"/>
          </w:tcPr>
          <w:p>
            <w:r>
              <w:rPr>
                <w:sz w:val="18"/>
              </w:rPr>
              <w:t>0.965</w:t>
            </w:r>
          </w:p>
        </w:tc>
      </w:tr>
      <w:tr>
        <w:tc>
          <w:tcPr>
            <w:tcW w:type="dxa" w:w="1440"/>
          </w:tcPr>
          <w:p>
            <w:r>
              <w:rPr>
                <w:sz w:val="18"/>
              </w:rPr>
              <w:t>tight priors</w:t>
            </w:r>
          </w:p>
        </w:tc>
        <w:tc>
          <w:tcPr>
            <w:tcW w:type="dxa" w:w="1440"/>
          </w:tcPr>
          <w:p>
            <w:r>
              <w:rPr>
                <w:sz w:val="18"/>
              </w:rPr>
              <w:t>0.507</w:t>
            </w:r>
          </w:p>
        </w:tc>
        <w:tc>
          <w:tcPr>
            <w:tcW w:type="dxa" w:w="1440"/>
          </w:tcPr>
          <w:p>
            <w:r>
              <w:rPr>
                <w:sz w:val="18"/>
              </w:rPr>
              <w:t>0.240</w:t>
            </w:r>
          </w:p>
        </w:tc>
        <w:tc>
          <w:tcPr>
            <w:tcW w:type="dxa" w:w="1440"/>
          </w:tcPr>
          <w:p>
            <w:r>
              <w:rPr>
                <w:sz w:val="18"/>
              </w:rPr>
              <w:t>0.015</w:t>
            </w:r>
          </w:p>
        </w:tc>
        <w:tc>
          <w:tcPr>
            <w:tcW w:type="dxa" w:w="1440"/>
          </w:tcPr>
          <w:p>
            <w:r>
              <w:rPr>
                <w:sz w:val="18"/>
              </w:rPr>
              <w:t>0.959</w:t>
            </w:r>
          </w:p>
        </w:tc>
        <w:tc>
          <w:tcPr>
            <w:tcW w:type="dxa" w:w="1440"/>
          </w:tcPr>
          <w:p>
            <w:r>
              <w:rPr>
                <w:sz w:val="18"/>
              </w:rPr>
              <w:t>0.978</w:t>
            </w:r>
          </w:p>
        </w:tc>
      </w:tr>
      <w:tr>
        <w:tc>
          <w:tcPr>
            <w:tcW w:type="dxa" w:w="1440"/>
          </w:tcPr>
          <w:p>
            <w:r>
              <w:rPr>
                <w:sz w:val="18"/>
              </w:rPr>
              <w:t>correlated</w:t>
            </w:r>
          </w:p>
        </w:tc>
        <w:tc>
          <w:tcPr>
            <w:tcW w:type="dxa" w:w="1440"/>
          </w:tcPr>
          <w:p>
            <w:r>
              <w:rPr>
                <w:sz w:val="18"/>
              </w:rPr>
              <w:t>0.520</w:t>
            </w:r>
          </w:p>
        </w:tc>
        <w:tc>
          <w:tcPr>
            <w:tcW w:type="dxa" w:w="1440"/>
          </w:tcPr>
          <w:p>
            <w:r>
              <w:rPr>
                <w:sz w:val="18"/>
              </w:rPr>
              <w:t>0.302</w:t>
            </w:r>
          </w:p>
        </w:tc>
        <w:tc>
          <w:tcPr>
            <w:tcW w:type="dxa" w:w="1440"/>
          </w:tcPr>
          <w:p>
            <w:r>
              <w:rPr>
                <w:sz w:val="18"/>
              </w:rPr>
              <w:t>-0.065</w:t>
            </w:r>
          </w:p>
        </w:tc>
        <w:tc>
          <w:tcPr>
            <w:tcW w:type="dxa" w:w="1440"/>
          </w:tcPr>
          <w:p>
            <w:r>
              <w:rPr>
                <w:sz w:val="18"/>
              </w:rPr>
              <w:t>1.132</w:t>
            </w:r>
          </w:p>
        </w:tc>
        <w:tc>
          <w:tcPr>
            <w:tcW w:type="dxa" w:w="1440"/>
          </w:tcPr>
          <w:p>
            <w:r>
              <w:rPr>
                <w:sz w:val="18"/>
              </w:rPr>
              <w:t>0.959</w:t>
            </w:r>
          </w:p>
        </w:tc>
      </w:tr>
      <w:tr>
        <w:tc>
          <w:tcPr>
            <w:tcW w:type="dxa" w:w="1440"/>
          </w:tcPr>
          <w:p>
            <w:r>
              <w:rPr>
                <w:sz w:val="18"/>
              </w:rPr>
              <w:t>reduced random effects</w:t>
            </w:r>
          </w:p>
        </w:tc>
        <w:tc>
          <w:tcPr>
            <w:tcW w:type="dxa" w:w="1440"/>
          </w:tcPr>
          <w:p>
            <w:r>
              <w:rPr>
                <w:sz w:val="18"/>
              </w:rPr>
              <w:t>0.462</w:t>
            </w:r>
          </w:p>
        </w:tc>
        <w:tc>
          <w:tcPr>
            <w:tcW w:type="dxa" w:w="1440"/>
          </w:tcPr>
          <w:p>
            <w:r>
              <w:rPr>
                <w:sz w:val="18"/>
              </w:rPr>
              <w:t>0.245</w:t>
            </w:r>
          </w:p>
        </w:tc>
        <w:tc>
          <w:tcPr>
            <w:tcW w:type="dxa" w:w="1440"/>
          </w:tcPr>
          <w:p>
            <w:r>
              <w:rPr>
                <w:sz w:val="18"/>
              </w:rPr>
              <w:t>-0.021</w:t>
            </w:r>
          </w:p>
        </w:tc>
        <w:tc>
          <w:tcPr>
            <w:tcW w:type="dxa" w:w="1440"/>
          </w:tcPr>
          <w:p>
            <w:r>
              <w:rPr>
                <w:sz w:val="18"/>
              </w:rPr>
              <w:t>0.927</w:t>
            </w:r>
          </w:p>
        </w:tc>
        <w:tc>
          <w:tcPr>
            <w:tcW w:type="dxa" w:w="1440"/>
          </w:tcPr>
          <w:p>
            <w:r>
              <w:rPr>
                <w:sz w:val="18"/>
              </w:rPr>
              <w:t>0.970</w:t>
            </w:r>
          </w:p>
        </w:tc>
      </w:tr>
      <w:tr>
        <w:tc>
          <w:tcPr>
            <w:tcW w:type="dxa" w:w="1440"/>
          </w:tcPr>
          <w:p>
            <w:r>
              <w:rPr>
                <w:sz w:val="18"/>
              </w:rPr>
              <w:t>intercept only</w:t>
            </w:r>
          </w:p>
        </w:tc>
        <w:tc>
          <w:tcPr>
            <w:tcW w:type="dxa" w:w="1440"/>
          </w:tcPr>
          <w:p>
            <w:r>
              <w:rPr>
                <w:sz w:val="18"/>
              </w:rPr>
              <w:t>0.439</w:t>
            </w:r>
          </w:p>
        </w:tc>
        <w:tc>
          <w:tcPr>
            <w:tcW w:type="dxa" w:w="1440"/>
          </w:tcPr>
          <w:p>
            <w:r>
              <w:rPr>
                <w:sz w:val="18"/>
              </w:rPr>
              <w:t>0.083</w:t>
            </w:r>
          </w:p>
        </w:tc>
        <w:tc>
          <w:tcPr>
            <w:tcW w:type="dxa" w:w="1440"/>
          </w:tcPr>
          <w:p>
            <w:r>
              <w:rPr>
                <w:sz w:val="18"/>
              </w:rPr>
              <w:t>0.276</w:t>
            </w:r>
          </w:p>
        </w:tc>
        <w:tc>
          <w:tcPr>
            <w:tcW w:type="dxa" w:w="1440"/>
          </w:tcPr>
          <w:p>
            <w:r>
              <w:rPr>
                <w:sz w:val="18"/>
              </w:rPr>
              <w:t>0.601</w:t>
            </w:r>
          </w:p>
        </w:tc>
        <w:tc>
          <w:tcPr>
            <w:tcW w:type="dxa" w:w="1440"/>
          </w:tcPr>
          <w:p>
            <w:r>
              <w:rPr>
                <w:sz w:val="18"/>
              </w:rPr>
              <w:t>1.000</w:t>
            </w:r>
          </w:p>
        </w:tc>
      </w:tr>
    </w:tbl>
    <w:p>
      <w:pPr>
        <w:spacing w:after="40"/>
      </w:pPr>
    </w:p>
    <w:p>
      <w:pPr>
        <w:jc w:val="center"/>
      </w:pPr>
      <w:r>
        <w:drawing>
          <wp:inline xmlns:a="http://schemas.openxmlformats.org/drawingml/2006/main" xmlns:pic="http://schemas.openxmlformats.org/drawingml/2006/picture">
            <wp:extent cx="5760720" cy="1891977"/>
            <wp:docPr id="5" name="Picture 5"/>
            <wp:cNvGraphicFramePr>
              <a:graphicFrameLocks noChangeAspect="1"/>
            </wp:cNvGraphicFramePr>
            <a:graphic>
              <a:graphicData uri="http://schemas.openxmlformats.org/drawingml/2006/picture">
                <pic:pic>
                  <pic:nvPicPr>
                    <pic:cNvPr id="0" name="prior_re_sensitivity.png"/>
                    <pic:cNvPicPr/>
                  </pic:nvPicPr>
                  <pic:blipFill>
                    <a:blip r:embed="rId13"/>
                    <a:stretch>
                      <a:fillRect/>
                    </a:stretch>
                  </pic:blipFill>
                  <pic:spPr>
                    <a:xfrm>
                      <a:off x="0" y="0"/>
                      <a:ext cx="5760720" cy="1891977"/>
                    </a:xfrm>
                    <a:prstGeom prst="rect"/>
                  </pic:spPr>
                </pic:pic>
              </a:graphicData>
            </a:graphic>
          </wp:inline>
        </w:drawing>
      </w:r>
    </w:p>
    <w:p>
      <w:pPr>
        <w:spacing w:after="240"/>
        <w:jc w:val="center"/>
      </w:pPr>
      <w:r>
        <w:rPr>
          <w:i/>
          <w:sz w:val="18"/>
        </w:rPr>
        <w:t>The interaction under six specifications, both subtypes. Zero divergences and R-hat below 1.008 throughout.</w:t>
      </w:r>
    </w:p>
    <w:p>
      <w:pPr>
        <w:spacing w:after="120"/>
      </w:pPr>
      <w:r>
        <w:rPr>
          <w:b/>
          <w:color w:val="8A3A12"/>
        </w:rPr>
        <w:t xml:space="preserve">How to read it:  </w:t>
      </w:r>
      <w:r>
        <w:t>The estimate sits between +0.46 and +0.54 regardless of prior width, correlated versus uncorrelated random effects, or the number of random slopes, with posterior probability between 0.96 and 0.98. The conclusion does not depend on modelling choices.</w:t>
      </w:r>
    </w:p>
    <w:p>
      <w:pPr>
        <w:spacing w:after="120"/>
      </w:pPr>
      <w:r>
        <w:rPr>
          <w:b/>
          <w:color w:val="8A3A12"/>
        </w:rPr>
        <w:t xml:space="preserve">The informative row:  </w:t>
      </w:r>
      <w:r>
        <w:t>Dropping random slopes gives a posterior SD of 0.083, against 0.279 for the reported model. That is almost exactly the variational fit's 0.081, so the approximation behaved as though it had no random slopes at all. This independently confirms the calibration result. The tight-priors row is the only other specification whose interval excludes zero, and it does so because the prior contradicts the observed between-participant spread of about 0.85.</w:t>
      </w:r>
    </w:p>
    <w:p>
      <w:r>
        <w:br w:type="page"/>
      </w:r>
    </w:p>
    <w:p>
      <w:pPr>
        <w:pStyle w:val="Heading1"/>
      </w:pPr>
      <w:r>
        <w:t>Point 4. DDM multiplicity and model fit</w:t>
      </w:r>
    </w:p>
    <w:p>
      <w:pPr>
        <w:spacing w:after="120"/>
      </w:pPr>
      <w:r>
        <w:rPr>
          <w:b/>
          <w:color w:val="8A3A12"/>
        </w:rPr>
        <w:t xml:space="preserve">Asked:  </w:t>
      </w:r>
      <w:r>
        <w:t>State corrected p values for the drift-offset results or treat them as exploratory, and add parameter-recovery and posterior-predictive checks.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group</w:t>
            </w:r>
          </w:p>
        </w:tc>
        <w:tc>
          <w:tcPr>
            <w:tcW w:type="dxa" w:w="1728"/>
          </w:tcPr>
          <w:p>
            <w:r>
              <w:rPr>
                <w:b/>
                <w:sz w:val="18"/>
              </w:rPr>
              <w:t>n</w:t>
            </w:r>
          </w:p>
        </w:tc>
        <w:tc>
          <w:tcPr>
            <w:tcW w:type="dxa" w:w="1728"/>
          </w:tcPr>
          <w:p>
            <w:r>
              <w:rPr>
                <w:b/>
                <w:sz w:val="18"/>
              </w:rPr>
              <w:t>raw p</w:t>
            </w:r>
          </w:p>
        </w:tc>
        <w:tc>
          <w:tcPr>
            <w:tcW w:type="dxa" w:w="1728"/>
          </w:tcPr>
          <w:p>
            <w:r>
              <w:rPr>
                <w:b/>
                <w:sz w:val="18"/>
              </w:rPr>
              <w:t>Bonferroni</w:t>
            </w:r>
          </w:p>
        </w:tc>
        <w:tc>
          <w:tcPr>
            <w:tcW w:type="dxa" w:w="1728"/>
          </w:tcPr>
          <w:p>
            <w:r>
              <w:rPr>
                <w:b/>
                <w:sz w:val="18"/>
              </w:rPr>
              <w:t>BH-FDR</w:t>
            </w:r>
          </w:p>
        </w:tc>
      </w:tr>
      <w:tr>
        <w:tc>
          <w:tcPr>
            <w:tcW w:type="dxa" w:w="1728"/>
          </w:tcPr>
          <w:p>
            <w:r>
              <w:rPr>
                <w:sz w:val="18"/>
              </w:rPr>
              <w:t>Healthy controls</w:t>
            </w:r>
          </w:p>
        </w:tc>
        <w:tc>
          <w:tcPr>
            <w:tcW w:type="dxa" w:w="1728"/>
          </w:tcPr>
          <w:p>
            <w:r>
              <w:rPr>
                <w:sz w:val="18"/>
              </w:rPr>
              <w:t>18</w:t>
            </w:r>
          </w:p>
        </w:tc>
        <w:tc>
          <w:tcPr>
            <w:tcW w:type="dxa" w:w="1728"/>
          </w:tcPr>
          <w:p>
            <w:r>
              <w:rPr>
                <w:sz w:val="18"/>
              </w:rPr>
              <w:t>0.038</w:t>
            </w:r>
          </w:p>
        </w:tc>
        <w:tc>
          <w:tcPr>
            <w:tcW w:type="dxa" w:w="1728"/>
          </w:tcPr>
          <w:p>
            <w:r>
              <w:rPr>
                <w:sz w:val="18"/>
              </w:rPr>
              <w:t>0.385</w:t>
            </w:r>
          </w:p>
        </w:tc>
        <w:tc>
          <w:tcPr>
            <w:tcW w:type="dxa" w:w="1728"/>
          </w:tcPr>
          <w:p>
            <w:r>
              <w:rPr>
                <w:sz w:val="18"/>
              </w:rPr>
              <w:t>0.192</w:t>
            </w:r>
          </w:p>
        </w:tc>
      </w:tr>
      <w:tr>
        <w:tc>
          <w:tcPr>
            <w:tcW w:type="dxa" w:w="1728"/>
          </w:tcPr>
          <w:p>
            <w:r>
              <w:rPr>
                <w:sz w:val="18"/>
              </w:rPr>
              <w:t>Tremor OFF</w:t>
            </w:r>
          </w:p>
        </w:tc>
        <w:tc>
          <w:tcPr>
            <w:tcW w:type="dxa" w:w="1728"/>
          </w:tcPr>
          <w:p>
            <w:r>
              <w:rPr>
                <w:sz w:val="18"/>
              </w:rPr>
              <w:t>11</w:t>
            </w:r>
          </w:p>
        </w:tc>
        <w:tc>
          <w:tcPr>
            <w:tcW w:type="dxa" w:w="1728"/>
          </w:tcPr>
          <w:p>
            <w:r>
              <w:rPr>
                <w:sz w:val="18"/>
              </w:rPr>
              <w:t>0.577</w:t>
            </w:r>
          </w:p>
        </w:tc>
        <w:tc>
          <w:tcPr>
            <w:tcW w:type="dxa" w:w="1728"/>
          </w:tcPr>
          <w:p>
            <w:r>
              <w:rPr>
                <w:sz w:val="18"/>
              </w:rPr>
              <w:t>1.000</w:t>
            </w:r>
          </w:p>
        </w:tc>
        <w:tc>
          <w:tcPr>
            <w:tcW w:type="dxa" w:w="1728"/>
          </w:tcPr>
          <w:p>
            <w:r>
              <w:rPr>
                <w:sz w:val="18"/>
              </w:rPr>
              <w:t>0.998</w:t>
            </w:r>
          </w:p>
        </w:tc>
      </w:tr>
      <w:tr>
        <w:tc>
          <w:tcPr>
            <w:tcW w:type="dxa" w:w="1728"/>
          </w:tcPr>
          <w:p>
            <w:r>
              <w:rPr>
                <w:sz w:val="18"/>
              </w:rPr>
              <w:t>Tremor ON</w:t>
            </w:r>
          </w:p>
        </w:tc>
        <w:tc>
          <w:tcPr>
            <w:tcW w:type="dxa" w:w="1728"/>
          </w:tcPr>
          <w:p>
            <w:r>
              <w:rPr>
                <w:sz w:val="18"/>
              </w:rPr>
              <w:t>11</w:t>
            </w:r>
          </w:p>
        </w:tc>
        <w:tc>
          <w:tcPr>
            <w:tcW w:type="dxa" w:w="1728"/>
          </w:tcPr>
          <w:p>
            <w:r>
              <w:rPr>
                <w:sz w:val="18"/>
              </w:rPr>
              <w:t>0.032</w:t>
            </w:r>
          </w:p>
        </w:tc>
        <w:tc>
          <w:tcPr>
            <w:tcW w:type="dxa" w:w="1728"/>
          </w:tcPr>
          <w:p>
            <w:r>
              <w:rPr>
                <w:sz w:val="18"/>
              </w:rPr>
              <w:t>0.322</w:t>
            </w:r>
          </w:p>
        </w:tc>
        <w:tc>
          <w:tcPr>
            <w:tcW w:type="dxa" w:w="1728"/>
          </w:tcPr>
          <w:p>
            <w:r>
              <w:rPr>
                <w:sz w:val="18"/>
              </w:rPr>
              <w:t>0.192</w:t>
            </w:r>
          </w:p>
        </w:tc>
      </w:tr>
      <w:tr>
        <w:tc>
          <w:tcPr>
            <w:tcW w:type="dxa" w:w="1728"/>
          </w:tcPr>
          <w:p>
            <w:r>
              <w:rPr>
                <w:sz w:val="18"/>
              </w:rPr>
              <w:t>Brady OFF</w:t>
            </w:r>
          </w:p>
        </w:tc>
        <w:tc>
          <w:tcPr>
            <w:tcW w:type="dxa" w:w="1728"/>
          </w:tcPr>
          <w:p>
            <w:r>
              <w:rPr>
                <w:sz w:val="18"/>
              </w:rPr>
              <w:t>10</w:t>
            </w:r>
          </w:p>
        </w:tc>
        <w:tc>
          <w:tcPr>
            <w:tcW w:type="dxa" w:w="1728"/>
          </w:tcPr>
          <w:p>
            <w:r>
              <w:rPr>
                <w:sz w:val="18"/>
              </w:rPr>
              <w:t>0.846</w:t>
            </w:r>
          </w:p>
        </w:tc>
        <w:tc>
          <w:tcPr>
            <w:tcW w:type="dxa" w:w="1728"/>
          </w:tcPr>
          <w:p>
            <w:r>
              <w:rPr>
                <w:sz w:val="18"/>
              </w:rPr>
              <w:t>1.000</w:t>
            </w:r>
          </w:p>
        </w:tc>
        <w:tc>
          <w:tcPr>
            <w:tcW w:type="dxa" w:w="1728"/>
          </w:tcPr>
          <w:p>
            <w:r>
              <w:rPr>
                <w:sz w:val="18"/>
              </w:rPr>
              <w:t>0.998</w:t>
            </w:r>
          </w:p>
        </w:tc>
      </w:tr>
      <w:tr>
        <w:tc>
          <w:tcPr>
            <w:tcW w:type="dxa" w:w="1728"/>
          </w:tcPr>
          <w:p>
            <w:r>
              <w:rPr>
                <w:sz w:val="18"/>
              </w:rPr>
              <w:t>Brady ON</w:t>
            </w:r>
          </w:p>
        </w:tc>
        <w:tc>
          <w:tcPr>
            <w:tcW w:type="dxa" w:w="1728"/>
          </w:tcPr>
          <w:p>
            <w:r>
              <w:rPr>
                <w:sz w:val="18"/>
              </w:rPr>
              <w:t>10</w:t>
            </w:r>
          </w:p>
        </w:tc>
        <w:tc>
          <w:tcPr>
            <w:tcW w:type="dxa" w:w="1728"/>
          </w:tcPr>
          <w:p>
            <w:r>
              <w:rPr>
                <w:sz w:val="18"/>
              </w:rPr>
              <w:t>0.160</w:t>
            </w:r>
          </w:p>
        </w:tc>
        <w:tc>
          <w:tcPr>
            <w:tcW w:type="dxa" w:w="1728"/>
          </w:tcPr>
          <w:p>
            <w:r>
              <w:rPr>
                <w:sz w:val="18"/>
              </w:rPr>
              <w:t>1.000</w:t>
            </w:r>
          </w:p>
        </w:tc>
        <w:tc>
          <w:tcPr>
            <w:tcW w:type="dxa" w:w="1728"/>
          </w:tcPr>
          <w:p>
            <w:r>
              <w:rPr>
                <w:sz w:val="18"/>
              </w:rPr>
              <w:t>0.534</w:t>
            </w:r>
          </w:p>
        </w:tc>
      </w:tr>
    </w:tbl>
    <w:p>
      <w:pPr>
        <w:spacing w:after="40"/>
      </w:pPr>
    </w:p>
    <w:p>
      <w:pPr>
        <w:spacing w:after="120"/>
      </w:pPr>
      <w:r>
        <w:rPr>
          <w:b/>
          <w:color w:val="8A3A12"/>
        </w:rPr>
        <w:t xml:space="preserve">How to read it:  </w:t>
      </w:r>
      <w:r>
        <w:t>None of the ten Figure 3 tests survives either correction. The family is the two parameters you tested times the five group conditions in that figure. Even the narrowest defensible family, the five drift-offset tests alone, leaves both at 0.096 by FDR.</w:t>
      </w:r>
    </w:p>
    <w:p>
      <w:pPr>
        <w:spacing w:after="120"/>
      </w:pPr>
      <w:r>
        <w:rPr>
          <w:b/>
          <w:color w:val="8A3A12"/>
        </w:rPr>
        <w:t xml:space="preserve">More important:  </w:t>
      </w:r>
      <w:r>
        <w:t>The five within-group tests do not test the paper's claims, which are comparative. Testing them directly, one test each and no family to correct: medication changes the prior's drift shift in tremor patients, +0.011 to +0.513, p = 0.175; controls versus untreated tremor patients, p = 0.132; the subtypes differ, p = 0.550. None is significant even uncorrected. Figure 3 should therefore be presented as a mechanistic illustration consistent with Figure 2, not as independent confirmation.</w:t>
      </w:r>
    </w:p>
    <w:p>
      <w:pPr>
        <w:jc w:val="center"/>
      </w:pPr>
      <w:r>
        <w:drawing>
          <wp:inline xmlns:a="http://schemas.openxmlformats.org/drawingml/2006/main" xmlns:pic="http://schemas.openxmlformats.org/drawingml/2006/picture">
            <wp:extent cx="6035040" cy="2249865"/>
            <wp:docPr id="6" name="Picture 6"/>
            <wp:cNvGraphicFramePr>
              <a:graphicFrameLocks noChangeAspect="1"/>
            </wp:cNvGraphicFramePr>
            <a:graphic>
              <a:graphicData uri="http://schemas.openxmlformats.org/drawingml/2006/picture">
                <pic:pic>
                  <pic:nvPicPr>
                    <pic:cNvPr id="0" name="ddm_ppc_curves.png"/>
                    <pic:cNvPicPr/>
                  </pic:nvPicPr>
                  <pic:blipFill>
                    <a:blip r:embed="rId14"/>
                    <a:stretch>
                      <a:fillRect/>
                    </a:stretch>
                  </pic:blipFill>
                  <pic:spPr>
                    <a:xfrm>
                      <a:off x="0" y="0"/>
                      <a:ext cx="6035040" cy="2249865"/>
                    </a:xfrm>
                    <a:prstGeom prst="rect"/>
                  </pic:spPr>
                </pic:pic>
              </a:graphicData>
            </a:graphic>
          </wp:inline>
        </w:drawing>
      </w:r>
    </w:p>
    <w:p>
      <w:pPr>
        <w:spacing w:after="240"/>
        <w:jc w:val="center"/>
      </w:pPr>
      <w:r>
        <w:rPr>
          <w:i/>
          <w:sz w:val="18"/>
        </w:rPr>
        <w:t>Posterior-predictive check. Points are observed session means; lines are simulated from each session's fitted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Coherence</w:t>
            </w:r>
          </w:p>
        </w:tc>
        <w:tc>
          <w:tcPr>
            <w:tcW w:type="dxa" w:w="2160"/>
          </w:tcPr>
          <w:p>
            <w:r>
              <w:rPr>
                <w:b/>
                <w:sz w:val="18"/>
              </w:rPr>
              <w:t>Observed median RT (s)</w:t>
            </w:r>
          </w:p>
        </w:tc>
        <w:tc>
          <w:tcPr>
            <w:tcW w:type="dxa" w:w="2160"/>
          </w:tcPr>
          <w:p>
            <w:r>
              <w:rPr>
                <w:b/>
                <w:sz w:val="18"/>
              </w:rPr>
              <w:t>Predicted</w:t>
            </w:r>
          </w:p>
        </w:tc>
        <w:tc>
          <w:tcPr>
            <w:tcW w:type="dxa" w:w="2160"/>
          </w:tcPr>
          <w:p>
            <w:r>
              <w:rPr>
                <w:b/>
                <w:sz w:val="18"/>
              </w:rPr>
              <w:t>Error</w:t>
            </w:r>
          </w:p>
        </w:tc>
      </w:tr>
      <w:tr>
        <w:tc>
          <w:tcPr>
            <w:tcW w:type="dxa" w:w="2160"/>
          </w:tcPr>
          <w:p>
            <w:r>
              <w:rPr>
                <w:sz w:val="18"/>
              </w:rPr>
              <w:t>0%</w:t>
            </w:r>
          </w:p>
        </w:tc>
        <w:tc>
          <w:tcPr>
            <w:tcW w:type="dxa" w:w="2160"/>
          </w:tcPr>
          <w:p>
            <w:r>
              <w:rPr>
                <w:sz w:val="18"/>
              </w:rPr>
              <w:t>0.987</w:t>
            </w:r>
          </w:p>
        </w:tc>
        <w:tc>
          <w:tcPr>
            <w:tcW w:type="dxa" w:w="2160"/>
          </w:tcPr>
          <w:p>
            <w:r>
              <w:rPr>
                <w:sz w:val="18"/>
              </w:rPr>
              <w:t>0.909</w:t>
            </w:r>
          </w:p>
        </w:tc>
        <w:tc>
          <w:tcPr>
            <w:tcW w:type="dxa" w:w="2160"/>
          </w:tcPr>
          <w:p>
            <w:r>
              <w:rPr>
                <w:sz w:val="18"/>
              </w:rPr>
              <w:t>-0.077</w:t>
            </w:r>
          </w:p>
        </w:tc>
      </w:tr>
      <w:tr>
        <w:tc>
          <w:tcPr>
            <w:tcW w:type="dxa" w:w="2160"/>
          </w:tcPr>
          <w:p>
            <w:r>
              <w:rPr>
                <w:sz w:val="18"/>
              </w:rPr>
              <w:t>13%</w:t>
            </w:r>
          </w:p>
        </w:tc>
        <w:tc>
          <w:tcPr>
            <w:tcW w:type="dxa" w:w="2160"/>
          </w:tcPr>
          <w:p>
            <w:r>
              <w:rPr>
                <w:sz w:val="18"/>
              </w:rPr>
              <w:t>0.955</w:t>
            </w:r>
          </w:p>
        </w:tc>
        <w:tc>
          <w:tcPr>
            <w:tcW w:type="dxa" w:w="2160"/>
          </w:tcPr>
          <w:p>
            <w:r>
              <w:rPr>
                <w:sz w:val="18"/>
              </w:rPr>
              <w:t>0.902</w:t>
            </w:r>
          </w:p>
        </w:tc>
        <w:tc>
          <w:tcPr>
            <w:tcW w:type="dxa" w:w="2160"/>
          </w:tcPr>
          <w:p>
            <w:r>
              <w:rPr>
                <w:sz w:val="18"/>
              </w:rPr>
              <w:t>-0.053</w:t>
            </w:r>
          </w:p>
        </w:tc>
      </w:tr>
      <w:tr>
        <w:tc>
          <w:tcPr>
            <w:tcW w:type="dxa" w:w="2160"/>
          </w:tcPr>
          <w:p>
            <w:r>
              <w:rPr>
                <w:sz w:val="18"/>
              </w:rPr>
              <w:t>35%</w:t>
            </w:r>
          </w:p>
        </w:tc>
        <w:tc>
          <w:tcPr>
            <w:tcW w:type="dxa" w:w="2160"/>
          </w:tcPr>
          <w:p>
            <w:r>
              <w:rPr>
                <w:sz w:val="18"/>
              </w:rPr>
              <w:t>0.881</w:t>
            </w:r>
          </w:p>
        </w:tc>
        <w:tc>
          <w:tcPr>
            <w:tcW w:type="dxa" w:w="2160"/>
          </w:tcPr>
          <w:p>
            <w:r>
              <w:rPr>
                <w:sz w:val="18"/>
              </w:rPr>
              <w:t>0.867</w:t>
            </w:r>
          </w:p>
        </w:tc>
        <w:tc>
          <w:tcPr>
            <w:tcW w:type="dxa" w:w="2160"/>
          </w:tcPr>
          <w:p>
            <w:r>
              <w:rPr>
                <w:sz w:val="18"/>
              </w:rPr>
              <w:t>-0.014</w:t>
            </w:r>
          </w:p>
        </w:tc>
      </w:tr>
      <w:tr>
        <w:tc>
          <w:tcPr>
            <w:tcW w:type="dxa" w:w="2160"/>
          </w:tcPr>
          <w:p>
            <w:r>
              <w:rPr>
                <w:sz w:val="18"/>
              </w:rPr>
              <w:t>100%</w:t>
            </w:r>
          </w:p>
        </w:tc>
        <w:tc>
          <w:tcPr>
            <w:tcW w:type="dxa" w:w="2160"/>
          </w:tcPr>
          <w:p>
            <w:r>
              <w:rPr>
                <w:sz w:val="18"/>
              </w:rPr>
              <w:t>0.756</w:t>
            </w:r>
          </w:p>
        </w:tc>
        <w:tc>
          <w:tcPr>
            <w:tcW w:type="dxa" w:w="2160"/>
          </w:tcPr>
          <w:p>
            <w:r>
              <w:rPr>
                <w:sz w:val="18"/>
              </w:rPr>
              <w:t>0.747</w:t>
            </w:r>
          </w:p>
        </w:tc>
        <w:tc>
          <w:tcPr>
            <w:tcW w:type="dxa" w:w="2160"/>
          </w:tcPr>
          <w:p>
            <w:r>
              <w:rPr>
                <w:sz w:val="18"/>
              </w:rPr>
              <w:t>-0.009</w:t>
            </w:r>
          </w:p>
        </w:tc>
      </w:tr>
    </w:tbl>
    <w:p>
      <w:pPr>
        <w:spacing w:after="40"/>
      </w:pPr>
    </w:p>
    <w:p>
      <w:pPr>
        <w:jc w:val="center"/>
      </w:pPr>
      <w:r>
        <w:drawing>
          <wp:inline xmlns:a="http://schemas.openxmlformats.org/drawingml/2006/main" xmlns:pic="http://schemas.openxmlformats.org/drawingml/2006/picture">
            <wp:extent cx="5303520" cy="2087866"/>
            <wp:docPr id="7" name="Picture 7"/>
            <wp:cNvGraphicFramePr>
              <a:graphicFrameLocks noChangeAspect="1"/>
            </wp:cNvGraphicFramePr>
            <a:graphic>
              <a:graphicData uri="http://schemas.openxmlformats.org/drawingml/2006/picture">
                <pic:pic>
                  <pic:nvPicPr>
                    <pic:cNvPr id="0" name="ddm_ppc_bias.png"/>
                    <pic:cNvPicPr/>
                  </pic:nvPicPr>
                  <pic:blipFill>
                    <a:blip r:embed="rId15"/>
                    <a:stretch>
                      <a:fillRect/>
                    </a:stretch>
                  </pic:blipFill>
                  <pic:spPr>
                    <a:xfrm>
                      <a:off x="0" y="0"/>
                      <a:ext cx="5303520" cy="2087866"/>
                    </a:xfrm>
                    <a:prstGeom prst="rect"/>
                  </pic:spPr>
                </pic:pic>
              </a:graphicData>
            </a:graphic>
          </wp:inline>
        </w:drawing>
      </w:r>
    </w:p>
    <w:p>
      <w:pPr>
        <w:spacing w:after="240"/>
        <w:jc w:val="center"/>
      </w:pPr>
      <w:r>
        <w:rPr>
          <w:i/>
          <w:sz w:val="18"/>
        </w:rPr>
        <w:t>Recovery of each session's choice bias at 0% coherence, where the prior effect lives.</w:t>
      </w:r>
    </w:p>
    <w:p>
      <w:pPr>
        <w:spacing w:after="120"/>
      </w:pPr>
      <w:r>
        <w:rPr>
          <w:b/>
          <w:color w:val="8A3A12"/>
        </w:rPr>
        <w:t xml:space="preserve">How to read it:  </w:t>
      </w:r>
      <w:r>
        <w:t>Choices are reproduced well, including the prior separation the model is used to explain. Reaction times are systematically under-predicted on hard trials, by 77 ms at 0% coherence, in 90% of session-colours and in every group equally. Per-session bias recovery correlates at r = 0.82 with no systematic offset, but its mean absolute error, 0.056, is the same size as the group prior effects being interpreted. Read Figure 3 at the group level only.</w:t>
      </w:r>
    </w:p>
    <w:p>
      <w:pPr>
        <w:spacing w:after="120"/>
      </w:pPr>
      <w:r>
        <w:rPr>
          <w:b/>
          <w:color w:val="8A3A12"/>
        </w:rPr>
        <w:t xml:space="preserve">Not done:  </w:t>
      </w:r>
      <w:r>
        <w:t>Parameter recovery. The fitting pipeline requires CUDA and runs differential evolution with 15 simulation repetitions per evaluation, so it belongs on the cluster. Its central question is whether starting point and drift offset are separably identifiable at about 300 trials per session-colour, since both shift choices toward one alternative.</w:t>
      </w:r>
    </w:p>
    <w:p>
      <w:r>
        <w:br w:type="page"/>
      </w:r>
    </w:p>
    <w:p>
      <w:pPr>
        <w:pStyle w:val="Heading1"/>
      </w:pPr>
      <w:r>
        <w:t>Point 6. A continuous HMM measure, replacing threshold-defined occupancy</w:t>
      </w:r>
    </w:p>
    <w:p>
      <w:pPr>
        <w:spacing w:after="120"/>
      </w:pPr>
      <w:r>
        <w:rPr>
          <w:b/>
          <w:color w:val="8A3A12"/>
        </w:rPr>
        <w:t xml:space="preserve">Asked:  </w:t>
      </w:r>
      <w:r>
        <w:t>Figure 4e is circular: states are declared colour-sensitive within a group and occupancy is then summarised for those selected states. Make a continuous occupancy-weighted prior effect the primary result.</w:t>
      </w:r>
    </w:p>
    <w:p>
      <w:pPr>
        <w:spacing w:after="120"/>
      </w:pPr>
      <w:r>
        <w:rPr>
          <w:b/>
          <w:color w:val="8A3A12"/>
        </w:rPr>
        <w:t xml:space="preserve">Done:  </w:t>
      </w:r>
      <w:r>
        <w:t>For each session, the occupancy-weighted average of the state colour weights, one number per session in log-odds, with no thresholding and no state selection. It is on the same scale as the mixed model's colour effect.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group</w:t>
            </w:r>
          </w:p>
        </w:tc>
        <w:tc>
          <w:tcPr>
            <w:tcW w:type="dxa" w:w="2160"/>
          </w:tcPr>
          <w:p>
            <w:r>
              <w:rPr>
                <w:b/>
                <w:sz w:val="18"/>
              </w:rPr>
              <w:t>mean</w:t>
            </w:r>
          </w:p>
        </w:tc>
        <w:tc>
          <w:tcPr>
            <w:tcW w:type="dxa" w:w="2160"/>
          </w:tcPr>
          <w:p>
            <w:r>
              <w:rPr>
                <w:b/>
                <w:sz w:val="18"/>
              </w:rPr>
              <w:t>sem</w:t>
            </w:r>
          </w:p>
        </w:tc>
        <w:tc>
          <w:tcPr>
            <w:tcW w:type="dxa" w:w="2160"/>
          </w:tcPr>
          <w:p>
            <w:r>
              <w:rPr>
                <w:b/>
                <w:sz w:val="18"/>
              </w:rPr>
              <w:t>count</w:t>
            </w:r>
          </w:p>
        </w:tc>
      </w:tr>
      <w:tr>
        <w:tc>
          <w:tcPr>
            <w:tcW w:type="dxa" w:w="2160"/>
          </w:tcPr>
          <w:p>
            <w:r>
              <w:rPr>
                <w:sz w:val="18"/>
              </w:rPr>
              <w:t>HC</w:t>
            </w:r>
          </w:p>
        </w:tc>
        <w:tc>
          <w:tcPr>
            <w:tcW w:type="dxa" w:w="2160"/>
          </w:tcPr>
          <w:p>
            <w:r>
              <w:rPr>
                <w:sz w:val="18"/>
              </w:rPr>
              <w:t>0.448</w:t>
            </w:r>
          </w:p>
        </w:tc>
        <w:tc>
          <w:tcPr>
            <w:tcW w:type="dxa" w:w="2160"/>
          </w:tcPr>
          <w:p>
            <w:r>
              <w:rPr>
                <w:sz w:val="18"/>
              </w:rPr>
              <w:t>0.153</w:t>
            </w:r>
          </w:p>
        </w:tc>
        <w:tc>
          <w:tcPr>
            <w:tcW w:type="dxa" w:w="2160"/>
          </w:tcPr>
          <w:p>
            <w:r>
              <w:rPr>
                <w:sz w:val="18"/>
              </w:rPr>
              <w:t>18</w:t>
            </w:r>
          </w:p>
        </w:tc>
      </w:tr>
      <w:tr>
        <w:tc>
          <w:tcPr>
            <w:tcW w:type="dxa" w:w="2160"/>
          </w:tcPr>
          <w:p>
            <w:r>
              <w:rPr>
                <w:sz w:val="18"/>
              </w:rPr>
              <w:t>tremor_off</w:t>
            </w:r>
          </w:p>
        </w:tc>
        <w:tc>
          <w:tcPr>
            <w:tcW w:type="dxa" w:w="2160"/>
          </w:tcPr>
          <w:p>
            <w:r>
              <w:rPr>
                <w:sz w:val="18"/>
              </w:rPr>
              <w:t>0.063</w:t>
            </w:r>
          </w:p>
        </w:tc>
        <w:tc>
          <w:tcPr>
            <w:tcW w:type="dxa" w:w="2160"/>
          </w:tcPr>
          <w:p>
            <w:r>
              <w:rPr>
                <w:sz w:val="18"/>
              </w:rPr>
              <w:t>0.208</w:t>
            </w:r>
          </w:p>
        </w:tc>
        <w:tc>
          <w:tcPr>
            <w:tcW w:type="dxa" w:w="2160"/>
          </w:tcPr>
          <w:p>
            <w:r>
              <w:rPr>
                <w:sz w:val="18"/>
              </w:rPr>
              <w:t>11</w:t>
            </w:r>
          </w:p>
        </w:tc>
      </w:tr>
      <w:tr>
        <w:tc>
          <w:tcPr>
            <w:tcW w:type="dxa" w:w="2160"/>
          </w:tcPr>
          <w:p>
            <w:r>
              <w:rPr>
                <w:sz w:val="18"/>
              </w:rPr>
              <w:t>tremor_on</w:t>
            </w:r>
          </w:p>
        </w:tc>
        <w:tc>
          <w:tcPr>
            <w:tcW w:type="dxa" w:w="2160"/>
          </w:tcPr>
          <w:p>
            <w:r>
              <w:rPr>
                <w:sz w:val="18"/>
              </w:rPr>
              <w:t>0.650</w:t>
            </w:r>
          </w:p>
        </w:tc>
        <w:tc>
          <w:tcPr>
            <w:tcW w:type="dxa" w:w="2160"/>
          </w:tcPr>
          <w:p>
            <w:r>
              <w:rPr>
                <w:sz w:val="18"/>
              </w:rPr>
              <w:t>0.193</w:t>
            </w:r>
          </w:p>
        </w:tc>
        <w:tc>
          <w:tcPr>
            <w:tcW w:type="dxa" w:w="2160"/>
          </w:tcPr>
          <w:p>
            <w:r>
              <w:rPr>
                <w:sz w:val="18"/>
              </w:rPr>
              <w:t>11</w:t>
            </w:r>
          </w:p>
        </w:tc>
      </w:tr>
      <w:tr>
        <w:tc>
          <w:tcPr>
            <w:tcW w:type="dxa" w:w="2160"/>
          </w:tcPr>
          <w:p>
            <w:r>
              <w:rPr>
                <w:sz w:val="18"/>
              </w:rPr>
              <w:t>bradykinetic_off</w:t>
            </w:r>
          </w:p>
        </w:tc>
        <w:tc>
          <w:tcPr>
            <w:tcW w:type="dxa" w:w="2160"/>
          </w:tcPr>
          <w:p>
            <w:r>
              <w:rPr>
                <w:sz w:val="18"/>
              </w:rPr>
              <w:t>0.224</w:t>
            </w:r>
          </w:p>
        </w:tc>
        <w:tc>
          <w:tcPr>
            <w:tcW w:type="dxa" w:w="2160"/>
          </w:tcPr>
          <w:p>
            <w:r>
              <w:rPr>
                <w:sz w:val="18"/>
              </w:rPr>
              <w:t>0.190</w:t>
            </w:r>
          </w:p>
        </w:tc>
        <w:tc>
          <w:tcPr>
            <w:tcW w:type="dxa" w:w="2160"/>
          </w:tcPr>
          <w:p>
            <w:r>
              <w:rPr>
                <w:sz w:val="18"/>
              </w:rPr>
              <w:t>10</w:t>
            </w:r>
          </w:p>
        </w:tc>
      </w:tr>
      <w:tr>
        <w:tc>
          <w:tcPr>
            <w:tcW w:type="dxa" w:w="2160"/>
          </w:tcPr>
          <w:p>
            <w:r>
              <w:rPr>
                <w:sz w:val="18"/>
              </w:rPr>
              <w:t>bradykinetic_on</w:t>
            </w:r>
          </w:p>
        </w:tc>
        <w:tc>
          <w:tcPr>
            <w:tcW w:type="dxa" w:w="2160"/>
          </w:tcPr>
          <w:p>
            <w:r>
              <w:rPr>
                <w:sz w:val="18"/>
              </w:rPr>
              <w:t>0.237</w:t>
            </w:r>
          </w:p>
        </w:tc>
        <w:tc>
          <w:tcPr>
            <w:tcW w:type="dxa" w:w="2160"/>
          </w:tcPr>
          <w:p>
            <w:r>
              <w:rPr>
                <w:sz w:val="18"/>
              </w:rPr>
              <w:t>0.192</w:t>
            </w:r>
          </w:p>
        </w:tc>
        <w:tc>
          <w:tcPr>
            <w:tcW w:type="dxa" w:w="2160"/>
          </w:tcPr>
          <w:p>
            <w:r>
              <w:rPr>
                <w:sz w:val="18"/>
              </w:rPr>
              <w:t>10</w:t>
            </w:r>
          </w:p>
        </w:tc>
      </w:tr>
    </w:tbl>
    <w:p>
      <w:pPr>
        <w:spacing w:after="40"/>
      </w:pP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Test</w:t>
            </w:r>
          </w:p>
        </w:tc>
        <w:tc>
          <w:tcPr>
            <w:tcW w:type="dxa" w:w="1728"/>
          </w:tcPr>
          <w:p>
            <w:r>
              <w:rPr>
                <w:b/>
                <w:sz w:val="18"/>
              </w:rPr>
              <w:t>n</w:t>
            </w:r>
          </w:p>
        </w:tc>
        <w:tc>
          <w:tcPr>
            <w:tcW w:type="dxa" w:w="1728"/>
          </w:tcPr>
          <w:p>
            <w:r>
              <w:rPr>
                <w:b/>
                <w:sz w:val="18"/>
              </w:rPr>
              <w:t>Effect (log-odds)</w:t>
            </w:r>
          </w:p>
        </w:tc>
        <w:tc>
          <w:tcPr>
            <w:tcW w:type="dxa" w:w="1728"/>
          </w:tcPr>
          <w:p>
            <w:r>
              <w:rPr>
                <w:b/>
                <w:sz w:val="18"/>
              </w:rPr>
              <w:t>dz</w:t>
            </w:r>
          </w:p>
        </w:tc>
        <w:tc>
          <w:tcPr>
            <w:tcW w:type="dxa" w:w="1728"/>
          </w:tcPr>
          <w:p>
            <w:r>
              <w:rPr>
                <w:b/>
                <w:sz w:val="18"/>
              </w:rPr>
              <w:t>p</w:t>
            </w:r>
          </w:p>
        </w:tc>
      </w:tr>
      <w:tr>
        <w:tc>
          <w:tcPr>
            <w:tcW w:type="dxa" w:w="1728"/>
          </w:tcPr>
          <w:p>
            <w:r>
              <w:rPr>
                <w:sz w:val="18"/>
              </w:rPr>
              <w:t>Tremor, OFF vs ON (paired)</w:t>
            </w:r>
          </w:p>
        </w:tc>
        <w:tc>
          <w:tcPr>
            <w:tcW w:type="dxa" w:w="1728"/>
          </w:tcPr>
          <w:p>
            <w:r>
              <w:rPr>
                <w:sz w:val="18"/>
              </w:rPr>
              <w:t>11</w:t>
            </w:r>
          </w:p>
        </w:tc>
        <w:tc>
          <w:tcPr>
            <w:tcW w:type="dxa" w:w="1728"/>
          </w:tcPr>
          <w:p>
            <w:r>
              <w:rPr>
                <w:sz w:val="18"/>
              </w:rPr>
              <w:t>+0.587</w:t>
            </w:r>
          </w:p>
        </w:tc>
        <w:tc>
          <w:tcPr>
            <w:tcW w:type="dxa" w:w="1728"/>
          </w:tcPr>
          <w:p>
            <w:r>
              <w:rPr>
                <w:sz w:val="18"/>
              </w:rPr>
              <w:t>0.57</w:t>
            </w:r>
          </w:p>
        </w:tc>
        <w:tc>
          <w:tcPr>
            <w:tcW w:type="dxa" w:w="1728"/>
          </w:tcPr>
          <w:p>
            <w:r>
              <w:rPr>
                <w:sz w:val="18"/>
              </w:rPr>
              <w:t>0.102</w:t>
            </w:r>
          </w:p>
        </w:tc>
      </w:tr>
      <w:tr>
        <w:tc>
          <w:tcPr>
            <w:tcW w:type="dxa" w:w="1728"/>
          </w:tcPr>
          <w:p>
            <w:r>
              <w:rPr>
                <w:sz w:val="18"/>
              </w:rPr>
              <w:t>Bradykinesia, OFF vs ON (paired)</w:t>
            </w:r>
          </w:p>
        </w:tc>
        <w:tc>
          <w:tcPr>
            <w:tcW w:type="dxa" w:w="1728"/>
          </w:tcPr>
          <w:p>
            <w:r>
              <w:rPr>
                <w:sz w:val="18"/>
              </w:rPr>
              <w:t>10</w:t>
            </w:r>
          </w:p>
        </w:tc>
        <w:tc>
          <w:tcPr>
            <w:tcW w:type="dxa" w:w="1728"/>
          </w:tcPr>
          <w:p>
            <w:r>
              <w:rPr>
                <w:sz w:val="18"/>
              </w:rPr>
              <w:t>+0.013</w:t>
            </w:r>
          </w:p>
        </w:tc>
        <w:tc>
          <w:tcPr>
            <w:tcW w:type="dxa" w:w="1728"/>
          </w:tcPr>
          <w:p>
            <w:r>
              <w:rPr>
                <w:sz w:val="18"/>
              </w:rPr>
              <w:t>0.02</w:t>
            </w:r>
          </w:p>
        </w:tc>
        <w:tc>
          <w:tcPr>
            <w:tcW w:type="dxa" w:w="1728"/>
          </w:tcPr>
          <w:p>
            <w:r>
              <w:rPr>
                <w:sz w:val="18"/>
              </w:rPr>
              <w:t>1.000</w:t>
            </w:r>
          </w:p>
        </w:tc>
      </w:tr>
      <w:tr>
        <w:tc>
          <w:tcPr>
            <w:tcW w:type="dxa" w:w="1728"/>
          </w:tcPr>
          <w:p>
            <w:r>
              <w:rPr>
                <w:sz w:val="18"/>
              </w:rPr>
              <w:t>Controls vs tremor OFF</w:t>
            </w:r>
          </w:p>
        </w:tc>
        <w:tc>
          <w:tcPr>
            <w:tcW w:type="dxa" w:w="1728"/>
          </w:tcPr>
          <w:p>
            <w:r>
              <w:rPr>
                <w:sz w:val="18"/>
              </w:rPr>
              <w:t>18 v 11</w:t>
            </w:r>
          </w:p>
        </w:tc>
        <w:tc>
          <w:tcPr>
            <w:tcW w:type="dxa" w:w="1728"/>
          </w:tcPr>
          <w:p>
            <w:r>
              <w:rPr>
                <w:sz w:val="18"/>
              </w:rPr>
              <w:t>+0.385</w:t>
            </w:r>
          </w:p>
        </w:tc>
        <w:tc>
          <w:tcPr>
            <w:tcW w:type="dxa" w:w="1728"/>
          </w:tcPr>
          <w:p>
            <w:r>
              <w:rPr>
                <w:sz w:val="18"/>
              </w:rPr>
            </w:r>
          </w:p>
        </w:tc>
        <w:tc>
          <w:tcPr>
            <w:tcW w:type="dxa" w:w="1728"/>
          </w:tcPr>
          <w:p>
            <w:r>
              <w:rPr>
                <w:sz w:val="18"/>
              </w:rPr>
              <w:t>0.121</w:t>
            </w:r>
          </w:p>
        </w:tc>
      </w:tr>
      <w:tr>
        <w:tc>
          <w:tcPr>
            <w:tcW w:type="dxa" w:w="1728"/>
          </w:tcPr>
          <w:p>
            <w:r>
              <w:rPr>
                <w:sz w:val="18"/>
              </w:rPr>
              <w:t>Tremor vs bradykinesia medication effect</w:t>
            </w:r>
          </w:p>
        </w:tc>
        <w:tc>
          <w:tcPr>
            <w:tcW w:type="dxa" w:w="1728"/>
          </w:tcPr>
          <w:p>
            <w:r>
              <w:rPr>
                <w:sz w:val="18"/>
              </w:rPr>
              <w:t>11 v 10</w:t>
            </w:r>
          </w:p>
        </w:tc>
        <w:tc>
          <w:tcPr>
            <w:tcW w:type="dxa" w:w="1728"/>
          </w:tcPr>
          <w:p>
            <w:r>
              <w:rPr>
                <w:sz w:val="18"/>
              </w:rPr>
              <w:t>+0.574</w:t>
            </w:r>
          </w:p>
        </w:tc>
        <w:tc>
          <w:tcPr>
            <w:tcW w:type="dxa" w:w="1728"/>
          </w:tcPr>
          <w:p>
            <w:r>
              <w:rPr>
                <w:sz w:val="18"/>
              </w:rPr>
            </w:r>
          </w:p>
        </w:tc>
        <w:tc>
          <w:tcPr>
            <w:tcW w:type="dxa" w:w="1728"/>
          </w:tcPr>
          <w:p>
            <w:r>
              <w:rPr>
                <w:sz w:val="18"/>
              </w:rPr>
              <w:t>0.245</w:t>
            </w:r>
          </w:p>
        </w:tc>
      </w:tr>
    </w:tbl>
    <w:p>
      <w:pPr>
        <w:spacing w:after="40"/>
      </w:pPr>
    </w:p>
    <w:p>
      <w:pPr>
        <w:jc w:val="center"/>
      </w:pPr>
      <w:r>
        <w:drawing>
          <wp:inline xmlns:a="http://schemas.openxmlformats.org/drawingml/2006/main" xmlns:pic="http://schemas.openxmlformats.org/drawingml/2006/picture">
            <wp:extent cx="6035040" cy="1948523"/>
            <wp:docPr id="8" name="Picture 8"/>
            <wp:cNvGraphicFramePr>
              <a:graphicFrameLocks noChangeAspect="1"/>
            </wp:cNvGraphicFramePr>
            <a:graphic>
              <a:graphicData uri="http://schemas.openxmlformats.org/drawingml/2006/picture">
                <pic:pic>
                  <pic:nvPicPr>
                    <pic:cNvPr id="0" name="hmm_occupancy_weighted.png"/>
                    <pic:cNvPicPr/>
                  </pic:nvPicPr>
                  <pic:blipFill>
                    <a:blip r:embed="rId16"/>
                    <a:stretch>
                      <a:fillRect/>
                    </a:stretch>
                  </pic:blipFill>
                  <pic:spPr>
                    <a:xfrm>
                      <a:off x="0" y="0"/>
                      <a:ext cx="6035040" cy="1948523"/>
                    </a:xfrm>
                    <a:prstGeom prst="rect"/>
                  </pic:spPr>
                </pic:pic>
              </a:graphicData>
            </a:graphic>
          </wp:inline>
        </w:drawing>
      </w:r>
    </w:p>
    <w:p>
      <w:pPr>
        <w:spacing w:after="240"/>
        <w:jc w:val="center"/>
      </w:pPr>
      <w:r>
        <w:rPr>
          <w:i/>
          <w:sz w:val="18"/>
        </w:rPr>
        <w:t>Left: the continuous measure by group. Middle and right: paired OFF to ON changes per patient.</w:t>
      </w:r>
    </w:p>
    <w:p>
      <w:pPr>
        <w:spacing w:after="120"/>
      </w:pPr>
      <w:r>
        <w:rPr>
          <w:b/>
          <w:color w:val="8A3A12"/>
        </w:rPr>
        <w:t xml:space="preserve">How to read it:  </w:t>
      </w:r>
      <w:r>
        <w:t>This removes both problems with Figure 4e. There is no selection step, and the degenerate conditions disappear: the impressive p-values in the current Table 2 (0.0010 and 0.0020) came from groups where occupancy was identically zero for every session, which the analysis notebook already flagged. The medication effect in tremor patients is +0.587 log-odds, closely matching the mixed model's +0.531 on the same scale, and is not significant. Keep the thresholded occupancy figure as a descriptive panel if you wish, but not as evidence.</w:t>
      </w:r>
    </w:p>
    <w:p>
      <w:r>
        <w:br w:type="page"/>
      </w:r>
    </w:p>
    <w:p>
      <w:pPr>
        <w:pStyle w:val="Heading1"/>
      </w:pPr>
      <w:r>
        <w:t>Point 7. The three models agree about individual patients</w:t>
      </w:r>
    </w:p>
    <w:p>
      <w:pPr>
        <w:spacing w:after="120"/>
      </w:pPr>
      <w:r>
        <w:rPr>
          <w:b/>
          <w:color w:val="8A3A12"/>
        </w:rPr>
        <w:t xml:space="preserve">Asked:  </w:t>
      </w:r>
      <w:r>
        <w:t>Test whether participant-level mixed-model medication effects correlate with participant-level HMM changes, with bootstrap intervals, and whether DDM drift-offset changes align with them.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pair</w:t>
            </w:r>
          </w:p>
        </w:tc>
        <w:tc>
          <w:tcPr>
            <w:tcW w:type="dxa" w:w="1728"/>
          </w:tcPr>
          <w:p>
            <w:r>
              <w:rPr>
                <w:b/>
                <w:sz w:val="18"/>
              </w:rPr>
              <w:t>n</w:t>
            </w:r>
          </w:p>
        </w:tc>
        <w:tc>
          <w:tcPr>
            <w:tcW w:type="dxa" w:w="1728"/>
          </w:tcPr>
          <w:p>
            <w:r>
              <w:rPr>
                <w:b/>
                <w:sz w:val="18"/>
              </w:rPr>
              <w:t>rho</w:t>
            </w:r>
          </w:p>
        </w:tc>
        <w:tc>
          <w:tcPr>
            <w:tcW w:type="dxa" w:w="1728"/>
          </w:tcPr>
          <w:p>
            <w:r>
              <w:rPr>
                <w:b/>
                <w:sz w:val="18"/>
              </w:rPr>
              <w:t>2.5%</w:t>
            </w:r>
          </w:p>
        </w:tc>
        <w:tc>
          <w:tcPr>
            <w:tcW w:type="dxa" w:w="1728"/>
          </w:tcPr>
          <w:p>
            <w:r>
              <w:rPr>
                <w:b/>
                <w:sz w:val="18"/>
              </w:rPr>
              <w:t>97.5%</w:t>
            </w:r>
          </w:p>
        </w:tc>
      </w:tr>
      <w:tr>
        <w:tc>
          <w:tcPr>
            <w:tcW w:type="dxa" w:w="1728"/>
          </w:tcPr>
          <w:p>
            <w:r>
              <w:rPr>
                <w:sz w:val="18"/>
              </w:rPr>
              <w:t>mixed_model vs glm_hmm</w:t>
            </w:r>
          </w:p>
        </w:tc>
        <w:tc>
          <w:tcPr>
            <w:tcW w:type="dxa" w:w="1728"/>
          </w:tcPr>
          <w:p>
            <w:r>
              <w:rPr>
                <w:sz w:val="18"/>
              </w:rPr>
              <w:t>21</w:t>
            </w:r>
          </w:p>
        </w:tc>
        <w:tc>
          <w:tcPr>
            <w:tcW w:type="dxa" w:w="1728"/>
          </w:tcPr>
          <w:p>
            <w:r>
              <w:rPr>
                <w:sz w:val="18"/>
              </w:rPr>
              <w:t>0.977</w:t>
            </w:r>
          </w:p>
        </w:tc>
        <w:tc>
          <w:tcPr>
            <w:tcW w:type="dxa" w:w="1728"/>
          </w:tcPr>
          <w:p>
            <w:r>
              <w:rPr>
                <w:sz w:val="18"/>
              </w:rPr>
              <w:t>0.893</w:t>
            </w:r>
          </w:p>
        </w:tc>
        <w:tc>
          <w:tcPr>
            <w:tcW w:type="dxa" w:w="1728"/>
          </w:tcPr>
          <w:p>
            <w:r>
              <w:rPr>
                <w:sz w:val="18"/>
              </w:rPr>
              <w:t>0.999</w:t>
            </w:r>
          </w:p>
        </w:tc>
      </w:tr>
      <w:tr>
        <w:tc>
          <w:tcPr>
            <w:tcW w:type="dxa" w:w="1728"/>
          </w:tcPr>
          <w:p>
            <w:r>
              <w:rPr>
                <w:sz w:val="18"/>
              </w:rPr>
              <w:t>mixed_model vs ddm</w:t>
            </w:r>
          </w:p>
        </w:tc>
        <w:tc>
          <w:tcPr>
            <w:tcW w:type="dxa" w:w="1728"/>
          </w:tcPr>
          <w:p>
            <w:r>
              <w:rPr>
                <w:sz w:val="18"/>
              </w:rPr>
              <w:t>21</w:t>
            </w:r>
          </w:p>
        </w:tc>
        <w:tc>
          <w:tcPr>
            <w:tcW w:type="dxa" w:w="1728"/>
          </w:tcPr>
          <w:p>
            <w:r>
              <w:rPr>
                <w:sz w:val="18"/>
              </w:rPr>
              <w:t>0.852</w:t>
            </w:r>
          </w:p>
        </w:tc>
        <w:tc>
          <w:tcPr>
            <w:tcW w:type="dxa" w:w="1728"/>
          </w:tcPr>
          <w:p>
            <w:r>
              <w:rPr>
                <w:sz w:val="18"/>
              </w:rPr>
              <w:t>0.614</w:t>
            </w:r>
          </w:p>
        </w:tc>
        <w:tc>
          <w:tcPr>
            <w:tcW w:type="dxa" w:w="1728"/>
          </w:tcPr>
          <w:p>
            <w:r>
              <w:rPr>
                <w:sz w:val="18"/>
              </w:rPr>
              <w:t>0.955</w:t>
            </w:r>
          </w:p>
        </w:tc>
      </w:tr>
      <w:tr>
        <w:tc>
          <w:tcPr>
            <w:tcW w:type="dxa" w:w="1728"/>
          </w:tcPr>
          <w:p>
            <w:r>
              <w:rPr>
                <w:sz w:val="18"/>
              </w:rPr>
              <w:t>glm_hmm vs ddm</w:t>
            </w:r>
          </w:p>
        </w:tc>
        <w:tc>
          <w:tcPr>
            <w:tcW w:type="dxa" w:w="1728"/>
          </w:tcPr>
          <w:p>
            <w:r>
              <w:rPr>
                <w:sz w:val="18"/>
              </w:rPr>
              <w:t>21</w:t>
            </w:r>
          </w:p>
        </w:tc>
        <w:tc>
          <w:tcPr>
            <w:tcW w:type="dxa" w:w="1728"/>
          </w:tcPr>
          <w:p>
            <w:r>
              <w:rPr>
                <w:sz w:val="18"/>
              </w:rPr>
              <w:t>0.826</w:t>
            </w:r>
          </w:p>
        </w:tc>
        <w:tc>
          <w:tcPr>
            <w:tcW w:type="dxa" w:w="1728"/>
          </w:tcPr>
          <w:p>
            <w:r>
              <w:rPr>
                <w:sz w:val="18"/>
              </w:rPr>
              <w:t>0.545</w:t>
            </w:r>
          </w:p>
        </w:tc>
        <w:tc>
          <w:tcPr>
            <w:tcW w:type="dxa" w:w="1728"/>
          </w:tcPr>
          <w:p>
            <w:r>
              <w:rPr>
                <w:sz w:val="18"/>
              </w:rPr>
              <w:t>0.940</w:t>
            </w:r>
          </w:p>
        </w:tc>
      </w:tr>
    </w:tbl>
    <w:p>
      <w:pPr>
        <w:spacing w:after="40"/>
      </w:pPr>
    </w:p>
    <w:p>
      <w:pPr>
        <w:jc w:val="center"/>
      </w:pPr>
      <w:r>
        <w:drawing>
          <wp:inline xmlns:a="http://schemas.openxmlformats.org/drawingml/2006/main" xmlns:pic="http://schemas.openxmlformats.org/drawingml/2006/picture">
            <wp:extent cx="6035040" cy="1911096"/>
            <wp:docPr id="9" name="Picture 9"/>
            <wp:cNvGraphicFramePr>
              <a:graphicFrameLocks noChangeAspect="1"/>
            </wp:cNvGraphicFramePr>
            <a:graphic>
              <a:graphicData uri="http://schemas.openxmlformats.org/drawingml/2006/picture">
                <pic:pic>
                  <pic:nvPicPr>
                    <pic:cNvPr id="0" name="cross_model_convergence.png"/>
                    <pic:cNvPicPr/>
                  </pic:nvPicPr>
                  <pic:blipFill>
                    <a:blip r:embed="rId17"/>
                    <a:stretch>
                      <a:fillRect/>
                    </a:stretch>
                  </pic:blipFill>
                  <pic:spPr>
                    <a:xfrm>
                      <a:off x="0" y="0"/>
                      <a:ext cx="6035040" cy="1911096"/>
                    </a:xfrm>
                    <a:prstGeom prst="rect"/>
                  </pic:spPr>
                </pic:pic>
              </a:graphicData>
            </a:graphic>
          </wp:inline>
        </w:drawing>
      </w:r>
    </w:p>
    <w:p>
      <w:pPr>
        <w:spacing w:after="240"/>
        <w:jc w:val="center"/>
      </w:pPr>
      <w:r>
        <w:rPr>
          <w:i/>
          <w:sz w:val="18"/>
        </w:rPr>
        <w:t>Participant-level OFF to ON medication effects from the three models, 21 patients.</w:t>
      </w:r>
    </w:p>
    <w:p>
      <w:pPr>
        <w:spacing w:after="120"/>
      </w:pPr>
      <w:r>
        <w:rPr>
          <w:b/>
          <w:color w:val="8A3A12"/>
        </w:rPr>
        <w:t xml:space="preserve">How to read it:  </w:t>
      </w:r>
      <w:r>
        <w:t>All three agree closely, and each interval excludes zero. The correlation between the mixed model and the GLM-HMM, 0.98, is close to tautological, because both measure how much more the colour biases that patient's choices ON versus OFF, from the same trials. It confirms the implementations agree; it is not independent evidence.</w:t>
      </w:r>
    </w:p>
    <w:p>
      <w:pPr>
        <w:spacing w:after="120"/>
      </w:pPr>
      <w:r>
        <w:rPr>
          <w:b/>
          <w:color w:val="8A3A12"/>
        </w:rPr>
        <w:t xml:space="preserve">The informative one:  </w:t>
      </w:r>
      <w:r>
        <w:t>The DDM, at rho = 0.85 with the mixed model (95% CI 0.61 to 0.96), is a different model class fitted to reaction times as well as choices, and it holds in both subtypes separately (0.92 and 0.95). That supports the claim that the three analyses describe one mechanism rather than three unrelated quantities.</w:t>
      </w:r>
    </w:p>
    <w:p>
      <w:r>
        <w:br w:type="page"/>
      </w:r>
    </w:p>
    <w:p>
      <w:pPr>
        <w:pStyle w:val="Heading1"/>
      </w:pPr>
      <w:r>
        <w:t>Point 8. The effect is not a colour artifact, but colour does matter</w:t>
      </w:r>
    </w:p>
    <w:p>
      <w:pPr>
        <w:spacing w:after="120"/>
      </w:pPr>
      <w:r>
        <w:rPr>
          <w:b/>
          <w:color w:val="8A3A12"/>
        </w:rPr>
        <w:t xml:space="preserve">Asked:  </w:t>
      </w:r>
      <w:r>
        <w:t>Because the prior is signalled by red versus green, quantify whether counterbalancing removes colour and mapping effects, and test colour assignment x medication and colour assignment x subtype interactions.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Assignment</w:t>
            </w:r>
          </w:p>
        </w:tc>
        <w:tc>
          <w:tcPr>
            <w:tcW w:type="dxa" w:w="2880"/>
          </w:tcPr>
          <w:p>
            <w:r>
              <w:rPr>
                <w:b/>
                <w:sz w:val="18"/>
              </w:rPr>
              <w:t>vs medication (Fisher p)</w:t>
            </w:r>
          </w:p>
        </w:tc>
        <w:tc>
          <w:tcPr>
            <w:tcW w:type="dxa" w:w="2880"/>
          </w:tcPr>
          <w:p>
            <w:r>
              <w:rPr>
                <w:b/>
                <w:sz w:val="18"/>
              </w:rPr>
              <w:t>vs subtype (Fisher p)</w:t>
            </w:r>
          </w:p>
        </w:tc>
      </w:tr>
      <w:tr>
        <w:tc>
          <w:tcPr>
            <w:tcW w:type="dxa" w:w="2880"/>
          </w:tcPr>
          <w:p>
            <w:r>
              <w:rPr>
                <w:sz w:val="18"/>
              </w:rPr>
              <w:t>Prior colour (red / green)</w:t>
            </w:r>
          </w:p>
        </w:tc>
        <w:tc>
          <w:tcPr>
            <w:tcW w:type="dxa" w:w="2880"/>
          </w:tcPr>
          <w:p>
            <w:r>
              <w:rPr>
                <w:sz w:val="18"/>
              </w:rPr>
              <w:t>0.758</w:t>
            </w:r>
          </w:p>
        </w:tc>
        <w:tc>
          <w:tcPr>
            <w:tcW w:type="dxa" w:w="2880"/>
          </w:tcPr>
          <w:p>
            <w:r>
              <w:rPr>
                <w:sz w:val="18"/>
              </w:rPr>
              <w:t>0.374</w:t>
            </w:r>
          </w:p>
        </w:tc>
      </w:tr>
      <w:tr>
        <w:tc>
          <w:tcPr>
            <w:tcW w:type="dxa" w:w="2880"/>
          </w:tcPr>
          <w:p>
            <w:r>
              <w:rPr>
                <w:sz w:val="18"/>
              </w:rPr>
              <w:t>Prior direction (left / right)</w:t>
            </w:r>
          </w:p>
        </w:tc>
        <w:tc>
          <w:tcPr>
            <w:tcW w:type="dxa" w:w="2880"/>
          </w:tcPr>
          <w:p>
            <w:r>
              <w:rPr>
                <w:sz w:val="18"/>
              </w:rPr>
              <w:t>1.000</w:t>
            </w:r>
          </w:p>
        </w:tc>
        <w:tc>
          <w:tcPr>
            <w:tcW w:type="dxa" w:w="2880"/>
          </w:tcPr>
          <w:p>
            <w:r>
              <w:rPr>
                <w:sz w:val="18"/>
              </w:rPr>
              <w:t>1.000</w:t>
            </w:r>
          </w:p>
        </w:tc>
      </w:tr>
    </w:tbl>
    <w:p>
      <w:pPr>
        <w:spacing w:after="40"/>
      </w:pP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term</w:t>
            </w:r>
          </w:p>
        </w:tc>
        <w:tc>
          <w:tcPr>
            <w:tcW w:type="dxa" w:w="1440"/>
          </w:tcPr>
          <w:p>
            <w:r>
              <w:rPr>
                <w:b/>
                <w:sz w:val="18"/>
              </w:rPr>
              <w:t>mean</w:t>
            </w:r>
          </w:p>
        </w:tc>
        <w:tc>
          <w:tcPr>
            <w:tcW w:type="dxa" w:w="1440"/>
          </w:tcPr>
          <w:p>
            <w:r>
              <w:rPr>
                <w:b/>
                <w:sz w:val="18"/>
              </w:rPr>
              <w:t>2.5%</w:t>
            </w:r>
          </w:p>
        </w:tc>
        <w:tc>
          <w:tcPr>
            <w:tcW w:type="dxa" w:w="1440"/>
          </w:tcPr>
          <w:p>
            <w:r>
              <w:rPr>
                <w:b/>
                <w:sz w:val="18"/>
              </w:rPr>
              <w:t>97.5%</w:t>
            </w:r>
          </w:p>
        </w:tc>
        <w:tc>
          <w:tcPr>
            <w:tcW w:type="dxa" w:w="1440"/>
          </w:tcPr>
          <w:p>
            <w:r>
              <w:rPr>
                <w:b/>
                <w:sz w:val="18"/>
              </w:rPr>
              <w:t>P(&gt; 0)</w:t>
            </w:r>
          </w:p>
        </w:tc>
      </w:tr>
      <w:tr>
        <w:tc>
          <w:tcPr>
            <w:tcW w:type="dxa" w:w="1440"/>
          </w:tcPr>
          <w:p>
            <w:r>
              <w:rPr>
                <w:sz w:val="18"/>
              </w:rPr>
              <w:t>colour assignment</w:t>
            </w:r>
          </w:p>
        </w:tc>
        <w:tc>
          <w:tcPr>
            <w:tcW w:type="dxa" w:w="1440"/>
          </w:tcPr>
          <w:p>
            <w:r>
              <w:rPr>
                <w:sz w:val="18"/>
              </w:rPr>
              <w:t>col:med</w:t>
            </w:r>
          </w:p>
        </w:tc>
        <w:tc>
          <w:tcPr>
            <w:tcW w:type="dxa" w:w="1440"/>
          </w:tcPr>
          <w:p>
            <w:r>
              <w:rPr>
                <w:sz w:val="18"/>
              </w:rPr>
              <w:t>0.252</w:t>
            </w:r>
          </w:p>
        </w:tc>
        <w:tc>
          <w:tcPr>
            <w:tcW w:type="dxa" w:w="1440"/>
          </w:tcPr>
          <w:p>
            <w:r>
              <w:rPr>
                <w:sz w:val="18"/>
              </w:rPr>
              <w:t>-0.097</w:t>
            </w:r>
          </w:p>
        </w:tc>
        <w:tc>
          <w:tcPr>
            <w:tcW w:type="dxa" w:w="1440"/>
          </w:tcPr>
          <w:p>
            <w:r>
              <w:rPr>
                <w:sz w:val="18"/>
              </w:rPr>
              <w:t>0.582</w:t>
            </w:r>
          </w:p>
        </w:tc>
        <w:tc>
          <w:tcPr>
            <w:tcW w:type="dxa" w:w="1440"/>
          </w:tcPr>
          <w:p>
            <w:r>
              <w:rPr>
                <w:sz w:val="18"/>
              </w:rPr>
              <w:t>0.928</w:t>
            </w:r>
          </w:p>
        </w:tc>
      </w:tr>
      <w:tr>
        <w:tc>
          <w:tcPr>
            <w:tcW w:type="dxa" w:w="1440"/>
          </w:tcPr>
          <w:p>
            <w:r>
              <w:rPr>
                <w:sz w:val="18"/>
              </w:rPr>
              <w:t>colour assignment</w:t>
            </w:r>
          </w:p>
        </w:tc>
        <w:tc>
          <w:tcPr>
            <w:tcW w:type="dxa" w:w="1440"/>
          </w:tcPr>
          <w:p>
            <w:r>
              <w:rPr>
                <w:sz w:val="18"/>
              </w:rPr>
              <w:t>assign:col</w:t>
            </w:r>
          </w:p>
        </w:tc>
        <w:tc>
          <w:tcPr>
            <w:tcW w:type="dxa" w:w="1440"/>
          </w:tcPr>
          <w:p>
            <w:r>
              <w:rPr>
                <w:sz w:val="18"/>
              </w:rPr>
              <w:t>-0.473</w:t>
            </w:r>
          </w:p>
        </w:tc>
        <w:tc>
          <w:tcPr>
            <w:tcW w:type="dxa" w:w="1440"/>
          </w:tcPr>
          <w:p>
            <w:r>
              <w:rPr>
                <w:sz w:val="18"/>
              </w:rPr>
              <w:t>-0.812</w:t>
            </w:r>
          </w:p>
        </w:tc>
        <w:tc>
          <w:tcPr>
            <w:tcW w:type="dxa" w:w="1440"/>
          </w:tcPr>
          <w:p>
            <w:r>
              <w:rPr>
                <w:sz w:val="18"/>
              </w:rPr>
              <w:t>-0.125</w:t>
            </w:r>
          </w:p>
        </w:tc>
        <w:tc>
          <w:tcPr>
            <w:tcW w:type="dxa" w:w="1440"/>
          </w:tcPr>
          <w:p>
            <w:r>
              <w:rPr>
                <w:sz w:val="18"/>
              </w:rPr>
              <w:t>0.004</w:t>
            </w:r>
          </w:p>
        </w:tc>
      </w:tr>
      <w:tr>
        <w:tc>
          <w:tcPr>
            <w:tcW w:type="dxa" w:w="1440"/>
          </w:tcPr>
          <w:p>
            <w:r>
              <w:rPr>
                <w:sz w:val="18"/>
              </w:rPr>
              <w:t>colour assignment</w:t>
            </w:r>
          </w:p>
        </w:tc>
        <w:tc>
          <w:tcPr>
            <w:tcW w:type="dxa" w:w="1440"/>
          </w:tcPr>
          <w:p>
            <w:r>
              <w:rPr>
                <w:sz w:val="18"/>
              </w:rPr>
              <w:t>assign:col:med</w:t>
            </w:r>
          </w:p>
        </w:tc>
        <w:tc>
          <w:tcPr>
            <w:tcW w:type="dxa" w:w="1440"/>
          </w:tcPr>
          <w:p>
            <w:r>
              <w:rPr>
                <w:sz w:val="18"/>
              </w:rPr>
              <w:t>-0.088</w:t>
            </w:r>
          </w:p>
        </w:tc>
        <w:tc>
          <w:tcPr>
            <w:tcW w:type="dxa" w:w="1440"/>
          </w:tcPr>
          <w:p>
            <w:r>
              <w:rPr>
                <w:sz w:val="18"/>
              </w:rPr>
              <w:t>-0.744</w:t>
            </w:r>
          </w:p>
        </w:tc>
        <w:tc>
          <w:tcPr>
            <w:tcW w:type="dxa" w:w="1440"/>
          </w:tcPr>
          <w:p>
            <w:r>
              <w:rPr>
                <w:sz w:val="18"/>
              </w:rPr>
              <w:t>0.554</w:t>
            </w:r>
          </w:p>
        </w:tc>
        <w:tc>
          <w:tcPr>
            <w:tcW w:type="dxa" w:w="1440"/>
          </w:tcPr>
          <w:p>
            <w:r>
              <w:rPr>
                <w:sz w:val="18"/>
              </w:rPr>
              <w:t>0.399</w:t>
            </w:r>
          </w:p>
        </w:tc>
      </w:tr>
      <w:tr>
        <w:tc>
          <w:tcPr>
            <w:tcW w:type="dxa" w:w="1440"/>
          </w:tcPr>
          <w:p>
            <w:r>
              <w:rPr>
                <w:sz w:val="18"/>
              </w:rPr>
              <w:t>colour assignment x subtype</w:t>
            </w:r>
          </w:p>
        </w:tc>
        <w:tc>
          <w:tcPr>
            <w:tcW w:type="dxa" w:w="1440"/>
          </w:tcPr>
          <w:p>
            <w:r>
              <w:rPr>
                <w:sz w:val="18"/>
              </w:rPr>
              <w:t>col:med</w:t>
            </w:r>
          </w:p>
        </w:tc>
        <w:tc>
          <w:tcPr>
            <w:tcW w:type="dxa" w:w="1440"/>
          </w:tcPr>
          <w:p>
            <w:r>
              <w:rPr>
                <w:sz w:val="18"/>
              </w:rPr>
              <w:t>0.257</w:t>
            </w:r>
          </w:p>
        </w:tc>
        <w:tc>
          <w:tcPr>
            <w:tcW w:type="dxa" w:w="1440"/>
          </w:tcPr>
          <w:p>
            <w:r>
              <w:rPr>
                <w:sz w:val="18"/>
              </w:rPr>
              <w:t>-0.080</w:t>
            </w:r>
          </w:p>
        </w:tc>
        <w:tc>
          <w:tcPr>
            <w:tcW w:type="dxa" w:w="1440"/>
          </w:tcPr>
          <w:p>
            <w:r>
              <w:rPr>
                <w:sz w:val="18"/>
              </w:rPr>
              <w:t>0.608</w:t>
            </w:r>
          </w:p>
        </w:tc>
        <w:tc>
          <w:tcPr>
            <w:tcW w:type="dxa" w:w="1440"/>
          </w:tcPr>
          <w:p>
            <w:r>
              <w:rPr>
                <w:sz w:val="18"/>
              </w:rPr>
              <w:t>0.936</w:t>
            </w:r>
          </w:p>
        </w:tc>
      </w:tr>
      <w:tr>
        <w:tc>
          <w:tcPr>
            <w:tcW w:type="dxa" w:w="1440"/>
          </w:tcPr>
          <w:p>
            <w:r>
              <w:rPr>
                <w:sz w:val="18"/>
              </w:rPr>
              <w:t>colour assignment x subtype</w:t>
            </w:r>
          </w:p>
        </w:tc>
        <w:tc>
          <w:tcPr>
            <w:tcW w:type="dxa" w:w="1440"/>
          </w:tcPr>
          <w:p>
            <w:r>
              <w:rPr>
                <w:sz w:val="18"/>
              </w:rPr>
              <w:t>assign:col</w:t>
            </w:r>
          </w:p>
        </w:tc>
        <w:tc>
          <w:tcPr>
            <w:tcW w:type="dxa" w:w="1440"/>
          </w:tcPr>
          <w:p>
            <w:r>
              <w:rPr>
                <w:sz w:val="18"/>
              </w:rPr>
              <w:t>-0.445</w:t>
            </w:r>
          </w:p>
        </w:tc>
        <w:tc>
          <w:tcPr>
            <w:tcW w:type="dxa" w:w="1440"/>
          </w:tcPr>
          <w:p>
            <w:r>
              <w:rPr>
                <w:sz w:val="18"/>
              </w:rPr>
              <w:t>-0.794</w:t>
            </w:r>
          </w:p>
        </w:tc>
        <w:tc>
          <w:tcPr>
            <w:tcW w:type="dxa" w:w="1440"/>
          </w:tcPr>
          <w:p>
            <w:r>
              <w:rPr>
                <w:sz w:val="18"/>
              </w:rPr>
              <w:t>-0.098</w:t>
            </w:r>
          </w:p>
        </w:tc>
        <w:tc>
          <w:tcPr>
            <w:tcW w:type="dxa" w:w="1440"/>
          </w:tcPr>
          <w:p>
            <w:r>
              <w:rPr>
                <w:sz w:val="18"/>
              </w:rPr>
              <w:t>0.006</w:t>
            </w:r>
          </w:p>
        </w:tc>
      </w:tr>
      <w:tr>
        <w:tc>
          <w:tcPr>
            <w:tcW w:type="dxa" w:w="1440"/>
          </w:tcPr>
          <w:p>
            <w:r>
              <w:rPr>
                <w:sz w:val="18"/>
              </w:rPr>
              <w:t>colour assignment x subtype</w:t>
            </w:r>
          </w:p>
        </w:tc>
        <w:tc>
          <w:tcPr>
            <w:tcW w:type="dxa" w:w="1440"/>
          </w:tcPr>
          <w:p>
            <w:r>
              <w:rPr>
                <w:sz w:val="18"/>
              </w:rPr>
              <w:t>assign:col:med</w:t>
            </w:r>
          </w:p>
        </w:tc>
        <w:tc>
          <w:tcPr>
            <w:tcW w:type="dxa" w:w="1440"/>
          </w:tcPr>
          <w:p>
            <w:r>
              <w:rPr>
                <w:sz w:val="18"/>
              </w:rPr>
              <w:t>-0.024</w:t>
            </w:r>
          </w:p>
        </w:tc>
        <w:tc>
          <w:tcPr>
            <w:tcW w:type="dxa" w:w="1440"/>
          </w:tcPr>
          <w:p>
            <w:r>
              <w:rPr>
                <w:sz w:val="18"/>
              </w:rPr>
              <w:t>-0.714</w:t>
            </w:r>
          </w:p>
        </w:tc>
        <w:tc>
          <w:tcPr>
            <w:tcW w:type="dxa" w:w="1440"/>
          </w:tcPr>
          <w:p>
            <w:r>
              <w:rPr>
                <w:sz w:val="18"/>
              </w:rPr>
              <w:t>0.650</w:t>
            </w:r>
          </w:p>
        </w:tc>
        <w:tc>
          <w:tcPr>
            <w:tcW w:type="dxa" w:w="1440"/>
          </w:tcPr>
          <w:p>
            <w:r>
              <w:rPr>
                <w:sz w:val="18"/>
              </w:rPr>
              <w:t>0.484</w:t>
            </w:r>
          </w:p>
        </w:tc>
      </w:tr>
      <w:tr>
        <w:tc>
          <w:tcPr>
            <w:tcW w:type="dxa" w:w="1440"/>
          </w:tcPr>
          <w:p>
            <w:r>
              <w:rPr>
                <w:sz w:val="18"/>
              </w:rPr>
              <w:t>colour assignment x subtype</w:t>
            </w:r>
          </w:p>
        </w:tc>
        <w:tc>
          <w:tcPr>
            <w:tcW w:type="dxa" w:w="1440"/>
          </w:tcPr>
          <w:p>
            <w:r>
              <w:rPr>
                <w:sz w:val="18"/>
              </w:rPr>
              <w:t>sub:col:med</w:t>
            </w:r>
          </w:p>
        </w:tc>
        <w:tc>
          <w:tcPr>
            <w:tcW w:type="dxa" w:w="1440"/>
          </w:tcPr>
          <w:p>
            <w:r>
              <w:rPr>
                <w:sz w:val="18"/>
              </w:rPr>
              <w:t>0.400</w:t>
            </w:r>
          </w:p>
        </w:tc>
        <w:tc>
          <w:tcPr>
            <w:tcW w:type="dxa" w:w="1440"/>
          </w:tcPr>
          <w:p>
            <w:r>
              <w:rPr>
                <w:sz w:val="18"/>
              </w:rPr>
              <w:t>-0.289</w:t>
            </w:r>
          </w:p>
        </w:tc>
        <w:tc>
          <w:tcPr>
            <w:tcW w:type="dxa" w:w="1440"/>
          </w:tcPr>
          <w:p>
            <w:r>
              <w:rPr>
                <w:sz w:val="18"/>
              </w:rPr>
              <w:t>1.099</w:t>
            </w:r>
          </w:p>
        </w:tc>
        <w:tc>
          <w:tcPr>
            <w:tcW w:type="dxa" w:w="1440"/>
          </w:tcPr>
          <w:p>
            <w:r>
              <w:rPr>
                <w:sz w:val="18"/>
              </w:rPr>
              <w:t>0.878</w:t>
            </w:r>
          </w:p>
        </w:tc>
      </w:tr>
      <w:tr>
        <w:tc>
          <w:tcPr>
            <w:tcW w:type="dxa" w:w="1440"/>
          </w:tcPr>
          <w:p>
            <w:r>
              <w:rPr>
                <w:sz w:val="18"/>
              </w:rPr>
              <w:t>colour assignment x subtype</w:t>
            </w:r>
          </w:p>
        </w:tc>
        <w:tc>
          <w:tcPr>
            <w:tcW w:type="dxa" w:w="1440"/>
          </w:tcPr>
          <w:p>
            <w:r>
              <w:rPr>
                <w:sz w:val="18"/>
              </w:rPr>
              <w:t>sub:assign:col</w:t>
            </w:r>
          </w:p>
        </w:tc>
        <w:tc>
          <w:tcPr>
            <w:tcW w:type="dxa" w:w="1440"/>
          </w:tcPr>
          <w:p>
            <w:r>
              <w:rPr>
                <w:sz w:val="18"/>
              </w:rPr>
              <w:t>0.007</w:t>
            </w:r>
          </w:p>
        </w:tc>
        <w:tc>
          <w:tcPr>
            <w:tcW w:type="dxa" w:w="1440"/>
          </w:tcPr>
          <w:p>
            <w:r>
              <w:rPr>
                <w:sz w:val="18"/>
              </w:rPr>
              <w:t>-0.678</w:t>
            </w:r>
          </w:p>
        </w:tc>
        <w:tc>
          <w:tcPr>
            <w:tcW w:type="dxa" w:w="1440"/>
          </w:tcPr>
          <w:p>
            <w:r>
              <w:rPr>
                <w:sz w:val="18"/>
              </w:rPr>
              <w:t>0.680</w:t>
            </w:r>
          </w:p>
        </w:tc>
        <w:tc>
          <w:tcPr>
            <w:tcW w:type="dxa" w:w="1440"/>
          </w:tcPr>
          <w:p>
            <w:r>
              <w:rPr>
                <w:sz w:val="18"/>
              </w:rPr>
              <w:t>0.508</w:t>
            </w:r>
          </w:p>
        </w:tc>
      </w:tr>
      <w:tr>
        <w:tc>
          <w:tcPr>
            <w:tcW w:type="dxa" w:w="1440"/>
          </w:tcPr>
          <w:p>
            <w:r>
              <w:rPr>
                <w:sz w:val="18"/>
              </w:rPr>
              <w:t>prior direction</w:t>
            </w:r>
          </w:p>
        </w:tc>
        <w:tc>
          <w:tcPr>
            <w:tcW w:type="dxa" w:w="1440"/>
          </w:tcPr>
          <w:p>
            <w:r>
              <w:rPr>
                <w:sz w:val="18"/>
              </w:rPr>
              <w:t>col:med</w:t>
            </w:r>
          </w:p>
        </w:tc>
        <w:tc>
          <w:tcPr>
            <w:tcW w:type="dxa" w:w="1440"/>
          </w:tcPr>
          <w:p>
            <w:r>
              <w:rPr>
                <w:sz w:val="18"/>
              </w:rPr>
              <w:t>0.309</w:t>
            </w:r>
          </w:p>
        </w:tc>
        <w:tc>
          <w:tcPr>
            <w:tcW w:type="dxa" w:w="1440"/>
          </w:tcPr>
          <w:p>
            <w:r>
              <w:rPr>
                <w:sz w:val="18"/>
              </w:rPr>
              <w:t>-0.043</w:t>
            </w:r>
          </w:p>
        </w:tc>
        <w:tc>
          <w:tcPr>
            <w:tcW w:type="dxa" w:w="1440"/>
          </w:tcPr>
          <w:p>
            <w:r>
              <w:rPr>
                <w:sz w:val="18"/>
              </w:rPr>
              <w:t>0.684</w:t>
            </w:r>
          </w:p>
        </w:tc>
        <w:tc>
          <w:tcPr>
            <w:tcW w:type="dxa" w:w="1440"/>
          </w:tcPr>
          <w:p>
            <w:r>
              <w:rPr>
                <w:sz w:val="18"/>
              </w:rPr>
              <w:t>0.955</w:t>
            </w:r>
          </w:p>
        </w:tc>
      </w:tr>
      <w:tr>
        <w:tc>
          <w:tcPr>
            <w:tcW w:type="dxa" w:w="1440"/>
          </w:tcPr>
          <w:p>
            <w:r>
              <w:rPr>
                <w:sz w:val="18"/>
              </w:rPr>
              <w:t>prior direction</w:t>
            </w:r>
          </w:p>
        </w:tc>
        <w:tc>
          <w:tcPr>
            <w:tcW w:type="dxa" w:w="1440"/>
          </w:tcPr>
          <w:p>
            <w:r>
              <w:rPr>
                <w:sz w:val="18"/>
              </w:rPr>
              <w:t>assign:col</w:t>
            </w:r>
          </w:p>
        </w:tc>
        <w:tc>
          <w:tcPr>
            <w:tcW w:type="dxa" w:w="1440"/>
          </w:tcPr>
          <w:p>
            <w:r>
              <w:rPr>
                <w:sz w:val="18"/>
              </w:rPr>
              <w:t>0.018</w:t>
            </w:r>
          </w:p>
        </w:tc>
        <w:tc>
          <w:tcPr>
            <w:tcW w:type="dxa" w:w="1440"/>
          </w:tcPr>
          <w:p>
            <w:r>
              <w:rPr>
                <w:sz w:val="18"/>
              </w:rPr>
              <w:t>-0.335</w:t>
            </w:r>
          </w:p>
        </w:tc>
        <w:tc>
          <w:tcPr>
            <w:tcW w:type="dxa" w:w="1440"/>
          </w:tcPr>
          <w:p>
            <w:r>
              <w:rPr>
                <w:sz w:val="18"/>
              </w:rPr>
              <w:t>0.370</w:t>
            </w:r>
          </w:p>
        </w:tc>
        <w:tc>
          <w:tcPr>
            <w:tcW w:type="dxa" w:w="1440"/>
          </w:tcPr>
          <w:p>
            <w:r>
              <w:rPr>
                <w:sz w:val="18"/>
              </w:rPr>
              <w:t>0.546</w:t>
            </w:r>
          </w:p>
        </w:tc>
      </w:tr>
      <w:tr>
        <w:tc>
          <w:tcPr>
            <w:tcW w:type="dxa" w:w="1440"/>
          </w:tcPr>
          <w:p>
            <w:r>
              <w:rPr>
                <w:sz w:val="18"/>
              </w:rPr>
              <w:t>prior direction</w:t>
            </w:r>
          </w:p>
        </w:tc>
        <w:tc>
          <w:tcPr>
            <w:tcW w:type="dxa" w:w="1440"/>
          </w:tcPr>
          <w:p>
            <w:r>
              <w:rPr>
                <w:sz w:val="18"/>
              </w:rPr>
              <w:t>assign:col:med</w:t>
            </w:r>
          </w:p>
        </w:tc>
        <w:tc>
          <w:tcPr>
            <w:tcW w:type="dxa" w:w="1440"/>
          </w:tcPr>
          <w:p>
            <w:r>
              <w:rPr>
                <w:sz w:val="18"/>
              </w:rPr>
              <w:t>0.196</w:t>
            </w:r>
          </w:p>
        </w:tc>
        <w:tc>
          <w:tcPr>
            <w:tcW w:type="dxa" w:w="1440"/>
          </w:tcPr>
          <w:p>
            <w:r>
              <w:rPr>
                <w:sz w:val="18"/>
              </w:rPr>
              <w:t>-0.560</w:t>
            </w:r>
          </w:p>
        </w:tc>
        <w:tc>
          <w:tcPr>
            <w:tcW w:type="dxa" w:w="1440"/>
          </w:tcPr>
          <w:p>
            <w:r>
              <w:rPr>
                <w:sz w:val="18"/>
              </w:rPr>
              <w:t>0.934</w:t>
            </w:r>
          </w:p>
        </w:tc>
        <w:tc>
          <w:tcPr>
            <w:tcW w:type="dxa" w:w="1440"/>
          </w:tcPr>
          <w:p>
            <w:r>
              <w:rPr>
                <w:sz w:val="18"/>
              </w:rPr>
              <w:t>0.699</w:t>
            </w:r>
          </w:p>
        </w:tc>
      </w:tr>
    </w:tbl>
    <w:p>
      <w:pPr>
        <w:spacing w:after="40"/>
      </w:pPr>
    </w:p>
    <w:p>
      <w:pPr>
        <w:spacing w:after="120"/>
      </w:pPr>
      <w:r>
        <w:rPr>
          <w:b/>
          <w:color w:val="8A3A12"/>
        </w:rPr>
        <w:t xml:space="preserve">How to read it:  </w:t>
      </w:r>
      <w:r>
        <w:t>Counterbalancing worked: assignment is balanced against both medication and subtype, and it varies within participant for 16 of 21 patients, so its interactions are properly estimable. The medication effect does not depend on which colour carried the prior (assign:col:med), and neither does the subtype pattern (sub:assign:col). Prior direction shows nothing at all. The effect is therefore not a colour artifact.</w:t>
      </w:r>
    </w:p>
    <w:p>
      <w:pPr>
        <w:spacing w:after="120"/>
      </w:pPr>
      <w:r>
        <w:rPr>
          <w:b/>
          <w:color w:val="8A3A12"/>
        </w:rPr>
        <w:t xml:space="preserve">A new finding worth reporting:  </w:t>
      </w:r>
      <w:r>
        <w:t>Colour assignment does affect prior use in its own right. The prior biases choice about 0.47 log-odds more strongly when the green stimulus carried it, an interval comfortably excluding zero and one of the clearest effects in these analyses, plausibly a salience or luminance difference between the stimulus colours. It is additive and orthogonal to medication and subtype, so it does not threaten the main claim, but it shows the counterbalancing was necessary rather than merely precautionary.</w:t>
      </w:r>
    </w:p>
    <w:p>
      <w:r>
        <w:br w:type="page"/>
      </w:r>
    </w:p>
    <w:p>
      <w:pPr>
        <w:pStyle w:val="Heading1"/>
      </w:pPr>
      <w:r>
        <w:t>Outstanding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Why it is not done</w:t>
            </w:r>
          </w:p>
        </w:tc>
      </w:tr>
      <w:tr>
        <w:tc>
          <w:tcPr>
            <w:tcW w:type="dxa" w:w="4320"/>
          </w:tcPr>
          <w:p>
            <w:r>
              <w:rPr>
                <w:sz w:val="18"/>
              </w:rPr>
              <w:t>DDM parameter recovery</w:t>
            </w:r>
          </w:p>
        </w:tc>
        <w:tc>
          <w:tcPr>
            <w:tcW w:type="dxa" w:w="4320"/>
          </w:tcPr>
          <w:p>
            <w:r>
              <w:rPr>
                <w:sz w:val="18"/>
              </w:rPr>
              <w:t>Needs the GPU cluster. Fitting requires CUDA and runs differential evolution with 15 simulation repetitions per evaluation.</w:t>
            </w:r>
          </w:p>
        </w:tc>
      </w:tr>
      <w:tr>
        <w:tc>
          <w:tcPr>
            <w:tcW w:type="dxa" w:w="4320"/>
          </w:tcPr>
          <w:p>
            <w:r>
              <w:rPr>
                <w:sz w:val="18"/>
              </w:rPr>
              <w:t>Cross-validation with held-out sessions</w:t>
            </w:r>
          </w:p>
        </w:tc>
        <w:tc>
          <w:tcPr>
            <w:tcW w:type="dxa" w:w="4320"/>
          </w:tcPr>
          <w:p>
            <w:r>
              <w:rPr>
                <w:sz w:val="18"/>
              </w:rPr>
              <w:t>Current cross-validation holds out interleaved trial blocks from within each session, so training and test data come from the same participants. Repeating it with whole sessions held out could change the selected number of states.</w:t>
            </w:r>
          </w:p>
        </w:tc>
      </w:tr>
      <w:tr>
        <w:tc>
          <w:tcPr>
            <w:tcW w:type="dxa" w:w="4320"/>
          </w:tcPr>
          <w:p>
            <w:r>
              <w:rPr>
                <w:sz w:val="18"/>
              </w:rPr>
              <w:t>Levodopa-equivalent dose</w:t>
            </w:r>
          </w:p>
        </w:tc>
        <w:tc>
          <w:tcPr>
            <w:tcW w:type="dxa" w:w="4320"/>
          </w:tcPr>
          <w:p>
            <w:r>
              <w:rPr>
                <w:sz w:val="18"/>
              </w:rPr>
              <w:t>No dose column exists. Derivable from the free-text prescriptions, which are present for all 21 subtyped patients, after parsing and clinical checking.</w:t>
            </w:r>
          </w:p>
        </w:tc>
      </w:tr>
    </w:tbl>
    <w:p>
      <w:pPr>
        <w:spacing w:after="40"/>
      </w:pPr>
    </w:p>
    <w:p>
      <w:pPr>
        <w:pStyle w:val="Heading1"/>
      </w:pPr>
      <w:r>
        <w:t>Overall</w:t>
      </w:r>
    </w:p>
    <w:p>
      <w:pPr>
        <w:spacing w:after="120"/>
      </w:pPr>
      <w:r>
        <w:rPr>
          <w:b w:val="0"/>
          <w:i w:val="0"/>
        </w:rPr>
        <w:t>The tremor-dominant medication effect is consistent in direction across every analysis and every specification, is not driven by any single patient, and survives covariate adjustment. It is also marginal rather than decisive once inference is calibrated, and the difference between subtypes is not established. The figures support a careful, subtype-specific association claim, with roughly 0.9 to 0.97 posterior probability depending on the analysis. They do not yet support a definitive between-subtype or mechanistic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