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GLM-HMM × DDM Cross-Model Validation</w:t>
      </w:r>
    </w:p>
    <w:p>
      <w:pPr>
        <w:jc w:val="center"/>
      </w:pPr>
      <w:r>
        <w:rPr>
          <w:color w:val="444444"/>
        </w:rPr>
        <w:t>Glass-Pattern Perceptual Decision Task — PD Study</w:t>
      </w:r>
    </w:p>
    <w:p/>
    <w:p>
      <w:pPr>
        <w:pStyle w:val="Heading1"/>
      </w:pPr>
      <w:r>
        <w:rPr>
          <w:color w:val="1F497D"/>
        </w:rPr>
        <w:t>1. What Is This Analysis?</w:t>
      </w:r>
    </w:p>
    <w:p>
      <w:pPr>
        <w:spacing w:after="120"/>
      </w:pPr>
      <w:r>
        <w:t>The same behavioural dataset (100 sessions, Glass-pattern task, Parkinson's disease study) was independently analysed with two separate computational models: a Drift Diffusion Model (DDM) and a GLM Hidden Markov Model (GLM-HMM). Neither model "knows" about the other — they were fit with completely different mathematical procedures on the same raw behaviour (choices ± reaction times).</w:t>
      </w:r>
    </w:p>
    <w:p>
      <w:pPr>
        <w:spacing w:after="120"/>
      </w:pPr>
      <w:r>
        <w:t>The cross-model validation asks a single question: do these two independent models agree about which sessions show strong prior-driven behaviour, and do they agree about the mechanism (drift vs. starting point)?</w:t>
      </w:r>
    </w:p>
    <w:p>
      <w:pPr>
        <w:spacing w:after="120"/>
      </w:pPr>
      <w:r>
        <w:t>Agreement across independent models is much stronger evidence than either model alone, because it cannot be explained by one model's assumptions or fitting artefacts.</w:t>
      </w:r>
    </w:p>
    <w:p>
      <w:pPr>
        <w:pStyle w:val="Heading1"/>
      </w:pPr>
      <w:r>
        <w:rPr>
          <w:color w:val="1F497D"/>
        </w:rPr>
        <w:t>2. The Two Models</w:t>
      </w:r>
    </w:p>
    <w:p>
      <w:pPr>
        <w:pStyle w:val="Heading2"/>
      </w:pPr>
      <w:r>
        <w:rPr>
          <w:color w:val="1F497D"/>
        </w:rPr>
        <w:t>2a. Drift Diffusion Model (DDM)</w:t>
      </w:r>
    </w:p>
    <w:p>
      <w:pPr>
        <w:spacing w:after="120"/>
      </w:pPr>
      <w:r>
        <w:t>The DDM models each individual trial as a noisy evidence-accumulation process. A decision variable drifts toward one of two boundaries; whichever it hits first determines the choice and response time. Two parameters are relevant here:</w:t>
      </w:r>
    </w:p>
    <w:p>
      <w:pPr>
        <w:pStyle w:val="ListBullet"/>
        <w:ind w:left="360"/>
      </w:pPr>
      <w:r>
        <w:t>Drift rate — how fast and in which direction evidence accumulates. A prior-induced drift offset means the prior is contributing to the evidence stream.</w:t>
      </w:r>
    </w:p>
    <w:p>
      <w:pPr>
        <w:pStyle w:val="ListBullet"/>
        <w:ind w:left="360"/>
      </w:pPr>
      <w:r>
        <w:t>Starting point z — where the accumulator begins before any evidence arrives. A shifted z means the subject is already leaning toward one response before looking.</w:t>
      </w:r>
    </w:p>
    <w:p>
      <w:pPr>
        <w:spacing w:after="120"/>
      </w:pPr>
      <w:r>
        <w:t>The DDM was fit separately for equal-prior sessions (cond_0) and unequal-prior sessions (cond_1). The key quantities are the differences:</w:t>
      </w:r>
    </w:p>
    <w:p>
      <w:pPr>
        <w:pStyle w:val="ListBullet"/>
        <w:ind w:left="360"/>
      </w:pPr>
      <w:r>
        <w:t>ddm_drift_prior = drift_offset(unequal) − drift_offset(equal)</w:t>
      </w:r>
    </w:p>
    <w:p>
      <w:pPr>
        <w:pStyle w:val="ListBullet"/>
        <w:ind w:left="360"/>
      </w:pPr>
      <w:r>
        <w:t>ddm_z_prior = z(unequal) − z(equal)</w:t>
      </w:r>
    </w:p>
    <w:p>
      <w:pPr>
        <w:spacing w:after="120"/>
      </w:pPr>
      <w:r>
        <w:t>Published finding from this dataset (Perugini / Basso): ddm_drift_prior is substantial (mean ≈ +0.18), while ddm_z_prior is essentially zero (mean ≈ +0.004). The prior acts through drift, not starting point.</w:t>
      </w:r>
    </w:p>
    <w:p>
      <w:pPr>
        <w:pStyle w:val="Heading2"/>
      </w:pPr>
      <w:r>
        <w:rPr>
          <w:color w:val="1F497D"/>
        </w:rPr>
        <w:t>2b. GLM Hidden Markov Model (GLM-HMM)</w:t>
      </w:r>
    </w:p>
    <w:p>
      <w:pPr>
        <w:spacing w:after="120"/>
      </w:pPr>
      <w:r>
        <w:t>The GLM-HMM does not model individual trials mechanistically. Instead it says: at any moment, the subject is in one of K discrete cognitive states. Each state has its own set of weights for input features (colour signal = prior information, bias). The model infers, for each trial, the probability of being in each state.</w:t>
      </w:r>
    </w:p>
    <w:p>
      <w:pPr>
        <w:spacing w:after="120"/>
      </w:pPr>
      <w:r>
        <w:t>The selected model has K = 4 states. The prior state is identified as the state with the highest weight on the colour (prior signal) feature — State 1 (Negative biased), colour weight = 0.334.</w:t>
      </w:r>
    </w:p>
    <w:p>
      <w:pPr>
        <w:spacing w:after="120"/>
      </w:pPr>
      <w:r>
        <w:t>For each session, three quantities are extracted:</w:t>
      </w:r>
    </w:p>
    <w:p>
      <w:pPr>
        <w:pStyle w:val="ListBullet"/>
        <w:ind w:left="360"/>
      </w:pPr>
      <w:r>
        <w:t>occ_prior — average fraction of trials estimated to be in the prior-using state</w:t>
      </w:r>
    </w:p>
    <w:p>
      <w:pPr>
        <w:pStyle w:val="ListBullet"/>
        <w:ind w:left="360"/>
      </w:pPr>
      <w:r>
        <w:t>prior_idx — occupancy-weighted shift in P(choose right) at zero coherence, due to the prior state. This converts latent-state occupancy into behavioural units directly comparable to drift offset.</w:t>
      </w:r>
    </w:p>
    <w:p>
      <w:pPr>
        <w:pStyle w:val="ListBullet"/>
        <w:ind w:left="360"/>
      </w:pPr>
      <w:r>
        <w:t>pi_prior — stationary distribution of the transition matrix at the prior state; the subject's default long-run tendency to be in the prior state</w:t>
      </w:r>
    </w:p>
    <w:p>
      <w:pPr>
        <w:pStyle w:val="Heading1"/>
      </w:pPr>
      <w:r>
        <w:rPr>
          <w:color w:val="1F497D"/>
        </w:rPr>
        <w:t>3. How the Cross-Model Test Works</w:t>
      </w:r>
    </w:p>
    <w:p>
      <w:pPr>
        <w:spacing w:after="120"/>
      </w:pPr>
      <w:r>
        <w:t>For each of the 100 sessions, each model produces a number. The test is simply: do these numbers go up and down together across sessions?</w:t>
      </w:r>
    </w:p>
    <w:p>
      <w:pPr>
        <w:spacing w:after="120"/>
      </w:pPr>
      <w:r>
        <w:t>For example: session 1 has prior_idx = 0.07 (GLM-HMM: subject mostly in prior state) and ddm_drift_prior = +0.8 (DDM: prior strongly shifted drift). Session 2 has prior_idx = 0.04 and ddm_drift_prior = −0.2. If high GLM-HMM sessions are also high DDM sessions, the two models agree.</w:t>
      </w:r>
    </w:p>
    <w:p>
      <w:pPr>
        <w:spacing w:after="120"/>
      </w:pPr>
      <w:r>
        <w:t>This is a Pearson / Spearman correlation across sessions — one dot per session, GLM-HMM quantity on X, DDM quantity on Y.</w:t>
      </w:r>
    </w:p>
    <w:p>
      <w:pPr>
        <w:pStyle w:val="Heading2"/>
      </w:pPr>
      <w:r>
        <w:rPr>
          <w:color w:val="1F497D"/>
        </w:rPr>
        <w:t>3a. Why agreement is meaningful</w:t>
      </w:r>
    </w:p>
    <w:p>
      <w:pPr>
        <w:spacing w:after="120"/>
      </w:pPr>
      <w:r>
        <w:t>Because the models were fit independently, a correlation cannot be explained by shared assumptions or circular reasoning. It means both mathematical procedures, looking at the same behaviour, independently identified the same sessions as "prior-dominated." That is only possible if there is a real signal in the data that both models are detecting.</w:t>
      </w:r>
    </w:p>
    <w:p>
      <w:pPr>
        <w:spacing w:after="120"/>
      </w:pPr>
      <w:r>
        <w:t>Analogy: two doctors independently examine 100 patients and each scores "how sick is this patient." If scores correlate across patients, both doctors are measuring the same underlying condition.</w:t>
      </w:r>
    </w:p>
    <w:p>
      <w:pPr>
        <w:pStyle w:val="Heading2"/>
      </w:pPr>
      <w:r>
        <w:rPr>
          <w:color w:val="1F497D"/>
        </w:rPr>
        <w:t>3b. The double dissociation</w:t>
      </w:r>
    </w:p>
    <w:p>
      <w:pPr>
        <w:spacing w:after="120"/>
      </w:pPr>
      <w:r>
        <w:t>The critical design feature is that GLM-HMM quantities are correlated against both DDM drift and DDM z. If GLM-HMM were tracking session quality or some general engagement variable, it would correlate with both DDM parameters equally. The prediction is a specific pattern: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DDM drift (prior→evidence)</w:t>
            </w:r>
          </w:p>
        </w:tc>
        <w:tc>
          <w:tcPr>
            <w:tcW w:type="dxa" w:w="2880"/>
          </w:tcPr>
          <w:p>
            <w:r>
              <w:rPr>
                <w:b/>
              </w:rPr>
              <w:t>DDM z (prior→motor bias)</w:t>
            </w:r>
          </w:p>
        </w:tc>
      </w:tr>
      <w:tr>
        <w:tc>
          <w:tcPr>
            <w:tcW w:type="dxa" w:w="2880"/>
          </w:tcPr>
          <w:p>
            <w:r>
              <w:t>GLM-HMM prior_idx / occ_prior</w:t>
            </w:r>
          </w:p>
        </w:tc>
        <w:tc>
          <w:tcPr>
            <w:tcW w:type="dxa" w:w="2880"/>
          </w:tcPr>
          <w:p>
            <w:r>
              <w:t>Should correlate ✓</w:t>
            </w:r>
          </w:p>
        </w:tc>
        <w:tc>
          <w:tcPr>
            <w:tcW w:type="dxa" w:w="2880"/>
          </w:tcPr>
          <w:p>
            <w:r>
              <w:t>Should NOT correlate ✓✓</w:t>
            </w:r>
          </w:p>
        </w:tc>
      </w:tr>
      <w:tr>
        <w:tc>
          <w:tcPr>
            <w:tcW w:type="dxa" w:w="2880"/>
          </w:tcPr>
          <w:p>
            <w:r>
              <w:t>GLM-HMM pi_prior (start distr.)</w:t>
            </w:r>
          </w:p>
        </w:tc>
        <w:tc>
          <w:tcPr>
            <w:tcW w:type="dxa" w:w="2880"/>
          </w:tcPr>
          <w:p>
            <w:r>
              <w:t>Should NOT correlate ✓✓</w:t>
            </w:r>
          </w:p>
        </w:tc>
        <w:tc>
          <w:tcPr>
            <w:tcW w:type="dxa" w:w="2880"/>
          </w:tcPr>
          <w:p>
            <w:r>
              <w:t>Should NOT correlate ✓✓</w:t>
            </w:r>
          </w:p>
        </w:tc>
      </w:tr>
    </w:tbl>
    <w:p/>
    <w:p>
      <w:pPr>
        <w:spacing w:after="120"/>
      </w:pPr>
      <w:r>
        <w:t>This double dissociation rules out confounds: GLM-HMM is specifically agreeing with DDM only on the drift channel, not on the z channel. That specificity is the validation.</w:t>
      </w:r>
    </w:p>
    <w:p>
      <w:pPr>
        <w:pStyle w:val="Heading1"/>
      </w:pPr>
      <w:r>
        <w:rPr>
          <w:color w:val="1F497D"/>
        </w:rPr>
        <w:t>4. Results</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GLM-HMM quantity</w:t>
            </w:r>
          </w:p>
        </w:tc>
        <w:tc>
          <w:tcPr>
            <w:tcW w:type="dxa" w:w="1440"/>
          </w:tcPr>
          <w:p>
            <w:r>
              <w:rPr>
                <w:b/>
              </w:rPr>
              <w:t>DDM quantity</w:t>
            </w:r>
          </w:p>
        </w:tc>
        <w:tc>
          <w:tcPr>
            <w:tcW w:type="dxa" w:w="1440"/>
          </w:tcPr>
          <w:p>
            <w:r>
              <w:rPr>
                <w:b/>
              </w:rPr>
              <w:t>Pearson r</w:t>
            </w:r>
          </w:p>
        </w:tc>
        <w:tc>
          <w:tcPr>
            <w:tcW w:type="dxa" w:w="1440"/>
          </w:tcPr>
          <w:p>
            <w:r>
              <w:rPr>
                <w:b/>
              </w:rPr>
              <w:t>p</w:t>
            </w:r>
          </w:p>
        </w:tc>
        <w:tc>
          <w:tcPr>
            <w:tcW w:type="dxa" w:w="1440"/>
          </w:tcPr>
          <w:p>
            <w:r>
              <w:rPr>
                <w:b/>
              </w:rPr>
              <w:t>Spearman r</w:t>
            </w:r>
          </w:p>
        </w:tc>
        <w:tc>
          <w:tcPr>
            <w:tcW w:type="dxa" w:w="1440"/>
          </w:tcPr>
          <w:p>
            <w:r>
              <w:rPr>
                <w:b/>
              </w:rPr>
              <w:t>Interpretation</w:t>
            </w:r>
          </w:p>
        </w:tc>
      </w:tr>
      <w:tr>
        <w:tc>
          <w:tcPr>
            <w:tcW w:type="dxa" w:w="1440"/>
          </w:tcPr>
          <w:p>
            <w:r>
              <w:t>prior_idx</w:t>
            </w:r>
          </w:p>
        </w:tc>
        <w:tc>
          <w:tcPr>
            <w:tcW w:type="dxa" w:w="1440"/>
          </w:tcPr>
          <w:p>
            <w:r>
              <w:t>ddm_drift_prior</w:t>
            </w:r>
          </w:p>
        </w:tc>
        <w:tc>
          <w:tcPr>
            <w:tcW w:type="dxa" w:w="1440"/>
          </w:tcPr>
          <w:p>
            <w:r>
              <w:t>0.219</w:t>
            </w:r>
          </w:p>
        </w:tc>
        <w:tc>
          <w:tcPr>
            <w:tcW w:type="dxa" w:w="1440"/>
          </w:tcPr>
          <w:p>
            <w:r>
              <w:t>0.028</w:t>
            </w:r>
          </w:p>
        </w:tc>
        <w:tc>
          <w:tcPr>
            <w:tcW w:type="dxa" w:w="1440"/>
          </w:tcPr>
          <w:p>
            <w:r>
              <w:t>0.300 **</w:t>
            </w:r>
          </w:p>
        </w:tc>
        <w:tc>
          <w:tcPr>
            <w:tcW w:type="dxa" w:w="1440"/>
          </w:tcPr>
          <w:p>
            <w:r>
              <w:t>Weak positive ✓</w:t>
            </w:r>
          </w:p>
        </w:tc>
      </w:tr>
      <w:tr>
        <w:tc>
          <w:tcPr>
            <w:tcW w:type="dxa" w:w="1440"/>
          </w:tcPr>
          <w:p>
            <w:r>
              <w:t>occ_prior</w:t>
            </w:r>
          </w:p>
        </w:tc>
        <w:tc>
          <w:tcPr>
            <w:tcW w:type="dxa" w:w="1440"/>
          </w:tcPr>
          <w:p>
            <w:r>
              <w:t>ddm_drift_prior</w:t>
            </w:r>
          </w:p>
        </w:tc>
        <w:tc>
          <w:tcPr>
            <w:tcW w:type="dxa" w:w="1440"/>
          </w:tcPr>
          <w:p>
            <w:r>
              <w:t>0.128</w:t>
            </w:r>
          </w:p>
        </w:tc>
        <w:tc>
          <w:tcPr>
            <w:tcW w:type="dxa" w:w="1440"/>
          </w:tcPr>
          <w:p>
            <w:r>
              <w:t>0.206</w:t>
            </w:r>
          </w:p>
        </w:tc>
        <w:tc>
          <w:tcPr>
            <w:tcW w:type="dxa" w:w="1440"/>
          </w:tcPr>
          <w:p>
            <w:r>
              <w:t>0.169</w:t>
            </w:r>
          </w:p>
        </w:tc>
        <w:tc>
          <w:tcPr>
            <w:tcW w:type="dxa" w:w="1440"/>
          </w:tcPr>
          <w:p>
            <w:r>
              <w:t>Not significant</w:t>
            </w:r>
          </w:p>
        </w:tc>
      </w:tr>
      <w:tr>
        <w:tc>
          <w:tcPr>
            <w:tcW w:type="dxa" w:w="1440"/>
          </w:tcPr>
          <w:p>
            <w:r>
              <w:t>prior_idx</w:t>
            </w:r>
          </w:p>
        </w:tc>
        <w:tc>
          <w:tcPr>
            <w:tcW w:type="dxa" w:w="1440"/>
          </w:tcPr>
          <w:p>
            <w:r>
              <w:t>ddm_z_prior</w:t>
            </w:r>
          </w:p>
        </w:tc>
        <w:tc>
          <w:tcPr>
            <w:tcW w:type="dxa" w:w="1440"/>
          </w:tcPr>
          <w:p>
            <w:r>
              <w:t>−0.078</w:t>
            </w:r>
          </w:p>
        </w:tc>
        <w:tc>
          <w:tcPr>
            <w:tcW w:type="dxa" w:w="1440"/>
          </w:tcPr>
          <w:p>
            <w:r>
              <w:t>0.44</w:t>
            </w:r>
          </w:p>
        </w:tc>
        <w:tc>
          <w:tcPr>
            <w:tcW w:type="dxa" w:w="1440"/>
          </w:tcPr>
          <w:p>
            <w:r>
              <w:t>−0.056</w:t>
            </w:r>
          </w:p>
        </w:tc>
        <w:tc>
          <w:tcPr>
            <w:tcW w:type="dxa" w:w="1440"/>
          </w:tcPr>
          <w:p>
            <w:r>
              <w:t>Flat null ✓✓</w:t>
            </w:r>
          </w:p>
        </w:tc>
      </w:tr>
      <w:tr>
        <w:tc>
          <w:tcPr>
            <w:tcW w:type="dxa" w:w="1440"/>
          </w:tcPr>
          <w:p>
            <w:r>
              <w:t>occ_prior</w:t>
            </w:r>
          </w:p>
        </w:tc>
        <w:tc>
          <w:tcPr>
            <w:tcW w:type="dxa" w:w="1440"/>
          </w:tcPr>
          <w:p>
            <w:r>
              <w:t>ddm_z_prior</w:t>
            </w:r>
          </w:p>
        </w:tc>
        <w:tc>
          <w:tcPr>
            <w:tcW w:type="dxa" w:w="1440"/>
          </w:tcPr>
          <w:p>
            <w:r>
              <w:t>0.019</w:t>
            </w:r>
          </w:p>
        </w:tc>
        <w:tc>
          <w:tcPr>
            <w:tcW w:type="dxa" w:w="1440"/>
          </w:tcPr>
          <w:p>
            <w:r>
              <w:t>0.85</w:t>
            </w:r>
          </w:p>
        </w:tc>
        <w:tc>
          <w:tcPr>
            <w:tcW w:type="dxa" w:w="1440"/>
          </w:tcPr>
          <w:p>
            <w:r>
              <w:t>0.038</w:t>
            </w:r>
          </w:p>
        </w:tc>
        <w:tc>
          <w:tcPr>
            <w:tcW w:type="dxa" w:w="1440"/>
          </w:tcPr>
          <w:p>
            <w:r>
              <w:t>Flat null ✓✓</w:t>
            </w:r>
          </w:p>
        </w:tc>
      </w:tr>
      <w:tr>
        <w:tc>
          <w:tcPr>
            <w:tcW w:type="dxa" w:w="1440"/>
          </w:tcPr>
          <w:p>
            <w:r>
              <w:t>pi_prior</w:t>
            </w:r>
          </w:p>
        </w:tc>
        <w:tc>
          <w:tcPr>
            <w:tcW w:type="dxa" w:w="1440"/>
          </w:tcPr>
          <w:p>
            <w:r>
              <w:t>ddm_z_prior</w:t>
            </w:r>
          </w:p>
        </w:tc>
        <w:tc>
          <w:tcPr>
            <w:tcW w:type="dxa" w:w="1440"/>
          </w:tcPr>
          <w:p>
            <w:r>
              <w:t>−0.038</w:t>
            </w:r>
          </w:p>
        </w:tc>
        <w:tc>
          <w:tcPr>
            <w:tcW w:type="dxa" w:w="1440"/>
          </w:tcPr>
          <w:p>
            <w:r>
              <w:t>0.71</w:t>
            </w:r>
          </w:p>
        </w:tc>
        <w:tc>
          <w:tcPr>
            <w:tcW w:type="dxa" w:w="1440"/>
          </w:tcPr>
          <w:p>
            <w:r>
              <w:t>−0.059</w:t>
            </w:r>
          </w:p>
        </w:tc>
        <w:tc>
          <w:tcPr>
            <w:tcW w:type="dxa" w:w="1440"/>
          </w:tcPr>
          <w:p>
            <w:r>
              <w:t>Flat null ✓✓</w:t>
            </w:r>
          </w:p>
        </w:tc>
      </w:tr>
      <w:tr>
        <w:tc>
          <w:tcPr>
            <w:tcW w:type="dxa" w:w="1440"/>
          </w:tcPr>
          <w:p>
            <w:r>
              <w:t>pi_prior</w:t>
            </w:r>
          </w:p>
        </w:tc>
        <w:tc>
          <w:tcPr>
            <w:tcW w:type="dxa" w:w="1440"/>
          </w:tcPr>
          <w:p>
            <w:r>
              <w:t>ddm_drift_prior</w:t>
            </w:r>
          </w:p>
        </w:tc>
        <w:tc>
          <w:tcPr>
            <w:tcW w:type="dxa" w:w="1440"/>
          </w:tcPr>
          <w:p>
            <w:r>
              <w:t>0.060</w:t>
            </w:r>
          </w:p>
        </w:tc>
        <w:tc>
          <w:tcPr>
            <w:tcW w:type="dxa" w:w="1440"/>
          </w:tcPr>
          <w:p>
            <w:r>
              <w:t>0.55</w:t>
            </w:r>
          </w:p>
        </w:tc>
        <w:tc>
          <w:tcPr>
            <w:tcW w:type="dxa" w:w="1440"/>
          </w:tcPr>
          <w:p>
            <w:r>
              <w:t>−0.012</w:t>
            </w:r>
          </w:p>
        </w:tc>
        <w:tc>
          <w:tcPr>
            <w:tcW w:type="dxa" w:w="1440"/>
          </w:tcPr>
          <w:p>
            <w:r>
              <w:t>Flat null ✓✓</w:t>
            </w:r>
          </w:p>
        </w:tc>
      </w:tr>
    </w:tbl>
    <w:p/>
    <w:p>
      <w:pPr>
        <w:spacing w:after="120"/>
      </w:pPr>
      <w:r>
        <w:t>The null results (right column, bottom rows) are the strongest part of the analysis — clean across all four pairs. The positive signal is weak but directionally consistent with the prediction.</w:t>
      </w:r>
    </w:p>
    <w:p>
      <w:pPr>
        <w:pStyle w:val="Heading1"/>
      </w:pPr>
      <w:r>
        <w:rPr>
          <w:color w:val="1F497D"/>
        </w:rPr>
        <w:t>5. What This Means for Brain Function and Decision-Making</w:t>
      </w:r>
    </w:p>
    <w:p>
      <w:pPr>
        <w:pStyle w:val="Heading2"/>
      </w:pPr>
      <w:r>
        <w:rPr>
          <w:color w:val="1F497D"/>
        </w:rPr>
        <w:t>5a. Drift vs. starting point maps onto distinct neural systems</w:t>
      </w:r>
    </w:p>
    <w:p>
      <w:pPr>
        <w:spacing w:after="120"/>
      </w:pPr>
      <w:r>
        <w:t>These two DDM parameters are not just mathematical abstractions — they correspond to distinct neural circuits:</w:t>
      </w:r>
    </w:p>
    <w:p>
      <w:pPr>
        <w:pStyle w:val="ListBullet"/>
        <w:ind w:left="360"/>
      </w:pPr>
      <w:r>
        <w:t>Drift rate ↔ evidence accumulation in sensory and parietal cortex (LIP, MT/V5, PFC). These areas ramp up activity as evidence builds toward a threshold.</w:t>
      </w:r>
    </w:p>
    <w:p>
      <w:pPr>
        <w:pStyle w:val="ListBullet"/>
        <w:ind w:left="360"/>
      </w:pPr>
      <w:r>
        <w:t>Starting point z ↔ pre-decision motor readiness in basal ganglia and motor cortex. A shifted z means motor preparation has already begun before evidence arrives.</w:t>
      </w:r>
    </w:p>
    <w:p>
      <w:pPr>
        <w:spacing w:after="120"/>
      </w:pPr>
      <w:r>
        <w:t>Finding: the prior shifts drift, not z. This means the prior is NOT implemented as a motor tendency or action bias. It is implemented as something that enters the evidence stream — as if the prior is additional evidence that the sensory system integrates alongside incoming visual information.</w:t>
      </w:r>
    </w:p>
    <w:p>
      <w:pPr>
        <w:pStyle w:val="Heading2"/>
      </w:pPr>
      <w:r>
        <w:rPr>
          <w:color w:val="1F497D"/>
        </w:rPr>
        <w:t>5b. Bayesian inference at the neural level</w:t>
      </w:r>
    </w:p>
    <w:p>
      <w:pPr>
        <w:spacing w:after="120"/>
      </w:pPr>
      <w:r>
        <w:t>The drift-based prior mechanism is exactly what optimal Bayesian inference predicts:</w:t>
      </w:r>
    </w:p>
    <w:p>
      <w:pPr>
        <w:spacing w:after="120"/>
      </w:pPr>
      <w:r>
        <w:t xml:space="preserve">    accumulated evidence ≈ log-likelihood(sensory input) + log-prior</w:t>
      </w:r>
    </w:p>
    <w:p>
      <w:pPr>
        <w:spacing w:after="120"/>
      </w:pPr>
      <w:r>
        <w:t>The prior gets added into the evidence accumulation process, not applied after the fact as a response bias. Subjects are implementing something close to normative Bayesian integration — the prior colours how sensory evidence is interpreted, rather than tilting which action is selected.</w:t>
      </w:r>
    </w:p>
    <w:p>
      <w:pPr>
        <w:pStyle w:val="Heading2"/>
      </w:pPr>
      <w:r>
        <w:rPr>
          <w:color w:val="1F497D"/>
        </w:rPr>
        <w:t>5c. Prior integration is state-dependent, not continuous</w:t>
      </w:r>
    </w:p>
    <w:p>
      <w:pPr>
        <w:spacing w:after="120"/>
      </w:pPr>
      <w:r>
        <w:t>This is the key contribution of the GLM-HMM that the DDM cannot provide. The prior is not integrated on every trial. Subjects switch between cognitive states, and the prior only enters the evidence stream when the subject is in the "prior-using" state.</w:t>
      </w:r>
    </w:p>
    <w:p>
      <w:pPr>
        <w:spacing w:after="120"/>
      </w:pPr>
      <w:r>
        <w:t>When subjects are NOT in the prior state, they essentially ignore the prior and rely on visual evidence alone. The switching could reflect:</w:t>
      </w:r>
    </w:p>
    <w:p>
      <w:pPr>
        <w:pStyle w:val="ListBullet"/>
        <w:ind w:left="360"/>
      </w:pPr>
      <w:r>
        <w:t>Fluctuations in attention to the prior probability</w:t>
      </w:r>
    </w:p>
    <w:p>
      <w:pPr>
        <w:pStyle w:val="ListBullet"/>
        <w:ind w:left="360"/>
      </w:pPr>
      <w:r>
        <w:t>Working memory lapses — forgetting or discounting the prior context</w:t>
      </w:r>
    </w:p>
    <w:p>
      <w:pPr>
        <w:pStyle w:val="ListBullet"/>
        <w:ind w:left="360"/>
      </w:pPr>
      <w:r>
        <w:t>Exploration-exploitation dynamics — occasionally ignoring the prior to test the environment</w:t>
      </w:r>
    </w:p>
    <w:p>
      <w:pPr>
        <w:pStyle w:val="ListBullet"/>
        <w:ind w:left="360"/>
      </w:pPr>
      <w:r>
        <w:t>In PD: fluctuations tied to dopamine availability and medication state</w:t>
      </w:r>
    </w:p>
    <w:p>
      <w:pPr>
        <w:pStyle w:val="Heading2"/>
      </w:pPr>
      <w:r>
        <w:rPr>
          <w:color w:val="1F497D"/>
        </w:rPr>
        <w:t>5d. Implications for Parkinson's disease</w:t>
      </w:r>
    </w:p>
    <w:p>
      <w:pPr>
        <w:spacing w:after="120"/>
      </w:pPr>
      <w:r>
        <w:t>PD primarily damages dopamine in the basal ganglia — the same system associated with DDM starting point z and action selection. Yet the prior acts through drift (sensory/cortical), not z (basal ganglia/motor). This raises the question: where does PD pathology actually manifest in this task?</w:t>
      </w:r>
    </w:p>
    <w:p>
      <w:pPr>
        <w:spacing w:after="120"/>
      </w:pPr>
      <w:r>
        <w:t>The GLM-HMM offers a candidate answer: in the state-switching dynamics.</w:t>
      </w:r>
    </w:p>
    <w:p>
      <w:pPr>
        <w:spacing w:after="120"/>
      </w:pPr>
      <w:r>
        <w:t>The basal ganglia may not be controlling whether the prior biases the drift mid-trial — that appears to happen in sensory cortex and is intact when the prior-using state is active. But the basal ganglia, through dopamine-dependent gating, may control how reliably and stably subjects enter and maintain the prior-using cognitive state.</w:t>
      </w:r>
    </w:p>
    <w:p>
      <w:pPr>
        <w:spacing w:after="120"/>
      </w:pPr>
      <w:r>
        <w:t>Proposed mechanism:</w:t>
      </w:r>
    </w:p>
    <w:p>
      <w:pPr>
        <w:pStyle w:val="ListBullet"/>
        <w:ind w:left="360"/>
      </w:pPr>
      <w:r>
        <w:t>Basal ganglia (dopamine) → controls STATE TRANSITIONS and maintenance of cognitive mode</w:t>
      </w:r>
    </w:p>
    <w:p>
      <w:pPr>
        <w:pStyle w:val="ListBullet"/>
        <w:ind w:left="360"/>
      </w:pPr>
      <w:r>
        <w:t>Sensory / parietal cortex → when in prior-using state, integrates prior + evidence via drift</w:t>
      </w:r>
    </w:p>
    <w:p>
      <w:pPr>
        <w:pStyle w:val="ListBullet"/>
        <w:ind w:left="360"/>
      </w:pPr>
      <w:r>
        <w:t>PD pathology → disrupts state maintenance / switching</w:t>
      </w:r>
    </w:p>
    <w:p>
      <w:pPr>
        <w:pStyle w:val="ListBullet"/>
        <w:ind w:left="360"/>
      </w:pPr>
      <w:r>
        <w:t>Net behavioural effect → less time in prior-using state, NOT a broken drift mechanism</w:t>
      </w:r>
    </w:p>
    <w:p>
      <w:pPr>
        <w:spacing w:after="120"/>
      </w:pPr>
      <w:r>
        <w:t>Under this account, PD patients do not lose the ability to use the prior — the drift mechanism is intact. They lose the ability to stay in the cognitive mode that engages it. This is a testable prediction: PD subtypes (tremor vs. bradykinetic) should differ in state occupancy and transition stability, not in the magnitude of the drift shift when in the prior state.</w:t>
      </w:r>
    </w:p>
    <w:p>
      <w:pPr>
        <w:pStyle w:val="Heading1"/>
      </w:pPr>
      <w:r>
        <w:rPr>
          <w:color w:val="1F497D"/>
        </w:rPr>
        <w:t>6. Honest Caveats</w:t>
      </w:r>
    </w:p>
    <w:p>
      <w:pPr>
        <w:pStyle w:val="ListBullet"/>
        <w:ind w:left="360"/>
      </w:pPr>
      <w:r>
        <w:t>Effect sizes are small (r ≈ 0.22). The models agree on the direction, not on the magnitude of individual sessions.</w:t>
      </w:r>
    </w:p>
    <w:p>
      <w:pPr>
        <w:pStyle w:val="ListBullet"/>
        <w:ind w:left="360"/>
      </w:pPr>
      <w:r>
        <w:t>Only prior_idx reaches significance; occ_prior does not. The result is sensitive to how GLM-HMM prior usage is operationalised.</w:t>
      </w:r>
    </w:p>
    <w:p>
      <w:pPr>
        <w:pStyle w:val="ListBullet"/>
        <w:ind w:left="360"/>
      </w:pPr>
      <w:r>
        <w:t>pi_prior vs. DDM z is a conceptual mismatch: stationary distribution is a long-run session property; z is an intra-trial starting point. The null here is expected but does not cleanly test the BG mechanism.</w:t>
      </w:r>
    </w:p>
    <w:p>
      <w:pPr>
        <w:pStyle w:val="ListBullet"/>
        <w:ind w:left="360"/>
      </w:pPr>
      <w:r>
        <w:t>The prior state is identified by maximum colour weight — not fully independent of prior-integration by definition.</w:t>
      </w:r>
    </w:p>
    <w:p>
      <w:pPr>
        <w:pStyle w:val="ListBullet"/>
        <w:ind w:left="360"/>
      </w:pPr>
      <w:r>
        <w:t>The PD subtype hypothesis (state switching as the locus of pathology) is not directly tested in this notebook — it requires comparing transition matrices across HC, tremor, bradykinetic groups explicitly.</w:t>
      </w:r>
    </w:p>
    <w:p>
      <w:pPr>
        <w:pStyle w:val="ListBullet"/>
        <w:ind w:left="360"/>
      </w:pPr>
      <w:r>
        <w:t>r = 0.22 does not survive Bonferroni correction for 6 comparisons (threshold p &lt; 0.008); Spearman r = 0.30, p = 0.002 does.</w:t>
      </w:r>
    </w:p>
    <w:p>
      <w:pPr>
        <w:pStyle w:val="Heading1"/>
      </w:pPr>
      <w:r>
        <w:rPr>
          <w:color w:val="1F497D"/>
        </w:rPr>
        <w:t>7. Summary</w:t>
      </w:r>
    </w:p>
    <w:p>
      <w:pPr>
        <w:spacing w:after="120"/>
      </w:pPr>
      <w:r>
        <w:t>Two independent computational models, fit on the same behavioural data, agree that the prior in the Glass-pattern task influences decisions through the evidence accumulation drift, not through a pre-decision motor bias. This is the normatively correct Bayesian strategy and maps the prior effect onto sensory/parietal cortex rather than basal ganglia/motor circuits.</w:t>
      </w:r>
    </w:p>
    <w:p>
      <w:pPr>
        <w:spacing w:after="120"/>
      </w:pPr>
      <w:r>
        <w:t>The GLM-HMM further reveals that this prior integration is not continuous — subjects switch in and out of a prior-using cognitive state. In the context of Parkinson's disease, the basal ganglia pathology may manifest not in a broken drift mechanism, but in disrupted stability of the cognitive state that enables prior integration.</w:t>
      </w:r>
    </w:p>
    <w:p>
      <w:pPr>
        <w:spacing w:after="120"/>
      </w:pPr>
      <w:r>
        <w:t>The cross-model validation provides converging evidence for this picture, but effect sizes are modest. The null results (no correlation with DDM starting point z) are the most robust finding; the positive drift correlation is suggestive but not conclusive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