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Methods</w:t>
      </w:r>
    </w:p>
    <w:p>
      <w:pPr>
        <w:spacing w:after="200" w:line="276" w:lineRule="auto"/>
      </w:pPr>
      <w:r>
        <w:rPr>
          <w:b/>
        </w:rPr>
        <w:t>Participants.</w:t>
      </w:r>
      <w:r>
        <w:t xml:space="preserve"> We recruited 18 healthy controls and 41 patients with idiopathic Parkinson's disease (PD) across four sites [name sites and IRB protocol numbers]. PD patients were tested twice, once OFF and once ON their regular dopaminergic medication (practically-defined OFF: withdrawal of medication overnight; ON: approximately one hour after their regular dose [confirm exact washout/dosing protocol]), and only patients contributing usable data in both states were retained. All participants gave written informed consent as per the guidelines of the Institutional Review Boards of the participating institutions and in accordance with the Declaration of Helsinki. PD patients had a mean (± SD) MDS-UPDRS Part III motor score of 20.4 ± 7.6 OFF medication and 14.6 ± 7.9 ON medication, a mean Hoehn &amp; Yahr stage of 1.9 ± 0.3, a mean Montreal Cognitive Assessment (MoCA) score of 28.3 ± 2.3, and a mean disease duration of 3.8 ± 2.9 years (Table 1). Patients scoring ≤26 on the MoCA were excluded a priori to limit confounds from cognitive impairment.</w:t>
      </w:r>
    </w:p>
    <w:p>
      <w:pPr>
        <w:spacing w:after="200" w:line="276" w:lineRule="auto"/>
      </w:pPr>
      <w:r>
        <w:rPr>
          <w:b/>
        </w:rPr>
        <w:t>Motor subtyping.</w:t>
      </w:r>
      <w:r>
        <w:t xml:space="preserve"> Patients were classified into tremor-dominant and bradykinesia-dominant subtypes using their OFF-medication MDS-UPDRS Part III exam. A tremor score and a bradykinesia/rigidity score were computed as the mean rating across the relevant tremor items (postural, kinetic, and resting tremor amplitude and constancy) and bradykinesia/rigidity items (rigidity, finger tapping, hand movements, pronation-supination, toe tapping, leg agility, and global spontaneity of movement), respectively. Patients were classified as tremor-dominant if the ratio of tremor score to bradykinesia score exceeded 1.0, bradykinesia-dominant if the ratio was below 0.8, and intermediate otherwise, following standard MDS-UPDRS-based subtyping conventions. This yielded 11 tremor-dominant and 10 bradykinesia-dominant patients; one patient with an intermediate ratio was excluded from subtype-specific analyses. Subtyping used only the OFF-medication exam, so that subtype assignment was independent of the medication manipulation used in all subsequent analyses.</w:t>
      </w:r>
    </w:p>
    <w:p>
      <w:pPr>
        <w:spacing w:after="200" w:line="276" w:lineRule="auto"/>
      </w:pPr>
      <w:r>
        <w:rPr>
          <w:b/>
        </w:rPr>
        <w:t>Visual stimuli.</w:t>
      </w:r>
      <w:r>
        <w:t xml:space="preserve"> Dynamic translational Glass patterns were used for this study, as described previously¹. This stimulus superimposes two identical dot patterns, one translated in position relative to the other, producing multiple correlated dot pairs and a strong perception of orientation². The strength of the orientation signal was varied using the percentage of correlated dot pairs (“coherence”): 0%, 13%, 35%, and 100%. At 100% coherence all dot pairs are correlated and the orientation (left or right of vertical) is readily apparent; at 0% coherence no dot pairs are correlated and subjects have no perceptual information on which to base their orientation judgment. Stimuli were rendered dynamically across successive frames.</w:t>
      </w:r>
    </w:p>
    <w:p>
      <w:pPr>
        <w:spacing w:after="200" w:line="276" w:lineRule="auto"/>
      </w:pPr>
      <w:r>
        <w:rPr>
          <w:b/>
        </w:rPr>
        <w:t>Experimental paradigm.</w:t>
      </w:r>
      <w:r>
        <w:t xml:space="preserve"> Each trial began with a centrally-located fixation point. After a fixation period, two choice targets appeared, followed by a Glass pattern stimulus rendered in one of two colors (red or green), with the fixation point disappearing simultaneously to cue a response. Participants reported the perceived orientation with a keypress. Correct responses were followed by an auditory tone; 0%-coherence trials, which have no objectively correct answer, were rewarded stochastically at the base rate defined for that condition. Each color was associated with a different orientation base rate: one color carried an Equal Prior, in which the two orientations occurred with equal probability (50%/50%), and the other carried a Positive Prior, in which one orientation occurred more frequently than the other (75%/25%) — the 75–50 design used previously¹. Trial types were randomly interleaved, and the assignment of color and orientation direction to condition was counterbalanced across participants and converted post hoc to a common “positive”/“negative” orientation coding for analysis. Each participant completed [X] trials per medication session [confirm exact trial count for this cohort].</w:t>
      </w:r>
    </w:p>
    <w:p>
      <w:pPr>
        <w:pStyle w:val="Heading1"/>
      </w:pPr>
      <w:r>
        <w:rPr>
          <w:rFonts w:ascii="Times New Roman" w:hAnsi="Times New Roman"/>
          <w:color w:val="000000"/>
        </w:rPr>
        <w:t>Data analysis</w:t>
      </w:r>
    </w:p>
    <w:p>
      <w:pPr>
        <w:spacing w:after="200" w:line="276" w:lineRule="auto"/>
      </w:pPr>
      <w:r>
        <w:rPr>
          <w:b/>
        </w:rPr>
        <w:t>Behavior.</w:t>
      </w:r>
      <w:r>
        <w:t xml:space="preserve"> Trials with reaction times below 100 ms were excluded from analysis as likely anticipatory responses. Sessions in which accuracy at 100% coherence fell below 60% were excluded entirely, as an indicator of disengagement from the task; PD patients were retained only if both their OFF- and ON-medication sessions passed this criterion, so that all patient-level analyses are within-subject across medication state.</w:t>
      </w:r>
    </w:p>
    <w:p>
      <w:pPr>
        <w:spacing w:after="200" w:line="276" w:lineRule="auto"/>
      </w:pPr>
      <w:r>
        <w:rPr>
          <w:b/>
        </w:rPr>
      </w:r>
      <w:r>
        <w:t xml:space="preserve"> For each subject, medication state, and prior condition, we computed the proportion of “positive”-orientation choices at each coherence level and fit a four-parameter logistic psychometric function of the form</w:t>
      </w:r>
    </w:p>
    <w:p>
      <w:pPr>
        <w:spacing w:before="80" w:after="200"/>
        <w:jc w:val="center"/>
      </w:pPr>
      <w:r>
        <w:rPr>
          <w:i/>
        </w:rPr>
        <w:t>P(positive) = γ + (1 − γ − λ) / (1 + exp(−β(C − α)))</w:t>
      </w:r>
    </w:p>
    <w:p>
      <w:pPr>
        <w:spacing w:after="200" w:line="276" w:lineRule="auto"/>
      </w:pPr>
      <w:r>
        <w:rPr>
          <w:i w:val="0"/>
          <w:sz w:val="22"/>
        </w:rPr>
        <w:t>where C is signed coherence, α and β are free parameters representing the psychometric threshold (bias) and slope, and γ and λ are guess and lapse rates, determined by weighted least squares (weights proportional to trial count). Because 0%-coherence trials carry no orientation information, choice behavior at that coherence isolates each subject's prior-driven bias, which we quantified directly as the proportion of positive choices at 0% coherence, separately for the Positive-Prior and Equal-Prior colors. Group comparisons of Positive- versus Equal-Prior bias used two-sided Wilcoxon signed-rank tests, with Bonferroni correction applied jointly across all groups compared within a given analysis; effect sizes (Cohen's d) and post hoc power are reported alongside test statistics in Table 2.</w:t>
      </w:r>
    </w:p>
    <w:p>
      <w:pPr>
        <w:spacing w:after="200" w:line="276" w:lineRule="auto"/>
      </w:pPr>
      <w:r>
        <w:rPr>
          <w:b/>
        </w:rPr>
        <w:t>Trial-level mixed-effects model.</w:t>
      </w:r>
      <w:r>
        <w:t xml:space="preserve"> Collapsing each subject's data to a single psychometric bias estimate per condition, and then testing the medication-related change in the Positive- versus Equal-Prior difference with a paired test across subjects, discards trial-level information and is underpowered given the size of the patient subgroups. We therefore additionally modeled single-trial choices directly with a mixed-effects logistic regression,</w:t>
      </w:r>
    </w:p>
    <w:p>
      <w:pPr>
        <w:spacing w:before="80" w:after="200"/>
        <w:jc w:val="center"/>
      </w:pPr>
      <w:r>
        <w:rPr>
          <w:i/>
        </w:rPr>
        <w:t>choice ~ coherence + color × medication</w:t>
      </w:r>
    </w:p>
    <w:p>
      <w:pPr>
        <w:spacing w:after="200" w:line="276" w:lineRule="auto"/>
      </w:pPr>
      <w:r>
        <w:rPr>
          <w:i w:val="0"/>
          <w:sz w:val="22"/>
        </w:rPr>
        <w:t>with color (Positive Prior versus Equal Prior) and medication (ON versus OFF) effect-coded so that their interaction term is a trial-level analogue of the subject-level difference-in-differences contrast, and coherence included as a covariate to account for the psychometric slope. The model included a full by-subject random-effects structure: a random intercept together with random slopes for color, medication, and their interaction, fit by variational Bayesian estimation given the large trial counts involved. Random slopes, rather than a random intercept alone, are necessary to avoid treating genuine between-subject variability in medication response as spurious precision on the population-level effect. Significance of the color × medication interaction was assessed with a z-test on its posterior mean and standard deviation. Model-predicted choice probability at 0% coherence, with 95% confidence intervals propagated from the posterior standard deviations of the relevant fixed effects, is reported for each medication state and prior condition. As a robustness check, each model was refit with individual subjects excluded one at a time (leave-one-subject-out) to confirm that the sign and significance of the interaction were not driven by any single subject.</w:t>
      </w:r>
    </w:p>
    <w:p>
      <w:pPr>
        <w:pStyle w:val="Heading1"/>
      </w:pPr>
      <w:r>
        <w:rPr>
          <w:rFonts w:ascii="Times New Roman" w:hAnsi="Times New Roman"/>
          <w:color w:val="000000"/>
        </w:rPr>
        <w:t>Modeling</w:t>
      </w:r>
    </w:p>
    <w:p>
      <w:pPr>
        <w:spacing w:after="200" w:line="276" w:lineRule="auto"/>
      </w:pPr>
      <w:r>
        <w:rPr>
          <w:b/>
        </w:rPr>
        <w:t>Drift-diffusion model.</w:t>
      </w:r>
      <w:r>
        <w:t xml:space="preserve"> To identify the decision-process mechanism underlying prior-driven choice bias, we fit a leaky drift-diffusion model (DDM) with a time-varying decision urgency signal, separately for each session and prior color. Under this model, evidence e(t) accumulates as</w:t>
      </w:r>
    </w:p>
    <w:p>
      <w:pPr>
        <w:spacing w:before="80" w:after="200"/>
        <w:jc w:val="center"/>
      </w:pPr>
      <w:r>
        <w:rPr>
          <w:i/>
        </w:rPr>
        <w:t>e(t) = e(t−1) + [k·C(t) + o]·dt + η(t) − ℓ·(e(t−1) − z·a)·dt</w:t>
      </w:r>
    </w:p>
    <w:p>
      <w:pPr>
        <w:spacing w:after="200" w:line="276" w:lineRule="auto"/>
      </w:pPr>
      <w:r>
        <w:rPr>
          <w:i w:val="0"/>
          <w:sz w:val="22"/>
        </w:rPr>
        <w:t>where η(t) is Gaussian noise, C(t) is signed stimulus coherence, k is the drift gain, o is a drift-rate offset, a is boundary separation, z is the starting point (as a fraction of a), and ℓ is a leak rate that pulls the accumulator back toward its starting point. A time-varying urgency signal additionally rescaled the distance of accumulated evidence from the starting point as a function of elapsed time, allowing for an effective collapse of the decision bounds; a response was recorded at the first crossing of either bound, plus a non-decision time accounting for sensory and motor delays. Trial-to-trial variability in drift rate and starting point was also included, following standard practice in diffusion modeling. Model parameters (non-decision time, boundary separation, starting point, drift gain, drift-rate offset, leak rate, urgency time constant, and the two variability terms) were fit to each session’s choice and reaction-time data independently for the Equal-Prior and Positive-Prior colors, using a global differential-evolution search followed by a Nelder–Mead simplex local refinement to minimize a combined objective that penalized mismatches between simulated and observed choice/reaction-time distributions (per coherence), choice-conditional mean reaction times, and conditional accuracy as a function of reaction time. Starting point and drift-rate offset—the two parameters through which a prior can bias a diffusion process—were compared between the Equal-Prior and Positive-Prior color within each subject using two-sided Wilcoxon signed-rank tests, separately in each group (Table 2).</w:t>
      </w:r>
    </w:p>
    <w:p>
      <w:pPr>
        <w:spacing w:after="200" w:line="276" w:lineRule="auto"/>
      </w:pPr>
      <w:r>
        <w:rPr>
          <w:b/>
        </w:rPr>
        <w:t>Hidden Markov modeling of decision-making states.</w:t>
      </w:r>
      <w:r>
        <w:t xml:space="preserve"> To characterize discrete latent decision-making states shared across healthy controls and PD patients, we fit a Bernoulli generalized linear model–hidden Markov model (GLM-HMM) to single-trial choices, pooling data across all sessions to learn a shared repertoire of latent states before obtaining session-specific model fits aligned to that shared basis³. On each trial, the model's input regressors were the signed stimulus strength, the trial's prior color, a constant bias term, and history terms capturing the previous trial's choice, target, and their interaction (a win-stay/lose-shift term). Models were fit by expectation-maximization with multiple random restarts and an L2 prior on the regression weights; because standard fitting procedures are invariant to the labeling of latent states, each session's fitted states were aligned to a common reference using an optimal (Hungarian-algorithm) assignment of weight vectors, ensuring that a given state index corresponds to the same behavioral strategy across sessions and groups. The number of latent states was selected by five-fold cross-validation, choosing the smallest number of states whose held-out log-likelihood was within one standard error of the maximum (a four-state model was selected).</w:t>
      </w:r>
    </w:p>
    <w:p>
      <w:pPr>
        <w:spacing w:after="200" w:line="276" w:lineRule="auto"/>
      </w:pPr>
      <w:r>
        <w:rPr>
          <w:i w:val="0"/>
          <w:sz w:val="22"/>
        </w:rPr>
        <w:t>For each motor-subtype/medication group, a given state was classified as “color-sensitive” (prior-sensitive) if the prior-driven shift in predicted choice probability at 0% coherence differed reliably from zero across that group's sessions, assessed with a one-sample Wilcoxon signed-rank test together with a bias-corrected and accelerated (BCa) bootstrap 95% confidence interval (10,000 resamples); a state was considered significant if this interval excluded zero. Each session's cumulative occupancy in its group's significant state(s) was then compared within-subject across medication state (paired Wilcoxon signed-rank test) and between healthy controls and PD patients OFF medication (Mann–Whitney U test), each supplemented with a BCa-bootstrap confidence interval and p-value on the same contrast (Table 2). Because the significant-state set differs by group, cumulative-occupancy values are not directly comparable in absolute terms across groups and should be interpreted as a qualitative, state-level complement to the drift-diffusion and mixed-effects results rather than as an independent omnibus test.</w:t>
      </w:r>
    </w:p>
    <w:p>
      <w:pPr>
        <w:spacing w:after="200" w:line="276" w:lineRule="auto"/>
      </w:pPr>
      <w:r>
        <w:rPr>
          <w:b/>
        </w:rPr>
        <w:t>Statistical software.</w:t>
      </w:r>
      <w:r>
        <w:t xml:space="preserve"> All statistical and modeling analyses were performed in Python. Multiple-comparison correction used the Bonferroni method for the subject-level psychometric bias comparisons and the Benjamini–Hochberg false-discovery-rate procedure for UPDRS/medication contrasts.</w:t>
      </w:r>
    </w:p>
    <w:p>
      <w:pPr>
        <w:spacing w:after="200" w:line="276" w:lineRule="auto"/>
      </w:pPr>
      <w:r>
        <w:rPr>
          <w:i/>
          <w:sz w:val="20"/>
        </w:rPr>
        <w:t>Items to resolve before submission: ¹ cite the original task description (Thakur et al., 2021) and the site/IRB details above; ² cite Glass (1969) for the translational Glass-pattern stimulus; ³ cite the GLM-HMM fitting framework used (e.g., Linderman et al.'s state-space modeling toolbox, and any prior paper whose GLM-HMM task design this follows, e.g. Ashwood et al.).</w:t>
      </w:r>
    </w:p>
    <w:p>
      <w:r>
        <w:br w:type="page"/>
      </w:r>
    </w:p>
    <w:p>
      <w:pPr>
        <w:spacing w:after="120"/>
      </w:pPr>
      <w:r>
        <w:rPr>
          <w:b/>
          <w:sz w:val="22"/>
        </w:rPr>
        <w:t>Table 1. Participant demographics</w:t>
      </w:r>
    </w:p>
    <w:p>
      <w:pPr>
        <w:spacing w:after="200" w:line="276" w:lineRule="auto"/>
      </w:pPr>
      <w:r>
        <w:rPr>
          <w:i/>
          <w:sz w:val="20"/>
        </w:rPr>
        <w:t>Values are mean ± SD unless noted, computed from the final, post-exclusion sample.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r/>
            <w:r>
              <w:rPr>
                <w:b/>
                <w:sz w:val="19"/>
              </w:rPr>
            </w:r>
          </w:p>
        </w:tc>
        <w:tc>
          <w:tcPr>
            <w:tcW w:type="dxa" w:w="1560"/>
            <w:shd w:val="clear" w:color="auto" w:fill="D9D9D9"/>
          </w:tcPr>
          <w:p>
            <w:r/>
            <w:r>
              <w:rPr>
                <w:b/>
                <w:sz w:val="19"/>
              </w:rPr>
              <w:t>Healthy Controls</w:t>
            </w:r>
          </w:p>
        </w:tc>
        <w:tc>
          <w:tcPr>
            <w:tcW w:type="dxa" w:w="1560"/>
            <w:shd w:val="clear" w:color="auto" w:fill="D9D9D9"/>
          </w:tcPr>
          <w:p>
            <w:r/>
            <w:r>
              <w:rPr>
                <w:b/>
                <w:sz w:val="19"/>
              </w:rPr>
              <w:t>All PD</w:t>
            </w:r>
          </w:p>
        </w:tc>
        <w:tc>
          <w:tcPr>
            <w:tcW w:type="dxa" w:w="1560"/>
            <w:shd w:val="clear" w:color="auto" w:fill="D9D9D9"/>
          </w:tcPr>
          <w:p>
            <w:r/>
            <w:r>
              <w:rPr>
                <w:b/>
                <w:sz w:val="19"/>
              </w:rPr>
              <w:t>Tremor-dominant</w:t>
            </w:r>
          </w:p>
        </w:tc>
        <w:tc>
          <w:tcPr>
            <w:tcW w:type="dxa" w:w="1560"/>
            <w:shd w:val="clear" w:color="auto" w:fill="D9D9D9"/>
          </w:tcPr>
          <w:p>
            <w:r/>
            <w:r>
              <w:rPr>
                <w:b/>
                <w:sz w:val="19"/>
              </w:rPr>
              <w:t>Bradykinesia-dominant</w:t>
            </w:r>
          </w:p>
        </w:tc>
        <w:tc>
          <w:tcPr>
            <w:tcW w:type="dxa" w:w="1560"/>
            <w:shd w:val="clear" w:color="auto" w:fill="D9D9D9"/>
          </w:tcPr>
          <w:p>
            <w:r/>
            <w:r>
              <w:rPr>
                <w:b/>
                <w:sz w:val="19"/>
              </w:rPr>
              <w:t>Intermediate</w:t>
            </w:r>
          </w:p>
        </w:tc>
      </w:tr>
      <w:tr>
        <w:tc>
          <w:tcPr>
            <w:tcW w:type="dxa" w:w="1560"/>
          </w:tcPr>
          <w:p>
            <w:r/>
            <w:r>
              <w:rPr>
                <w:sz w:val="19"/>
              </w:rPr>
              <w:t>N (subjects)</w:t>
            </w:r>
          </w:p>
        </w:tc>
        <w:tc>
          <w:tcPr>
            <w:tcW w:type="dxa" w:w="1560"/>
          </w:tcPr>
          <w:p>
            <w:r/>
            <w:r>
              <w:rPr>
                <w:sz w:val="19"/>
              </w:rPr>
              <w:t>18</w:t>
            </w:r>
          </w:p>
        </w:tc>
        <w:tc>
          <w:tcPr>
            <w:tcW w:type="dxa" w:w="1560"/>
          </w:tcPr>
          <w:p>
            <w:r/>
            <w:r>
              <w:rPr>
                <w:sz w:val="19"/>
              </w:rPr>
              <w:t>41</w:t>
            </w:r>
          </w:p>
        </w:tc>
        <w:tc>
          <w:tcPr>
            <w:tcW w:type="dxa" w:w="1560"/>
          </w:tcPr>
          <w:p>
            <w:r/>
            <w:r>
              <w:rPr>
                <w:sz w:val="19"/>
              </w:rPr>
              <w:t>11</w:t>
            </w:r>
          </w:p>
        </w:tc>
        <w:tc>
          <w:tcPr>
            <w:tcW w:type="dxa" w:w="1560"/>
          </w:tcPr>
          <w:p>
            <w:r/>
            <w:r>
              <w:rPr>
                <w:sz w:val="19"/>
              </w:rPr>
              <w:t>10</w:t>
            </w:r>
          </w:p>
        </w:tc>
        <w:tc>
          <w:tcPr>
            <w:tcW w:type="dxa" w:w="1560"/>
          </w:tcPr>
          <w:p>
            <w:r/>
            <w:r>
              <w:rPr>
                <w:sz w:val="19"/>
              </w:rPr>
              <w:t>1</w:t>
            </w:r>
          </w:p>
        </w:tc>
      </w:tr>
      <w:tr>
        <w:tc>
          <w:tcPr>
            <w:tcW w:type="dxa" w:w="1560"/>
          </w:tcPr>
          <w:p>
            <w:r/>
            <w:r>
              <w:rPr>
                <w:sz w:val="19"/>
              </w:rPr>
              <w:t>Sessions</w:t>
            </w:r>
          </w:p>
        </w:tc>
        <w:tc>
          <w:tcPr>
            <w:tcW w:type="dxa" w:w="1560"/>
          </w:tcPr>
          <w:p>
            <w:r/>
            <w:r>
              <w:rPr>
                <w:sz w:val="19"/>
              </w:rPr>
              <w:t>1 (no medication)</w:t>
            </w:r>
          </w:p>
        </w:tc>
        <w:tc>
          <w:tcPr>
            <w:tcW w:type="dxa" w:w="1560"/>
          </w:tcPr>
          <w:p>
            <w:r/>
            <w:r>
              <w:rPr>
                <w:sz w:val="19"/>
              </w:rPr>
              <w:t>2 (OFF + ON)</w:t>
            </w:r>
          </w:p>
        </w:tc>
        <w:tc>
          <w:tcPr>
            <w:tcW w:type="dxa" w:w="1560"/>
          </w:tcPr>
          <w:p>
            <w:r/>
            <w:r>
              <w:rPr>
                <w:sz w:val="19"/>
              </w:rPr>
              <w:t>2 (OFF + ON)</w:t>
            </w:r>
          </w:p>
        </w:tc>
        <w:tc>
          <w:tcPr>
            <w:tcW w:type="dxa" w:w="1560"/>
          </w:tcPr>
          <w:p>
            <w:r/>
            <w:r>
              <w:rPr>
                <w:sz w:val="19"/>
              </w:rPr>
              <w:t>2 (OFF + ON)</w:t>
            </w:r>
          </w:p>
        </w:tc>
        <w:tc>
          <w:tcPr>
            <w:tcW w:type="dxa" w:w="1560"/>
          </w:tcPr>
          <w:p>
            <w:r/>
            <w:r>
              <w:rPr>
                <w:sz w:val="19"/>
              </w:rPr>
              <w:t>2 (OFF + ON)</w:t>
            </w:r>
          </w:p>
        </w:tc>
      </w:tr>
      <w:tr>
        <w:tc>
          <w:tcPr>
            <w:tcW w:type="dxa" w:w="1560"/>
          </w:tcPr>
          <w:p>
            <w:r/>
            <w:r>
              <w:rPr>
                <w:sz w:val="19"/>
              </w:rPr>
              <w:t>Age, years¹</w:t>
            </w:r>
          </w:p>
        </w:tc>
        <w:tc>
          <w:tcPr>
            <w:tcW w:type="dxa" w:w="1560"/>
          </w:tcPr>
          <w:p>
            <w:r/>
            <w:r>
              <w:rPr>
                <w:sz w:val="19"/>
              </w:rPr>
              <w:t>not available</w:t>
            </w:r>
          </w:p>
        </w:tc>
        <w:tc>
          <w:tcPr>
            <w:tcW w:type="dxa" w:w="1560"/>
          </w:tcPr>
          <w:p>
            <w:r/>
            <w:r>
              <w:rPr>
                <w:sz w:val="19"/>
              </w:rPr>
              <w:t>64.1 ± 8.9 (n=22)</w:t>
            </w:r>
          </w:p>
        </w:tc>
        <w:tc>
          <w:tcPr>
            <w:tcW w:type="dxa" w:w="1560"/>
          </w:tcPr>
          <w:p>
            <w:r/>
            <w:r>
              <w:rPr>
                <w:sz w:val="19"/>
              </w:rPr>
              <w:t>64.6 ± 10.2 (n=11)</w:t>
            </w:r>
          </w:p>
        </w:tc>
        <w:tc>
          <w:tcPr>
            <w:tcW w:type="dxa" w:w="1560"/>
          </w:tcPr>
          <w:p>
            <w:r/>
            <w:r>
              <w:rPr>
                <w:sz w:val="19"/>
              </w:rPr>
              <w:t>64.3 ± 7.8 (n=10)</w:t>
            </w:r>
          </w:p>
        </w:tc>
        <w:tc>
          <w:tcPr>
            <w:tcW w:type="dxa" w:w="1560"/>
          </w:tcPr>
          <w:p>
            <w:r/>
            <w:r>
              <w:rPr>
                <w:sz w:val="19"/>
              </w:rPr>
              <w:t>—</w:t>
            </w:r>
          </w:p>
        </w:tc>
      </w:tr>
      <w:tr>
        <w:tc>
          <w:tcPr>
            <w:tcW w:type="dxa" w:w="1560"/>
          </w:tcPr>
          <w:p>
            <w:r/>
            <w:r>
              <w:rPr>
                <w:sz w:val="19"/>
              </w:rPr>
              <w:t>Sex (M/F)¹</w:t>
            </w:r>
          </w:p>
        </w:tc>
        <w:tc>
          <w:tcPr>
            <w:tcW w:type="dxa" w:w="1560"/>
          </w:tcPr>
          <w:p>
            <w:r/>
            <w:r>
              <w:rPr>
                <w:sz w:val="19"/>
              </w:rPr>
              <w:t>not available</w:t>
            </w:r>
          </w:p>
        </w:tc>
        <w:tc>
          <w:tcPr>
            <w:tcW w:type="dxa" w:w="1560"/>
          </w:tcPr>
          <w:p>
            <w:r/>
            <w:r>
              <w:rPr>
                <w:sz w:val="19"/>
              </w:rPr>
              <w:t>15 / 7 (n=22)</w:t>
            </w:r>
          </w:p>
        </w:tc>
        <w:tc>
          <w:tcPr>
            <w:tcW w:type="dxa" w:w="1560"/>
          </w:tcPr>
          <w:p>
            <w:r/>
            <w:r>
              <w:rPr>
                <w:sz w:val="19"/>
              </w:rPr>
              <w:t>6 / 5</w:t>
            </w:r>
          </w:p>
        </w:tc>
        <w:tc>
          <w:tcPr>
            <w:tcW w:type="dxa" w:w="1560"/>
          </w:tcPr>
          <w:p>
            <w:r/>
            <w:r>
              <w:rPr>
                <w:sz w:val="19"/>
              </w:rPr>
              <w:t>9 / 1</w:t>
            </w:r>
          </w:p>
        </w:tc>
        <w:tc>
          <w:tcPr>
            <w:tcW w:type="dxa" w:w="1560"/>
          </w:tcPr>
          <w:p>
            <w:r/>
            <w:r>
              <w:rPr>
                <w:sz w:val="19"/>
              </w:rPr>
              <w:t>—</w:t>
            </w:r>
          </w:p>
        </w:tc>
      </w:tr>
      <w:tr>
        <w:tc>
          <w:tcPr>
            <w:tcW w:type="dxa" w:w="1560"/>
          </w:tcPr>
          <w:p>
            <w:r/>
            <w:r>
              <w:rPr>
                <w:sz w:val="19"/>
              </w:rPr>
              <w:t>Years since diagnosis¹</w:t>
            </w:r>
          </w:p>
        </w:tc>
        <w:tc>
          <w:tcPr>
            <w:tcW w:type="dxa" w:w="1560"/>
          </w:tcPr>
          <w:p>
            <w:r/>
            <w:r>
              <w:rPr>
                <w:sz w:val="19"/>
              </w:rPr>
              <w:t>—</w:t>
            </w:r>
          </w:p>
        </w:tc>
        <w:tc>
          <w:tcPr>
            <w:tcW w:type="dxa" w:w="1560"/>
          </w:tcPr>
          <w:p>
            <w:r/>
            <w:r>
              <w:rPr>
                <w:sz w:val="19"/>
              </w:rPr>
              <w:t>3.8 ± 2.9 (n=22)</w:t>
            </w:r>
          </w:p>
        </w:tc>
        <w:tc>
          <w:tcPr>
            <w:tcW w:type="dxa" w:w="1560"/>
          </w:tcPr>
          <w:p>
            <w:r/>
            <w:r>
              <w:rPr>
                <w:sz w:val="19"/>
              </w:rPr>
              <w:t>4.2 ± 3.1</w:t>
            </w:r>
          </w:p>
        </w:tc>
        <w:tc>
          <w:tcPr>
            <w:tcW w:type="dxa" w:w="1560"/>
          </w:tcPr>
          <w:p>
            <w:r/>
            <w:r>
              <w:rPr>
                <w:sz w:val="19"/>
              </w:rPr>
              <w:t>3.4 ± 2.8</w:t>
            </w:r>
          </w:p>
        </w:tc>
        <w:tc>
          <w:tcPr>
            <w:tcW w:type="dxa" w:w="1560"/>
          </w:tcPr>
          <w:p>
            <w:r/>
            <w:r>
              <w:rPr>
                <w:sz w:val="19"/>
              </w:rPr>
              <w:t>—</w:t>
            </w:r>
          </w:p>
        </w:tc>
      </w:tr>
      <w:tr>
        <w:tc>
          <w:tcPr>
            <w:tcW w:type="dxa" w:w="1560"/>
          </w:tcPr>
          <w:p>
            <w:r/>
            <w:r>
              <w:rPr>
                <w:sz w:val="19"/>
              </w:rPr>
              <w:t>MoCA¹</w:t>
            </w:r>
          </w:p>
        </w:tc>
        <w:tc>
          <w:tcPr>
            <w:tcW w:type="dxa" w:w="1560"/>
          </w:tcPr>
          <w:p>
            <w:r/>
            <w:r>
              <w:rPr>
                <w:sz w:val="19"/>
              </w:rPr>
              <w:t>—</w:t>
            </w:r>
          </w:p>
        </w:tc>
        <w:tc>
          <w:tcPr>
            <w:tcW w:type="dxa" w:w="1560"/>
          </w:tcPr>
          <w:p>
            <w:r/>
            <w:r>
              <w:rPr>
                <w:sz w:val="19"/>
              </w:rPr>
              <w:t>28.3 ± 2.3 (n=27)</w:t>
            </w:r>
          </w:p>
        </w:tc>
        <w:tc>
          <w:tcPr>
            <w:tcW w:type="dxa" w:w="1560"/>
          </w:tcPr>
          <w:p>
            <w:r/>
            <w:r>
              <w:rPr>
                <w:sz w:val="19"/>
              </w:rPr>
              <w:t>27.0 ± 2.0 (n=6)</w:t>
            </w:r>
          </w:p>
        </w:tc>
        <w:tc>
          <w:tcPr>
            <w:tcW w:type="dxa" w:w="1560"/>
          </w:tcPr>
          <w:p>
            <w:r/>
            <w:r>
              <w:rPr>
                <w:sz w:val="19"/>
              </w:rPr>
              <w:t>27.8 ± 1.3 (n=5)</w:t>
            </w:r>
          </w:p>
        </w:tc>
        <w:tc>
          <w:tcPr>
            <w:tcW w:type="dxa" w:w="1560"/>
          </w:tcPr>
          <w:p>
            <w:r/>
            <w:r>
              <w:rPr>
                <w:sz w:val="19"/>
              </w:rPr>
              <w:t>—</w:t>
            </w:r>
          </w:p>
        </w:tc>
      </w:tr>
      <w:tr>
        <w:tc>
          <w:tcPr>
            <w:tcW w:type="dxa" w:w="1560"/>
          </w:tcPr>
          <w:p>
            <w:r/>
            <w:r>
              <w:rPr>
                <w:sz w:val="19"/>
              </w:rPr>
              <w:t>Hoehn &amp; Yahr stage¹</w:t>
            </w:r>
          </w:p>
        </w:tc>
        <w:tc>
          <w:tcPr>
            <w:tcW w:type="dxa" w:w="1560"/>
          </w:tcPr>
          <w:p>
            <w:r/>
            <w:r>
              <w:rPr>
                <w:sz w:val="19"/>
              </w:rPr>
              <w:t>—</w:t>
            </w:r>
          </w:p>
        </w:tc>
        <w:tc>
          <w:tcPr>
            <w:tcW w:type="dxa" w:w="1560"/>
          </w:tcPr>
          <w:p>
            <w:r/>
            <w:r>
              <w:rPr>
                <w:sz w:val="19"/>
              </w:rPr>
              <w:t>1.9 ± 0.3 (n=14)</w:t>
            </w:r>
          </w:p>
        </w:tc>
        <w:tc>
          <w:tcPr>
            <w:tcW w:type="dxa" w:w="1560"/>
          </w:tcPr>
          <w:p>
            <w:r/>
            <w:r>
              <w:rPr>
                <w:sz w:val="19"/>
              </w:rPr>
              <w:t>1.8 ± 0.4 (n=6)</w:t>
            </w:r>
          </w:p>
        </w:tc>
        <w:tc>
          <w:tcPr>
            <w:tcW w:type="dxa" w:w="1560"/>
          </w:tcPr>
          <w:p>
            <w:r/>
            <w:r>
              <w:rPr>
                <w:sz w:val="19"/>
              </w:rPr>
              <w:t>2.0 ± 0.0 (n=7)</w:t>
            </w:r>
          </w:p>
        </w:tc>
        <w:tc>
          <w:tcPr>
            <w:tcW w:type="dxa" w:w="1560"/>
          </w:tcPr>
          <w:p>
            <w:r/>
            <w:r>
              <w:rPr>
                <w:sz w:val="19"/>
              </w:rPr>
              <w:t>—</w:t>
            </w:r>
          </w:p>
        </w:tc>
      </w:tr>
      <w:tr>
        <w:tc>
          <w:tcPr>
            <w:tcW w:type="dxa" w:w="1560"/>
          </w:tcPr>
          <w:p>
            <w:r/>
            <w:r>
              <w:rPr>
                <w:sz w:val="19"/>
              </w:rPr>
              <w:t>MDS-UPDRS III, OFF¹</w:t>
            </w:r>
          </w:p>
        </w:tc>
        <w:tc>
          <w:tcPr>
            <w:tcW w:type="dxa" w:w="1560"/>
          </w:tcPr>
          <w:p>
            <w:r/>
            <w:r>
              <w:rPr>
                <w:sz w:val="19"/>
              </w:rPr>
              <w:t>—</w:t>
            </w:r>
          </w:p>
        </w:tc>
        <w:tc>
          <w:tcPr>
            <w:tcW w:type="dxa" w:w="1560"/>
          </w:tcPr>
          <w:p>
            <w:r/>
            <w:r>
              <w:rPr>
                <w:sz w:val="19"/>
              </w:rPr>
              <w:t>20.4 ± 7.6 (n=22)</w:t>
            </w:r>
          </w:p>
        </w:tc>
        <w:tc>
          <w:tcPr>
            <w:tcW w:type="dxa" w:w="1560"/>
          </w:tcPr>
          <w:p>
            <w:r/>
            <w:r>
              <w:rPr>
                <w:sz w:val="19"/>
              </w:rPr>
              <w:t>19.2 ± 6.5</w:t>
            </w:r>
          </w:p>
        </w:tc>
        <w:tc>
          <w:tcPr>
            <w:tcW w:type="dxa" w:w="1560"/>
          </w:tcPr>
          <w:p>
            <w:r/>
            <w:r>
              <w:rPr>
                <w:sz w:val="19"/>
              </w:rPr>
              <w:t>21.2 ± 9.1</w:t>
            </w:r>
          </w:p>
        </w:tc>
        <w:tc>
          <w:tcPr>
            <w:tcW w:type="dxa" w:w="1560"/>
          </w:tcPr>
          <w:p>
            <w:r/>
            <w:r>
              <w:rPr>
                <w:sz w:val="19"/>
              </w:rPr>
              <w:t>—</w:t>
            </w:r>
          </w:p>
        </w:tc>
      </w:tr>
      <w:tr>
        <w:tc>
          <w:tcPr>
            <w:tcW w:type="dxa" w:w="1560"/>
          </w:tcPr>
          <w:p>
            <w:r/>
            <w:r>
              <w:rPr>
                <w:sz w:val="19"/>
              </w:rPr>
              <w:t>MDS-UPDRS III, ON¹</w:t>
            </w:r>
          </w:p>
        </w:tc>
        <w:tc>
          <w:tcPr>
            <w:tcW w:type="dxa" w:w="1560"/>
          </w:tcPr>
          <w:p>
            <w:r/>
            <w:r>
              <w:rPr>
                <w:sz w:val="19"/>
              </w:rPr>
              <w:t>—</w:t>
            </w:r>
          </w:p>
        </w:tc>
        <w:tc>
          <w:tcPr>
            <w:tcW w:type="dxa" w:w="1560"/>
          </w:tcPr>
          <w:p>
            <w:r/>
            <w:r>
              <w:rPr>
                <w:sz w:val="19"/>
              </w:rPr>
              <w:t>14.6 ± 7.9 (n=22)</w:t>
            </w:r>
          </w:p>
        </w:tc>
        <w:tc>
          <w:tcPr>
            <w:tcW w:type="dxa" w:w="1560"/>
          </w:tcPr>
          <w:p>
            <w:r/>
            <w:r>
              <w:rPr>
                <w:sz w:val="19"/>
              </w:rPr>
              <w:t>—</w:t>
            </w:r>
          </w:p>
        </w:tc>
        <w:tc>
          <w:tcPr>
            <w:tcW w:type="dxa" w:w="1560"/>
          </w:tcPr>
          <w:p>
            <w:r/>
            <w:r>
              <w:rPr>
                <w:sz w:val="19"/>
              </w:rPr>
              <w:t>—</w:t>
            </w:r>
          </w:p>
        </w:tc>
        <w:tc>
          <w:tcPr>
            <w:tcW w:type="dxa" w:w="1560"/>
          </w:tcPr>
          <w:p>
            <w:r/>
            <w:r>
              <w:rPr>
                <w:sz w:val="19"/>
              </w:rPr>
              <w:t>—</w:t>
            </w:r>
          </w:p>
        </w:tc>
      </w:tr>
      <w:tr>
        <w:tc>
          <w:tcPr>
            <w:tcW w:type="dxa" w:w="1560"/>
          </w:tcPr>
          <w:p>
            <w:r/>
            <w:r>
              <w:rPr>
                <w:sz w:val="19"/>
              </w:rPr>
              <w:t>Tremor subscore, OFF²</w:t>
            </w:r>
          </w:p>
        </w:tc>
        <w:tc>
          <w:tcPr>
            <w:tcW w:type="dxa" w:w="1560"/>
          </w:tcPr>
          <w:p>
            <w:r/>
            <w:r>
              <w:rPr>
                <w:sz w:val="19"/>
              </w:rPr>
              <w:t>—</w:t>
            </w:r>
          </w:p>
        </w:tc>
        <w:tc>
          <w:tcPr>
            <w:tcW w:type="dxa" w:w="1560"/>
          </w:tcPr>
          <w:p>
            <w:r/>
            <w:r>
              <w:rPr>
                <w:sz w:val="19"/>
              </w:rPr>
              <w:t>0.61 ± 0.35 (n=22)</w:t>
            </w:r>
          </w:p>
        </w:tc>
        <w:tc>
          <w:tcPr>
            <w:tcW w:type="dxa" w:w="1560"/>
          </w:tcPr>
          <w:p>
            <w:r/>
            <w:r>
              <w:rPr>
                <w:sz w:val="19"/>
              </w:rPr>
              <w:t>0.84 ± 0.25</w:t>
            </w:r>
          </w:p>
        </w:tc>
        <w:tc>
          <w:tcPr>
            <w:tcW w:type="dxa" w:w="1560"/>
          </w:tcPr>
          <w:p>
            <w:r/>
            <w:r>
              <w:rPr>
                <w:sz w:val="19"/>
              </w:rPr>
              <w:t>0.34 ± 0.24</w:t>
            </w:r>
          </w:p>
        </w:tc>
        <w:tc>
          <w:tcPr>
            <w:tcW w:type="dxa" w:w="1560"/>
          </w:tcPr>
          <w:p>
            <w:r/>
            <w:r>
              <w:rPr>
                <w:sz w:val="19"/>
              </w:rPr>
              <w:t>—</w:t>
            </w:r>
          </w:p>
        </w:tc>
      </w:tr>
      <w:tr>
        <w:tc>
          <w:tcPr>
            <w:tcW w:type="dxa" w:w="1560"/>
          </w:tcPr>
          <w:p>
            <w:r/>
            <w:r>
              <w:rPr>
                <w:sz w:val="19"/>
              </w:rPr>
              <w:t>Bradykinesia subscore, OFF²</w:t>
            </w:r>
          </w:p>
        </w:tc>
        <w:tc>
          <w:tcPr>
            <w:tcW w:type="dxa" w:w="1560"/>
          </w:tcPr>
          <w:p>
            <w:r/>
            <w:r>
              <w:rPr>
                <w:sz w:val="19"/>
              </w:rPr>
              <w:t>—</w:t>
            </w:r>
          </w:p>
        </w:tc>
        <w:tc>
          <w:tcPr>
            <w:tcW w:type="dxa" w:w="1560"/>
          </w:tcPr>
          <w:p>
            <w:r/>
            <w:r>
              <w:rPr>
                <w:sz w:val="19"/>
              </w:rPr>
              <w:t>0.74 ± 0.39 (n=22)</w:t>
            </w:r>
          </w:p>
        </w:tc>
        <w:tc>
          <w:tcPr>
            <w:tcW w:type="dxa" w:w="1560"/>
          </w:tcPr>
          <w:p>
            <w:r/>
            <w:r>
              <w:rPr>
                <w:sz w:val="19"/>
              </w:rPr>
              <w:t>0.59 ± 0.31</w:t>
            </w:r>
          </w:p>
        </w:tc>
        <w:tc>
          <w:tcPr>
            <w:tcW w:type="dxa" w:w="1560"/>
          </w:tcPr>
          <w:p>
            <w:r/>
            <w:r>
              <w:rPr>
                <w:sz w:val="19"/>
              </w:rPr>
              <w:t>0.89 ± 0.44</w:t>
            </w:r>
          </w:p>
        </w:tc>
        <w:tc>
          <w:tcPr>
            <w:tcW w:type="dxa" w:w="1560"/>
          </w:tcPr>
          <w:p>
            <w:r/>
            <w:r>
              <w:rPr>
                <w:sz w:val="19"/>
              </w:rPr>
              <w:t>—</w:t>
            </w:r>
          </w:p>
        </w:tc>
      </w:tr>
      <w:tr>
        <w:tc>
          <w:tcPr>
            <w:tcW w:type="dxa" w:w="1560"/>
          </w:tcPr>
          <w:p>
            <w:r/>
            <w:r>
              <w:rPr>
                <w:sz w:val="19"/>
              </w:rPr>
              <w:t>Tremor/bradykinesia ratio, OFF³</w:t>
            </w:r>
          </w:p>
        </w:tc>
        <w:tc>
          <w:tcPr>
            <w:tcW w:type="dxa" w:w="1560"/>
          </w:tcPr>
          <w:p>
            <w:r/>
            <w:r>
              <w:rPr>
                <w:sz w:val="19"/>
              </w:rPr>
              <w:t>—</w:t>
            </w:r>
          </w:p>
        </w:tc>
        <w:tc>
          <w:tcPr>
            <w:tcW w:type="dxa" w:w="1560"/>
          </w:tcPr>
          <w:p>
            <w:r/>
            <w:r>
              <w:rPr>
                <w:sz w:val="19"/>
              </w:rPr>
              <w:t>—</w:t>
            </w:r>
          </w:p>
        </w:tc>
        <w:tc>
          <w:tcPr>
            <w:tcW w:type="dxa" w:w="1560"/>
          </w:tcPr>
          <w:p>
            <w:r/>
            <w:r>
              <w:rPr>
                <w:sz w:val="19"/>
              </w:rPr>
              <w:t>&gt; 1.0</w:t>
            </w:r>
          </w:p>
        </w:tc>
        <w:tc>
          <w:tcPr>
            <w:tcW w:type="dxa" w:w="1560"/>
          </w:tcPr>
          <w:p>
            <w:r/>
            <w:r>
              <w:rPr>
                <w:sz w:val="19"/>
              </w:rPr>
              <w:t>&lt; 0.8</w:t>
            </w:r>
          </w:p>
        </w:tc>
        <w:tc>
          <w:tcPr>
            <w:tcW w:type="dxa" w:w="1560"/>
          </w:tcPr>
          <w:p>
            <w:r/>
            <w:r>
              <w:rPr>
                <w:sz w:val="19"/>
              </w:rPr>
              <w:t>0.8–1.0</w:t>
            </w:r>
          </w:p>
        </w:tc>
      </w:tr>
    </w:tbl>
    <w:p>
      <w:pPr>
        <w:spacing w:after="80"/>
      </w:pPr>
    </w:p>
    <w:p>
      <w:pPr>
        <w:spacing w:after="120"/>
      </w:pPr>
      <w:r>
        <w:rPr>
          <w:sz w:val="19"/>
        </w:rPr>
        <w:t>1. Demographic and itemized MDS-UPDRS data were available for a subset of 22 of the 41 PD patients; the remaining patients and all healthy controls are missing these fields in the compiled dataset used for this analysis. This most likely reflects incomplete merging of records collected under an earlier phase of this study rather than a true absence of the underlying data — please verify and complete this table from primary enrollment records before submission.</w:t>
      </w:r>
    </w:p>
    <w:p>
      <w:pPr>
        <w:spacing w:after="120"/>
      </w:pPr>
      <w:r>
        <w:rPr>
          <w:sz w:val="19"/>
        </w:rPr>
        <w:t>2. Tremor and bradykinesia subscores are each patient's mean rating (0–4 scale) across the relevant items of the MDS-UPDRS Part III motor examination, computed from the OFF-medication exam only.</w:t>
      </w:r>
    </w:p>
    <w:p>
      <w:pPr>
        <w:spacing w:after="120"/>
      </w:pPr>
      <w:r>
        <w:rPr>
          <w:sz w:val="19"/>
        </w:rPr>
        <w:t>3. Motor subtype was assigned from the ratio of these two subscores (see Motor subtyping, above); the one intermediate-ratio patient was excluded from subtype-specific analyses (Figs. 2–4).</w:t>
      </w:r>
    </w:p>
    <w:p>
      <w:pPr>
        <w:spacing w:after="120"/>
      </w:pPr>
      <w:r>
        <w:rPr>
          <w:sz w:val="19"/>
        </w:rPr>
        <w:t>4. A Montreal Cognitive Assessment (MoCA) score ≤ 26 was an a priori exclusion criterion, applied before the sample summarized above.</w:t>
      </w:r>
    </w:p>
    <w:p>
      <w:r>
        <w:br w:type="page"/>
      </w:r>
    </w:p>
    <w:p>
      <w:pPr>
        <w:spacing w:after="120"/>
      </w:pPr>
      <w:r>
        <w:rPr>
          <w:b/>
          <w:sz w:val="22"/>
        </w:rPr>
        <w:t>Table 2. Statistics summary, Figures 1–4</w:t>
      </w:r>
    </w:p>
    <w:p>
      <w:pPr>
        <w:spacing w:after="200" w:line="276" w:lineRule="auto"/>
      </w:pPr>
      <w:r>
        <w:rPr>
          <w:i/>
          <w:sz w:val="20"/>
        </w:rPr>
        <w:t>“Corrected p” uses the Bonferroni method within the family of tests noted for each panel; n is number of subjects unless stated otherwise.</w:t>
      </w:r>
    </w:p>
    <w:p>
      <w:pPr>
        <w:spacing w:after="80" w:line="276" w:lineRule="auto"/>
      </w:pPr>
      <w:r>
        <w:rPr>
          <w:b/>
          <w:i w:val="0"/>
          <w:sz w:val="22"/>
        </w:rPr>
        <w:t>Figure 1 — Positive- versus Equal-Prior bias, healthy controls and PD patients</w:t>
      </w:r>
    </w:p>
    <w:p>
      <w:pPr>
        <w:spacing w:after="200" w:line="276" w:lineRule="auto"/>
      </w:pPr>
      <w:r>
        <w:rPr>
          <w:i w:val="0"/>
          <w:sz w:val="20"/>
        </w:rPr>
        <w:t>Two-sided Wilcoxon signed-rank test comparing bias under the Positive-Prior versus Equal-Prior color; p-values Bonferroni-corrected jointly across the three groups below.</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D9D9"/>
          </w:tcPr>
          <w:p>
            <w:r/>
            <w:r>
              <w:rPr>
                <w:b/>
                <w:sz w:val="19"/>
              </w:rPr>
              <w:t>Group</w:t>
            </w:r>
          </w:p>
        </w:tc>
        <w:tc>
          <w:tcPr>
            <w:tcW w:type="dxa" w:w="1170"/>
            <w:shd w:val="clear" w:color="auto" w:fill="D9D9D9"/>
          </w:tcPr>
          <w:p>
            <w:r/>
            <w:r>
              <w:rPr>
                <w:b/>
                <w:sz w:val="19"/>
              </w:rPr>
              <w:t>n</w:t>
            </w:r>
          </w:p>
        </w:tc>
        <w:tc>
          <w:tcPr>
            <w:tcW w:type="dxa" w:w="1170"/>
            <w:shd w:val="clear" w:color="auto" w:fill="D9D9D9"/>
          </w:tcPr>
          <w:p>
            <w:r/>
            <w:r>
              <w:rPr>
                <w:b/>
                <w:sz w:val="19"/>
              </w:rPr>
              <w:t>W</w:t>
            </w:r>
          </w:p>
        </w:tc>
        <w:tc>
          <w:tcPr>
            <w:tcW w:type="dxa" w:w="1170"/>
            <w:shd w:val="clear" w:color="auto" w:fill="D9D9D9"/>
          </w:tcPr>
          <w:p>
            <w:r/>
            <w:r>
              <w:rPr>
                <w:b/>
                <w:sz w:val="19"/>
              </w:rPr>
              <w:t>raw p</w:t>
            </w:r>
          </w:p>
        </w:tc>
        <w:tc>
          <w:tcPr>
            <w:tcW w:type="dxa" w:w="1170"/>
            <w:shd w:val="clear" w:color="auto" w:fill="D9D9D9"/>
          </w:tcPr>
          <w:p>
            <w:r/>
            <w:r>
              <w:rPr>
                <w:b/>
                <w:sz w:val="19"/>
              </w:rPr>
              <w:t>corrected p</w:t>
            </w:r>
          </w:p>
        </w:tc>
        <w:tc>
          <w:tcPr>
            <w:tcW w:type="dxa" w:w="1170"/>
            <w:shd w:val="clear" w:color="auto" w:fill="D9D9D9"/>
          </w:tcPr>
          <w:p>
            <w:r/>
            <w:r>
              <w:rPr>
                <w:b/>
                <w:sz w:val="19"/>
              </w:rPr>
              <w:t>Cohen's d</w:t>
            </w:r>
          </w:p>
        </w:tc>
        <w:tc>
          <w:tcPr>
            <w:tcW w:type="dxa" w:w="1170"/>
            <w:shd w:val="clear" w:color="auto" w:fill="D9D9D9"/>
          </w:tcPr>
          <w:p>
            <w:r/>
            <w:r>
              <w:rPr>
                <w:b/>
                <w:sz w:val="19"/>
              </w:rPr>
              <w:t>power</w:t>
            </w:r>
          </w:p>
        </w:tc>
        <w:tc>
          <w:tcPr>
            <w:tcW w:type="dxa" w:w="1170"/>
            <w:shd w:val="clear" w:color="auto" w:fill="D9D9D9"/>
          </w:tcPr>
          <w:p>
            <w:r/>
            <w:r>
              <w:rPr>
                <w:b/>
                <w:sz w:val="19"/>
              </w:rPr>
              <w:t>Sig.</w:t>
            </w:r>
          </w:p>
        </w:tc>
      </w:tr>
      <w:tr>
        <w:tc>
          <w:tcPr>
            <w:tcW w:type="dxa" w:w="1170"/>
          </w:tcPr>
          <w:p>
            <w:r/>
            <w:r>
              <w:rPr>
                <w:sz w:val="19"/>
              </w:rPr>
              <w:t>Healthy controls</w:t>
            </w:r>
          </w:p>
        </w:tc>
        <w:tc>
          <w:tcPr>
            <w:tcW w:type="dxa" w:w="1170"/>
          </w:tcPr>
          <w:p>
            <w:r/>
            <w:r>
              <w:rPr>
                <w:sz w:val="19"/>
              </w:rPr>
              <w:t>18</w:t>
            </w:r>
          </w:p>
        </w:tc>
        <w:tc>
          <w:tcPr>
            <w:tcW w:type="dxa" w:w="1170"/>
          </w:tcPr>
          <w:p>
            <w:r/>
            <w:r>
              <w:rPr>
                <w:sz w:val="19"/>
              </w:rPr>
              <w:t>31.0</w:t>
            </w:r>
          </w:p>
        </w:tc>
        <w:tc>
          <w:tcPr>
            <w:tcW w:type="dxa" w:w="1170"/>
          </w:tcPr>
          <w:p>
            <w:r/>
            <w:r>
              <w:rPr>
                <w:sz w:val="19"/>
              </w:rPr>
              <w:t>0.0159</w:t>
            </w:r>
          </w:p>
        </w:tc>
        <w:tc>
          <w:tcPr>
            <w:tcW w:type="dxa" w:w="1170"/>
          </w:tcPr>
          <w:p>
            <w:r/>
            <w:r>
              <w:rPr>
                <w:sz w:val="19"/>
              </w:rPr>
              <w:t>0.0478</w:t>
            </w:r>
          </w:p>
        </w:tc>
        <w:tc>
          <w:tcPr>
            <w:tcW w:type="dxa" w:w="1170"/>
          </w:tcPr>
          <w:p>
            <w:r/>
            <w:r>
              <w:rPr>
                <w:sz w:val="19"/>
              </w:rPr>
              <w:t>0.60</w:t>
            </w:r>
          </w:p>
        </w:tc>
        <w:tc>
          <w:tcPr>
            <w:tcW w:type="dxa" w:w="1170"/>
          </w:tcPr>
          <w:p>
            <w:r/>
            <w:r>
              <w:rPr>
                <w:sz w:val="19"/>
              </w:rPr>
              <w:t>0.66</w:t>
            </w:r>
          </w:p>
        </w:tc>
        <w:tc>
          <w:tcPr>
            <w:tcW w:type="dxa" w:w="1170"/>
          </w:tcPr>
          <w:p>
            <w:r/>
            <w:r>
              <w:rPr>
                <w:sz w:val="19"/>
              </w:rPr>
              <w:t>*</w:t>
            </w:r>
          </w:p>
        </w:tc>
      </w:tr>
      <w:tr>
        <w:tc>
          <w:tcPr>
            <w:tcW w:type="dxa" w:w="1170"/>
          </w:tcPr>
          <w:p>
            <w:r/>
            <w:r>
              <w:rPr>
                <w:sz w:val="19"/>
              </w:rPr>
              <w:t>PD, OFF medication</w:t>
            </w:r>
          </w:p>
        </w:tc>
        <w:tc>
          <w:tcPr>
            <w:tcW w:type="dxa" w:w="1170"/>
          </w:tcPr>
          <w:p>
            <w:r/>
            <w:r>
              <w:rPr>
                <w:sz w:val="19"/>
              </w:rPr>
              <w:t>41</w:t>
            </w:r>
          </w:p>
        </w:tc>
        <w:tc>
          <w:tcPr>
            <w:tcW w:type="dxa" w:w="1170"/>
          </w:tcPr>
          <w:p>
            <w:r/>
            <w:r>
              <w:rPr>
                <w:sz w:val="19"/>
              </w:rPr>
              <w:t>415.0</w:t>
            </w:r>
          </w:p>
        </w:tc>
        <w:tc>
          <w:tcPr>
            <w:tcW w:type="dxa" w:w="1170"/>
          </w:tcPr>
          <w:p>
            <w:r/>
            <w:r>
              <w:rPr>
                <w:sz w:val="19"/>
              </w:rPr>
              <w:t>0.848</w:t>
            </w:r>
          </w:p>
        </w:tc>
        <w:tc>
          <w:tcPr>
            <w:tcW w:type="dxa" w:w="1170"/>
          </w:tcPr>
          <w:p>
            <w:r/>
            <w:r>
              <w:rPr>
                <w:sz w:val="19"/>
              </w:rPr>
              <w:t>1.000</w:t>
            </w:r>
          </w:p>
        </w:tc>
        <w:tc>
          <w:tcPr>
            <w:tcW w:type="dxa" w:w="1170"/>
          </w:tcPr>
          <w:p>
            <w:r/>
            <w:r>
              <w:rPr>
                <w:sz w:val="19"/>
              </w:rPr>
              <w:t>0.15</w:t>
            </w:r>
          </w:p>
        </w:tc>
        <w:tc>
          <w:tcPr>
            <w:tcW w:type="dxa" w:w="1170"/>
          </w:tcPr>
          <w:p>
            <w:r/>
            <w:r>
              <w:rPr>
                <w:sz w:val="19"/>
              </w:rPr>
              <w:t>0.15</w:t>
            </w:r>
          </w:p>
        </w:tc>
        <w:tc>
          <w:tcPr>
            <w:tcW w:type="dxa" w:w="1170"/>
          </w:tcPr>
          <w:p>
            <w:r/>
            <w:r>
              <w:rPr>
                <w:sz w:val="19"/>
              </w:rPr>
              <w:t>ns</w:t>
            </w:r>
          </w:p>
        </w:tc>
      </w:tr>
      <w:tr>
        <w:tc>
          <w:tcPr>
            <w:tcW w:type="dxa" w:w="1170"/>
          </w:tcPr>
          <w:p>
            <w:r/>
            <w:r>
              <w:rPr>
                <w:sz w:val="19"/>
              </w:rPr>
              <w:t>PD, ON medication</w:t>
            </w:r>
          </w:p>
        </w:tc>
        <w:tc>
          <w:tcPr>
            <w:tcW w:type="dxa" w:w="1170"/>
          </w:tcPr>
          <w:p>
            <w:r/>
            <w:r>
              <w:rPr>
                <w:sz w:val="19"/>
              </w:rPr>
              <w:t>41</w:t>
            </w:r>
          </w:p>
        </w:tc>
        <w:tc>
          <w:tcPr>
            <w:tcW w:type="dxa" w:w="1170"/>
          </w:tcPr>
          <w:p>
            <w:r/>
            <w:r>
              <w:rPr>
                <w:sz w:val="19"/>
              </w:rPr>
              <w:t>227.0</w:t>
            </w:r>
          </w:p>
        </w:tc>
        <w:tc>
          <w:tcPr>
            <w:tcW w:type="dxa" w:w="1170"/>
          </w:tcPr>
          <w:p>
            <w:r/>
            <w:r>
              <w:rPr>
                <w:sz w:val="19"/>
              </w:rPr>
              <w:t>0.00754</w:t>
            </w:r>
          </w:p>
        </w:tc>
        <w:tc>
          <w:tcPr>
            <w:tcW w:type="dxa" w:w="1170"/>
          </w:tcPr>
          <w:p>
            <w:r/>
            <w:r>
              <w:rPr>
                <w:sz w:val="19"/>
              </w:rPr>
              <w:t>0.0226</w:t>
            </w:r>
          </w:p>
        </w:tc>
        <w:tc>
          <w:tcPr>
            <w:tcW w:type="dxa" w:w="1170"/>
          </w:tcPr>
          <w:p>
            <w:r/>
            <w:r>
              <w:rPr>
                <w:sz w:val="19"/>
              </w:rPr>
              <w:t>0.45</w:t>
            </w:r>
          </w:p>
        </w:tc>
        <w:tc>
          <w:tcPr>
            <w:tcW w:type="dxa" w:w="1170"/>
          </w:tcPr>
          <w:p>
            <w:r/>
            <w:r>
              <w:rPr>
                <w:sz w:val="19"/>
              </w:rPr>
              <w:t>0.80</w:t>
            </w:r>
          </w:p>
        </w:tc>
        <w:tc>
          <w:tcPr>
            <w:tcW w:type="dxa" w:w="1170"/>
          </w:tcPr>
          <w:p>
            <w:r/>
            <w:r>
              <w:rPr>
                <w:sz w:val="19"/>
              </w:rPr>
              <w:t>*</w:t>
            </w:r>
          </w:p>
        </w:tc>
      </w:tr>
    </w:tbl>
    <w:p>
      <w:pPr>
        <w:spacing w:after="80"/>
      </w:pPr>
    </w:p>
    <w:p>
      <w:pPr>
        <w:spacing w:after="80" w:line="276" w:lineRule="auto"/>
      </w:pPr>
      <w:r>
        <w:rPr>
          <w:b/>
          <w:i w:val="0"/>
          <w:sz w:val="22"/>
        </w:rPr>
        <w:t>Figure 2a–d — Positive- versus Equal-Prior bias, by motor subtype</w:t>
      </w:r>
    </w:p>
    <w:p>
      <w:pPr>
        <w:spacing w:after="200" w:line="276" w:lineRule="auto"/>
      </w:pPr>
      <w:r>
        <w:rPr>
          <w:i w:val="0"/>
          <w:sz w:val="20"/>
        </w:rPr>
        <w:t>Same test as above, Bonferroni-corrected jointly across the four groups below.</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D9D9"/>
          </w:tcPr>
          <w:p>
            <w:r/>
            <w:r>
              <w:rPr>
                <w:b/>
                <w:sz w:val="19"/>
              </w:rPr>
              <w:t>Group</w:t>
            </w:r>
          </w:p>
        </w:tc>
        <w:tc>
          <w:tcPr>
            <w:tcW w:type="dxa" w:w="1170"/>
            <w:shd w:val="clear" w:color="auto" w:fill="D9D9D9"/>
          </w:tcPr>
          <w:p>
            <w:r/>
            <w:r>
              <w:rPr>
                <w:b/>
                <w:sz w:val="19"/>
              </w:rPr>
              <w:t>n</w:t>
            </w:r>
          </w:p>
        </w:tc>
        <w:tc>
          <w:tcPr>
            <w:tcW w:type="dxa" w:w="1170"/>
            <w:shd w:val="clear" w:color="auto" w:fill="D9D9D9"/>
          </w:tcPr>
          <w:p>
            <w:r/>
            <w:r>
              <w:rPr>
                <w:b/>
                <w:sz w:val="19"/>
              </w:rPr>
              <w:t>W</w:t>
            </w:r>
          </w:p>
        </w:tc>
        <w:tc>
          <w:tcPr>
            <w:tcW w:type="dxa" w:w="1170"/>
            <w:shd w:val="clear" w:color="auto" w:fill="D9D9D9"/>
          </w:tcPr>
          <w:p>
            <w:r/>
            <w:r>
              <w:rPr>
                <w:b/>
                <w:sz w:val="19"/>
              </w:rPr>
              <w:t>raw p</w:t>
            </w:r>
          </w:p>
        </w:tc>
        <w:tc>
          <w:tcPr>
            <w:tcW w:type="dxa" w:w="1170"/>
            <w:shd w:val="clear" w:color="auto" w:fill="D9D9D9"/>
          </w:tcPr>
          <w:p>
            <w:r/>
            <w:r>
              <w:rPr>
                <w:b/>
                <w:sz w:val="19"/>
              </w:rPr>
              <w:t>corrected p</w:t>
            </w:r>
          </w:p>
        </w:tc>
        <w:tc>
          <w:tcPr>
            <w:tcW w:type="dxa" w:w="1170"/>
            <w:shd w:val="clear" w:color="auto" w:fill="D9D9D9"/>
          </w:tcPr>
          <w:p>
            <w:r/>
            <w:r>
              <w:rPr>
                <w:b/>
                <w:sz w:val="19"/>
              </w:rPr>
              <w:t>Cohen's d</w:t>
            </w:r>
          </w:p>
        </w:tc>
        <w:tc>
          <w:tcPr>
            <w:tcW w:type="dxa" w:w="1170"/>
            <w:shd w:val="clear" w:color="auto" w:fill="D9D9D9"/>
          </w:tcPr>
          <w:p>
            <w:r/>
            <w:r>
              <w:rPr>
                <w:b/>
                <w:sz w:val="19"/>
              </w:rPr>
              <w:t>power</w:t>
            </w:r>
          </w:p>
        </w:tc>
        <w:tc>
          <w:tcPr>
            <w:tcW w:type="dxa" w:w="1170"/>
            <w:shd w:val="clear" w:color="auto" w:fill="D9D9D9"/>
          </w:tcPr>
          <w:p>
            <w:r/>
            <w:r>
              <w:rPr>
                <w:b/>
                <w:sz w:val="19"/>
              </w:rPr>
              <w:t>Sig.</w:t>
            </w:r>
          </w:p>
        </w:tc>
      </w:tr>
      <w:tr>
        <w:tc>
          <w:tcPr>
            <w:tcW w:type="dxa" w:w="1170"/>
          </w:tcPr>
          <w:p>
            <w:r/>
            <w:r>
              <w:rPr>
                <w:sz w:val="19"/>
              </w:rPr>
              <w:t>Tremor-dominant, OFF</w:t>
            </w:r>
          </w:p>
        </w:tc>
        <w:tc>
          <w:tcPr>
            <w:tcW w:type="dxa" w:w="1170"/>
          </w:tcPr>
          <w:p>
            <w:r/>
            <w:r>
              <w:rPr>
                <w:sz w:val="19"/>
              </w:rPr>
              <w:t>11</w:t>
            </w:r>
          </w:p>
        </w:tc>
        <w:tc>
          <w:tcPr>
            <w:tcW w:type="dxa" w:w="1170"/>
          </w:tcPr>
          <w:p>
            <w:r/>
            <w:r>
              <w:rPr>
                <w:sz w:val="19"/>
              </w:rPr>
              <w:t>30.0</w:t>
            </w:r>
          </w:p>
        </w:tc>
        <w:tc>
          <w:tcPr>
            <w:tcW w:type="dxa" w:w="1170"/>
          </w:tcPr>
          <w:p>
            <w:r/>
            <w:r>
              <w:rPr>
                <w:sz w:val="19"/>
              </w:rPr>
              <w:t>0.831</w:t>
            </w:r>
          </w:p>
        </w:tc>
        <w:tc>
          <w:tcPr>
            <w:tcW w:type="dxa" w:w="1170"/>
          </w:tcPr>
          <w:p>
            <w:r/>
            <w:r>
              <w:rPr>
                <w:sz w:val="19"/>
              </w:rPr>
              <w:t>1.000</w:t>
            </w:r>
          </w:p>
        </w:tc>
        <w:tc>
          <w:tcPr>
            <w:tcW w:type="dxa" w:w="1170"/>
          </w:tcPr>
          <w:p>
            <w:r/>
            <w:r>
              <w:rPr>
                <w:sz w:val="19"/>
              </w:rPr>
              <w:t>0.00</w:t>
            </w:r>
          </w:p>
        </w:tc>
        <w:tc>
          <w:tcPr>
            <w:tcW w:type="dxa" w:w="1170"/>
          </w:tcPr>
          <w:p>
            <w:r/>
            <w:r>
              <w:rPr>
                <w:sz w:val="19"/>
              </w:rPr>
              <w:t>0.05</w:t>
            </w:r>
          </w:p>
        </w:tc>
        <w:tc>
          <w:tcPr>
            <w:tcW w:type="dxa" w:w="1170"/>
          </w:tcPr>
          <w:p>
            <w:r/>
            <w:r>
              <w:rPr>
                <w:sz w:val="19"/>
              </w:rPr>
              <w:t>ns</w:t>
            </w:r>
          </w:p>
        </w:tc>
      </w:tr>
      <w:tr>
        <w:tc>
          <w:tcPr>
            <w:tcW w:type="dxa" w:w="1170"/>
          </w:tcPr>
          <w:p>
            <w:r/>
            <w:r>
              <w:rPr>
                <w:sz w:val="19"/>
              </w:rPr>
              <w:t>Tremor-dominant, ON</w:t>
            </w:r>
          </w:p>
        </w:tc>
        <w:tc>
          <w:tcPr>
            <w:tcW w:type="dxa" w:w="1170"/>
          </w:tcPr>
          <w:p>
            <w:r/>
            <w:r>
              <w:rPr>
                <w:sz w:val="19"/>
              </w:rPr>
              <w:t>11</w:t>
            </w:r>
          </w:p>
        </w:tc>
        <w:tc>
          <w:tcPr>
            <w:tcW w:type="dxa" w:w="1170"/>
          </w:tcPr>
          <w:p>
            <w:r/>
            <w:r>
              <w:rPr>
                <w:sz w:val="19"/>
              </w:rPr>
              <w:t>4.0</w:t>
            </w:r>
          </w:p>
        </w:tc>
        <w:tc>
          <w:tcPr>
            <w:tcW w:type="dxa" w:w="1170"/>
          </w:tcPr>
          <w:p>
            <w:r/>
            <w:r>
              <w:rPr>
                <w:sz w:val="19"/>
              </w:rPr>
              <w:t>0.00684</w:t>
            </w:r>
          </w:p>
        </w:tc>
        <w:tc>
          <w:tcPr>
            <w:tcW w:type="dxa" w:w="1170"/>
          </w:tcPr>
          <w:p>
            <w:r/>
            <w:r>
              <w:rPr>
                <w:sz w:val="19"/>
              </w:rPr>
              <w:t>0.0273</w:t>
            </w:r>
          </w:p>
        </w:tc>
        <w:tc>
          <w:tcPr>
            <w:tcW w:type="dxa" w:w="1170"/>
          </w:tcPr>
          <w:p>
            <w:r/>
            <w:r>
              <w:rPr>
                <w:sz w:val="19"/>
              </w:rPr>
              <w:t>1.08</w:t>
            </w:r>
          </w:p>
        </w:tc>
        <w:tc>
          <w:tcPr>
            <w:tcW w:type="dxa" w:w="1170"/>
          </w:tcPr>
          <w:p>
            <w:r/>
            <w:r>
              <w:rPr>
                <w:sz w:val="19"/>
              </w:rPr>
              <w:t>0.90</w:t>
            </w:r>
          </w:p>
        </w:tc>
        <w:tc>
          <w:tcPr>
            <w:tcW w:type="dxa" w:w="1170"/>
          </w:tcPr>
          <w:p>
            <w:r/>
            <w:r>
              <w:rPr>
                <w:sz w:val="19"/>
              </w:rPr>
              <w:t>*</w:t>
            </w:r>
          </w:p>
        </w:tc>
      </w:tr>
      <w:tr>
        <w:tc>
          <w:tcPr>
            <w:tcW w:type="dxa" w:w="1170"/>
          </w:tcPr>
          <w:p>
            <w:r/>
            <w:r>
              <w:rPr>
                <w:sz w:val="19"/>
              </w:rPr>
              <w:t>Bradykinesia-dominant, OFF</w:t>
            </w:r>
          </w:p>
        </w:tc>
        <w:tc>
          <w:tcPr>
            <w:tcW w:type="dxa" w:w="1170"/>
          </w:tcPr>
          <w:p>
            <w:r/>
            <w:r>
              <w:rPr>
                <w:sz w:val="19"/>
              </w:rPr>
              <w:t>10</w:t>
            </w:r>
          </w:p>
        </w:tc>
        <w:tc>
          <w:tcPr>
            <w:tcW w:type="dxa" w:w="1170"/>
          </w:tcPr>
          <w:p>
            <w:r/>
            <w:r>
              <w:rPr>
                <w:sz w:val="19"/>
              </w:rPr>
              <w:t>15.0</w:t>
            </w:r>
          </w:p>
        </w:tc>
        <w:tc>
          <w:tcPr>
            <w:tcW w:type="dxa" w:w="1170"/>
          </w:tcPr>
          <w:p>
            <w:r/>
            <w:r>
              <w:rPr>
                <w:sz w:val="19"/>
              </w:rPr>
              <w:t>0.232</w:t>
            </w:r>
          </w:p>
        </w:tc>
        <w:tc>
          <w:tcPr>
            <w:tcW w:type="dxa" w:w="1170"/>
          </w:tcPr>
          <w:p>
            <w:r/>
            <w:r>
              <w:rPr>
                <w:sz w:val="19"/>
              </w:rPr>
              <w:t>0.930</w:t>
            </w:r>
          </w:p>
        </w:tc>
        <w:tc>
          <w:tcPr>
            <w:tcW w:type="dxa" w:w="1170"/>
          </w:tcPr>
          <w:p>
            <w:r/>
            <w:r>
              <w:rPr>
                <w:sz w:val="19"/>
              </w:rPr>
              <w:t>0.47</w:t>
            </w:r>
          </w:p>
        </w:tc>
        <w:tc>
          <w:tcPr>
            <w:tcW w:type="dxa" w:w="1170"/>
          </w:tcPr>
          <w:p>
            <w:r/>
            <w:r>
              <w:rPr>
                <w:sz w:val="19"/>
              </w:rPr>
              <w:t>0.27</w:t>
            </w:r>
          </w:p>
        </w:tc>
        <w:tc>
          <w:tcPr>
            <w:tcW w:type="dxa" w:w="1170"/>
          </w:tcPr>
          <w:p>
            <w:r/>
            <w:r>
              <w:rPr>
                <w:sz w:val="19"/>
              </w:rPr>
              <w:t>ns</w:t>
            </w:r>
          </w:p>
        </w:tc>
      </w:tr>
      <w:tr>
        <w:tc>
          <w:tcPr>
            <w:tcW w:type="dxa" w:w="1170"/>
          </w:tcPr>
          <w:p>
            <w:r/>
            <w:r>
              <w:rPr>
                <w:sz w:val="19"/>
              </w:rPr>
              <w:t>Bradykinesia-dominant, ON</w:t>
            </w:r>
          </w:p>
        </w:tc>
        <w:tc>
          <w:tcPr>
            <w:tcW w:type="dxa" w:w="1170"/>
          </w:tcPr>
          <w:p>
            <w:r/>
            <w:r>
              <w:rPr>
                <w:sz w:val="19"/>
              </w:rPr>
              <w:t>10</w:t>
            </w:r>
          </w:p>
        </w:tc>
        <w:tc>
          <w:tcPr>
            <w:tcW w:type="dxa" w:w="1170"/>
          </w:tcPr>
          <w:p>
            <w:r/>
            <w:r>
              <w:rPr>
                <w:sz w:val="19"/>
              </w:rPr>
              <w:t>18.0</w:t>
            </w:r>
          </w:p>
        </w:tc>
        <w:tc>
          <w:tcPr>
            <w:tcW w:type="dxa" w:w="1170"/>
          </w:tcPr>
          <w:p>
            <w:r/>
            <w:r>
              <w:rPr>
                <w:sz w:val="19"/>
              </w:rPr>
              <w:t>0.375</w:t>
            </w:r>
          </w:p>
        </w:tc>
        <w:tc>
          <w:tcPr>
            <w:tcW w:type="dxa" w:w="1170"/>
          </w:tcPr>
          <w:p>
            <w:r/>
            <w:r>
              <w:rPr>
                <w:sz w:val="19"/>
              </w:rPr>
              <w:t>1.000</w:t>
            </w:r>
          </w:p>
        </w:tc>
        <w:tc>
          <w:tcPr>
            <w:tcW w:type="dxa" w:w="1170"/>
          </w:tcPr>
          <w:p>
            <w:r/>
            <w:r>
              <w:rPr>
                <w:sz w:val="19"/>
              </w:rPr>
              <w:t>0.34</w:t>
            </w:r>
          </w:p>
        </w:tc>
        <w:tc>
          <w:tcPr>
            <w:tcW w:type="dxa" w:w="1170"/>
          </w:tcPr>
          <w:p>
            <w:r/>
            <w:r>
              <w:rPr>
                <w:sz w:val="19"/>
              </w:rPr>
              <w:t>0.16</w:t>
            </w:r>
          </w:p>
        </w:tc>
        <w:tc>
          <w:tcPr>
            <w:tcW w:type="dxa" w:w="1170"/>
          </w:tcPr>
          <w:p>
            <w:r/>
            <w:r>
              <w:rPr>
                <w:sz w:val="19"/>
              </w:rPr>
              <w:t>ns</w:t>
            </w:r>
          </w:p>
        </w:tc>
      </w:tr>
    </w:tbl>
    <w:p>
      <w:pPr>
        <w:spacing w:after="80"/>
      </w:pPr>
    </w:p>
    <w:p>
      <w:pPr>
        <w:spacing w:after="80" w:line="276" w:lineRule="auto"/>
      </w:pPr>
      <w:r>
        <w:rPr>
          <w:b/>
          <w:i w:val="0"/>
          <w:sz w:val="22"/>
        </w:rPr>
        <w:t>Figure 2e,f — Trial-level mixed-effects model, color × medication interaction</w:t>
      </w:r>
    </w:p>
    <w:p>
      <w:pPr>
        <w:spacing w:after="200" w:line="276" w:lineRule="auto"/>
      </w:pPr>
      <w:r>
        <w:rPr>
          <w:i w:val="0"/>
          <w:sz w:val="20"/>
        </w:rPr>
        <w:t>Interaction term from the trial-level mixed-effects logistic regression described in Data analysis; z-test on the posterior mean/SD of the fixed effect.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r/>
            <w:r>
              <w:rPr>
                <w:b/>
                <w:sz w:val="19"/>
              </w:rPr>
              <w:t>Group</w:t>
            </w:r>
          </w:p>
        </w:tc>
        <w:tc>
          <w:tcPr>
            <w:tcW w:type="dxa" w:w="1560"/>
            <w:shd w:val="clear" w:color="auto" w:fill="D9D9D9"/>
          </w:tcPr>
          <w:p>
            <w:r/>
            <w:r>
              <w:rPr>
                <w:b/>
                <w:sz w:val="19"/>
              </w:rPr>
              <w:t>n subjects</w:t>
            </w:r>
          </w:p>
        </w:tc>
        <w:tc>
          <w:tcPr>
            <w:tcW w:type="dxa" w:w="1560"/>
            <w:shd w:val="clear" w:color="auto" w:fill="D9D9D9"/>
          </w:tcPr>
          <w:p>
            <w:r/>
            <w:r>
              <w:rPr>
                <w:b/>
                <w:sz w:val="19"/>
              </w:rPr>
              <w:t>n trials</w:t>
            </w:r>
          </w:p>
        </w:tc>
        <w:tc>
          <w:tcPr>
            <w:tcW w:type="dxa" w:w="1560"/>
            <w:shd w:val="clear" w:color="auto" w:fill="D9D9D9"/>
          </w:tcPr>
          <w:p>
            <w:r/>
            <w:r>
              <w:rPr>
                <w:b/>
                <w:sz w:val="19"/>
              </w:rPr>
              <w:t>Estimate (log-odds) ± SD</w:t>
            </w:r>
          </w:p>
        </w:tc>
        <w:tc>
          <w:tcPr>
            <w:tcW w:type="dxa" w:w="1560"/>
            <w:shd w:val="clear" w:color="auto" w:fill="D9D9D9"/>
          </w:tcPr>
          <w:p>
            <w:r/>
            <w:r>
              <w:rPr>
                <w:b/>
                <w:sz w:val="19"/>
              </w:rPr>
              <w:t>z</w:t>
            </w:r>
          </w:p>
        </w:tc>
        <w:tc>
          <w:tcPr>
            <w:tcW w:type="dxa" w:w="1560"/>
            <w:shd w:val="clear" w:color="auto" w:fill="D9D9D9"/>
          </w:tcPr>
          <w:p>
            <w:r/>
            <w:r>
              <w:rPr>
                <w:b/>
                <w:sz w:val="19"/>
              </w:rPr>
              <w:t>p</w:t>
            </w:r>
          </w:p>
        </w:tc>
      </w:tr>
      <w:tr>
        <w:tc>
          <w:tcPr>
            <w:tcW w:type="dxa" w:w="1560"/>
          </w:tcPr>
          <w:p>
            <w:r/>
            <w:r>
              <w:rPr>
                <w:sz w:val="19"/>
              </w:rPr>
              <w:t>Tremor-dominant</w:t>
            </w:r>
          </w:p>
        </w:tc>
        <w:tc>
          <w:tcPr>
            <w:tcW w:type="dxa" w:w="1560"/>
          </w:tcPr>
          <w:p>
            <w:r/>
            <w:r>
              <w:rPr>
                <w:sz w:val="19"/>
              </w:rPr>
              <w:t>11</w:t>
            </w:r>
          </w:p>
        </w:tc>
        <w:tc>
          <w:tcPr>
            <w:tcW w:type="dxa" w:w="1560"/>
          </w:tcPr>
          <w:p>
            <w:r/>
            <w:r>
              <w:rPr>
                <w:sz w:val="19"/>
              </w:rPr>
              <w:t>13,540</w:t>
            </w:r>
          </w:p>
        </w:tc>
        <w:tc>
          <w:tcPr>
            <w:tcW w:type="dxa" w:w="1560"/>
          </w:tcPr>
          <w:p>
            <w:r/>
            <w:r>
              <w:rPr>
                <w:sz w:val="19"/>
              </w:rPr>
              <w:t>0.4706 ± 0.0814</w:t>
            </w:r>
          </w:p>
        </w:tc>
        <w:tc>
          <w:tcPr>
            <w:tcW w:type="dxa" w:w="1560"/>
          </w:tcPr>
          <w:p>
            <w:r/>
            <w:r>
              <w:rPr>
                <w:sz w:val="19"/>
              </w:rPr>
              <w:t>5.780</w:t>
            </w:r>
          </w:p>
        </w:tc>
        <w:tc>
          <w:tcPr>
            <w:tcW w:type="dxa" w:w="1560"/>
          </w:tcPr>
          <w:p>
            <w:r/>
            <w:r>
              <w:rPr>
                <w:sz w:val="19"/>
              </w:rPr>
              <w:t>7.48 × 10⁻⁹ ***</w:t>
            </w:r>
          </w:p>
        </w:tc>
      </w:tr>
      <w:tr>
        <w:tc>
          <w:tcPr>
            <w:tcW w:type="dxa" w:w="1560"/>
          </w:tcPr>
          <w:p>
            <w:r/>
            <w:r>
              <w:rPr>
                <w:sz w:val="19"/>
              </w:rPr>
              <w:t>Bradykinesia-dominant</w:t>
            </w:r>
          </w:p>
        </w:tc>
        <w:tc>
          <w:tcPr>
            <w:tcW w:type="dxa" w:w="1560"/>
          </w:tcPr>
          <w:p>
            <w:r/>
            <w:r>
              <w:rPr>
                <w:sz w:val="19"/>
              </w:rPr>
              <w:t>10</w:t>
            </w:r>
          </w:p>
        </w:tc>
        <w:tc>
          <w:tcPr>
            <w:tcW w:type="dxa" w:w="1560"/>
          </w:tcPr>
          <w:p>
            <w:r/>
            <w:r>
              <w:rPr>
                <w:sz w:val="19"/>
              </w:rPr>
              <w:t>12,549</w:t>
            </w:r>
          </w:p>
        </w:tc>
        <w:tc>
          <w:tcPr>
            <w:tcW w:type="dxa" w:w="1560"/>
          </w:tcPr>
          <w:p>
            <w:r/>
            <w:r>
              <w:rPr>
                <w:sz w:val="19"/>
              </w:rPr>
              <w:t>0.0084 ± 0.0853</w:t>
            </w:r>
          </w:p>
        </w:tc>
        <w:tc>
          <w:tcPr>
            <w:tcW w:type="dxa" w:w="1560"/>
          </w:tcPr>
          <w:p>
            <w:r/>
            <w:r>
              <w:rPr>
                <w:sz w:val="19"/>
              </w:rPr>
              <w:t>0.098</w:t>
            </w:r>
          </w:p>
        </w:tc>
        <w:tc>
          <w:tcPr>
            <w:tcW w:type="dxa" w:w="1560"/>
          </w:tcPr>
          <w:p>
            <w:r/>
            <w:r>
              <w:rPr>
                <w:sz w:val="19"/>
              </w:rPr>
              <w:t>0.922 ns</w:t>
            </w:r>
          </w:p>
        </w:tc>
      </w:tr>
    </w:tbl>
    <w:p>
      <w:pPr>
        <w:spacing w:after="80"/>
      </w:pPr>
    </w:p>
    <w:p>
      <w:pPr>
        <w:spacing w:after="200" w:line="276" w:lineRule="auto"/>
      </w:pPr>
      <w:r>
        <w:rPr>
          <w:i/>
          <w:sz w:val="20"/>
        </w:rPr>
        <w:t>For comparison, the subject-level difference-in-differences (paired Wilcoxon test on each subject's OFF-to-ON change in the Positive- versus Equal-Prior bias difference) was underpowered: tremor-dominant p = 0.148, bradykinesia-dominant p = 0.846 — the same qualitative direction as the mixed-effects result, but the tremor-dominant effect reached significance only once trial-level information was used.</w:t>
      </w:r>
    </w:p>
    <w:p>
      <w:pPr>
        <w:spacing w:after="200" w:line="276" w:lineRule="auto"/>
      </w:pPr>
      <w:r>
        <w:rPr>
          <w:i w:val="0"/>
          <w:sz w:val="20"/>
        </w:rPr>
        <w:t>Leave-one-subject-out sensitivity: the tremor-dominant interaction remained significant and same-signed when refit with any single subject excluded (11 of 11 refits); the bradykinesia-dominant null result changed significance status under exclusion in most refits (10 of 10), consistent with the expected fragility of a true null rather than evidence against the tremor-dominant result.</w:t>
      </w:r>
    </w:p>
    <w:p>
      <w:pPr>
        <w:spacing w:after="80" w:line="276" w:lineRule="auto"/>
      </w:pPr>
      <w:r>
        <w:rPr>
          <w:b/>
          <w:i w:val="0"/>
          <w:sz w:val="22"/>
        </w:rPr>
        <w:t>Figure 3g,h — Drift-diffusion model: starting point and drift-rate offset, Equal versus Unequal Prior</w:t>
      </w:r>
    </w:p>
    <w:p>
      <w:pPr>
        <w:spacing w:after="200" w:line="276" w:lineRule="auto"/>
      </w:pPr>
      <w:r>
        <w:rPr>
          <w:i w:val="0"/>
          <w:sz w:val="20"/>
        </w:rPr>
        <w:t>Two-sided Wilcoxon signed-rank test within each group, paired across the two color-specific model fits per session.</w:t>
      </w:r>
    </w:p>
    <w:p>
      <w:pPr>
        <w:spacing w:after="80" w:line="276" w:lineRule="auto"/>
      </w:pPr>
      <w:r>
        <w:rPr>
          <w:b/>
          <w:i w:val="0"/>
          <w:sz w:val="20"/>
        </w:rPr>
        <w:t>Starting point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sz w:val="19"/>
              </w:rPr>
              <w:t>Group</w:t>
            </w:r>
          </w:p>
        </w:tc>
        <w:tc>
          <w:tcPr>
            <w:tcW w:type="dxa" w:w="1337"/>
            <w:shd w:val="clear" w:color="auto" w:fill="D9D9D9"/>
          </w:tcPr>
          <w:p>
            <w:r/>
            <w:r>
              <w:rPr>
                <w:b/>
                <w:sz w:val="19"/>
              </w:rPr>
              <w:t>n</w:t>
            </w:r>
          </w:p>
        </w:tc>
        <w:tc>
          <w:tcPr>
            <w:tcW w:type="dxa" w:w="1337"/>
            <w:shd w:val="clear" w:color="auto" w:fill="D9D9D9"/>
          </w:tcPr>
          <w:p>
            <w:r/>
            <w:r>
              <w:rPr>
                <w:b/>
                <w:sz w:val="19"/>
              </w:rPr>
              <w:t>Equal mean ± SEM</w:t>
            </w:r>
          </w:p>
        </w:tc>
        <w:tc>
          <w:tcPr>
            <w:tcW w:type="dxa" w:w="1337"/>
            <w:shd w:val="clear" w:color="auto" w:fill="D9D9D9"/>
          </w:tcPr>
          <w:p>
            <w:r/>
            <w:r>
              <w:rPr>
                <w:b/>
                <w:sz w:val="19"/>
              </w:rPr>
              <w:t>Unequal mean ± SEM</w:t>
            </w:r>
          </w:p>
        </w:tc>
        <w:tc>
          <w:tcPr>
            <w:tcW w:type="dxa" w:w="1337"/>
            <w:shd w:val="clear" w:color="auto" w:fill="D9D9D9"/>
          </w:tcPr>
          <w:p>
            <w:r/>
            <w:r>
              <w:rPr>
                <w:b/>
                <w:sz w:val="19"/>
              </w:rPr>
              <w:t>W</w:t>
            </w:r>
          </w:p>
        </w:tc>
        <w:tc>
          <w:tcPr>
            <w:tcW w:type="dxa" w:w="1337"/>
            <w:shd w:val="clear" w:color="auto" w:fill="D9D9D9"/>
          </w:tcPr>
          <w:p>
            <w:r/>
            <w:r>
              <w:rPr>
                <w:b/>
                <w:sz w:val="19"/>
              </w:rPr>
              <w:t>p</w:t>
            </w:r>
          </w:p>
        </w:tc>
        <w:tc>
          <w:tcPr>
            <w:tcW w:type="dxa" w:w="1337"/>
            <w:shd w:val="clear" w:color="auto" w:fill="D9D9D9"/>
          </w:tcPr>
          <w:p>
            <w:r/>
            <w:r>
              <w:rPr>
                <w:b/>
                <w:sz w:val="19"/>
              </w:rPr>
              <w:t>Sig.</w:t>
            </w:r>
          </w:p>
        </w:tc>
      </w:tr>
      <w:tr>
        <w:tc>
          <w:tcPr>
            <w:tcW w:type="dxa" w:w="1337"/>
          </w:tcPr>
          <w:p>
            <w:r/>
            <w:r>
              <w:rPr>
                <w:sz w:val="19"/>
              </w:rPr>
              <w:t>Healthy controls</w:t>
            </w:r>
          </w:p>
        </w:tc>
        <w:tc>
          <w:tcPr>
            <w:tcW w:type="dxa" w:w="1337"/>
          </w:tcPr>
          <w:p>
            <w:r/>
            <w:r>
              <w:rPr>
                <w:sz w:val="19"/>
              </w:rPr>
              <w:t>18</w:t>
            </w:r>
          </w:p>
        </w:tc>
        <w:tc>
          <w:tcPr>
            <w:tcW w:type="dxa" w:w="1337"/>
          </w:tcPr>
          <w:p>
            <w:r/>
            <w:r>
              <w:rPr>
                <w:sz w:val="19"/>
              </w:rPr>
              <w:t>0.518 ± 0.014</w:t>
            </w:r>
          </w:p>
        </w:tc>
        <w:tc>
          <w:tcPr>
            <w:tcW w:type="dxa" w:w="1337"/>
          </w:tcPr>
          <w:p>
            <w:r/>
            <w:r>
              <w:rPr>
                <w:sz w:val="19"/>
              </w:rPr>
              <w:t>0.524 ± 0.015</w:t>
            </w:r>
          </w:p>
        </w:tc>
        <w:tc>
          <w:tcPr>
            <w:tcW w:type="dxa" w:w="1337"/>
          </w:tcPr>
          <w:p>
            <w:r/>
            <w:r>
              <w:rPr>
                <w:sz w:val="19"/>
              </w:rPr>
              <w:t>74.0</w:t>
            </w:r>
          </w:p>
        </w:tc>
        <w:tc>
          <w:tcPr>
            <w:tcW w:type="dxa" w:w="1337"/>
          </w:tcPr>
          <w:p>
            <w:r/>
            <w:r>
              <w:rPr>
                <w:sz w:val="19"/>
              </w:rPr>
              <w:t>0.640</w:t>
            </w:r>
          </w:p>
        </w:tc>
        <w:tc>
          <w:tcPr>
            <w:tcW w:type="dxa" w:w="1337"/>
          </w:tcPr>
          <w:p>
            <w:r/>
            <w:r>
              <w:rPr>
                <w:sz w:val="19"/>
              </w:rPr>
              <w:t>ns</w:t>
            </w:r>
          </w:p>
        </w:tc>
      </w:tr>
      <w:tr>
        <w:tc>
          <w:tcPr>
            <w:tcW w:type="dxa" w:w="1337"/>
          </w:tcPr>
          <w:p>
            <w:r/>
            <w:r>
              <w:rPr>
                <w:sz w:val="19"/>
              </w:rPr>
              <w:t>Tremor-dominant, OFF</w:t>
            </w:r>
          </w:p>
        </w:tc>
        <w:tc>
          <w:tcPr>
            <w:tcW w:type="dxa" w:w="1337"/>
          </w:tcPr>
          <w:p>
            <w:r/>
            <w:r>
              <w:rPr>
                <w:sz w:val="19"/>
              </w:rPr>
              <w:t>11</w:t>
            </w:r>
          </w:p>
        </w:tc>
        <w:tc>
          <w:tcPr>
            <w:tcW w:type="dxa" w:w="1337"/>
          </w:tcPr>
          <w:p>
            <w:r/>
            <w:r>
              <w:rPr>
                <w:sz w:val="19"/>
              </w:rPr>
              <w:t>0.534 ± 0.023</w:t>
            </w:r>
          </w:p>
        </w:tc>
        <w:tc>
          <w:tcPr>
            <w:tcW w:type="dxa" w:w="1337"/>
          </w:tcPr>
          <w:p>
            <w:r/>
            <w:r>
              <w:rPr>
                <w:sz w:val="19"/>
              </w:rPr>
              <w:t>0.533 ± 0.024</w:t>
            </w:r>
          </w:p>
        </w:tc>
        <w:tc>
          <w:tcPr>
            <w:tcW w:type="dxa" w:w="1337"/>
          </w:tcPr>
          <w:p>
            <w:r/>
            <w:r>
              <w:rPr>
                <w:sz w:val="19"/>
              </w:rPr>
              <w:t>31.0</w:t>
            </w:r>
          </w:p>
        </w:tc>
        <w:tc>
          <w:tcPr>
            <w:tcW w:type="dxa" w:w="1337"/>
          </w:tcPr>
          <w:p>
            <w:r/>
            <w:r>
              <w:rPr>
                <w:sz w:val="19"/>
              </w:rPr>
              <w:t>0.898</w:t>
            </w:r>
          </w:p>
        </w:tc>
        <w:tc>
          <w:tcPr>
            <w:tcW w:type="dxa" w:w="1337"/>
          </w:tcPr>
          <w:p>
            <w:r/>
            <w:r>
              <w:rPr>
                <w:sz w:val="19"/>
              </w:rPr>
              <w:t>ns</w:t>
            </w:r>
          </w:p>
        </w:tc>
      </w:tr>
      <w:tr>
        <w:tc>
          <w:tcPr>
            <w:tcW w:type="dxa" w:w="1337"/>
          </w:tcPr>
          <w:p>
            <w:r/>
            <w:r>
              <w:rPr>
                <w:sz w:val="19"/>
              </w:rPr>
              <w:t>Tremor-dominant, ON</w:t>
            </w:r>
          </w:p>
        </w:tc>
        <w:tc>
          <w:tcPr>
            <w:tcW w:type="dxa" w:w="1337"/>
          </w:tcPr>
          <w:p>
            <w:r/>
            <w:r>
              <w:rPr>
                <w:sz w:val="19"/>
              </w:rPr>
              <w:t>11</w:t>
            </w:r>
          </w:p>
        </w:tc>
        <w:tc>
          <w:tcPr>
            <w:tcW w:type="dxa" w:w="1337"/>
          </w:tcPr>
          <w:p>
            <w:r/>
            <w:r>
              <w:rPr>
                <w:sz w:val="19"/>
              </w:rPr>
              <w:t>0.489 ± 0.015</w:t>
            </w:r>
          </w:p>
        </w:tc>
        <w:tc>
          <w:tcPr>
            <w:tcW w:type="dxa" w:w="1337"/>
          </w:tcPr>
          <w:p>
            <w:r/>
            <w:r>
              <w:rPr>
                <w:sz w:val="19"/>
              </w:rPr>
              <w:t>0.495 ± 0.024</w:t>
            </w:r>
          </w:p>
        </w:tc>
        <w:tc>
          <w:tcPr>
            <w:tcW w:type="dxa" w:w="1337"/>
          </w:tcPr>
          <w:p>
            <w:r/>
            <w:r>
              <w:rPr>
                <w:sz w:val="19"/>
              </w:rPr>
              <w:t>30.0</w:t>
            </w:r>
          </w:p>
        </w:tc>
        <w:tc>
          <w:tcPr>
            <w:tcW w:type="dxa" w:w="1337"/>
          </w:tcPr>
          <w:p>
            <w:r/>
            <w:r>
              <w:rPr>
                <w:sz w:val="19"/>
              </w:rPr>
              <w:t>0.831</w:t>
            </w:r>
          </w:p>
        </w:tc>
        <w:tc>
          <w:tcPr>
            <w:tcW w:type="dxa" w:w="1337"/>
          </w:tcPr>
          <w:p>
            <w:r/>
            <w:r>
              <w:rPr>
                <w:sz w:val="19"/>
              </w:rPr>
              <w:t>ns</w:t>
            </w:r>
          </w:p>
        </w:tc>
      </w:tr>
      <w:tr>
        <w:tc>
          <w:tcPr>
            <w:tcW w:type="dxa" w:w="1337"/>
          </w:tcPr>
          <w:p>
            <w:r/>
            <w:r>
              <w:rPr>
                <w:sz w:val="19"/>
              </w:rPr>
              <w:t>Bradykinesia-dominant, OFF</w:t>
            </w:r>
          </w:p>
        </w:tc>
        <w:tc>
          <w:tcPr>
            <w:tcW w:type="dxa" w:w="1337"/>
          </w:tcPr>
          <w:p>
            <w:r/>
            <w:r>
              <w:rPr>
                <w:sz w:val="19"/>
              </w:rPr>
              <w:t>10</w:t>
            </w:r>
          </w:p>
        </w:tc>
        <w:tc>
          <w:tcPr>
            <w:tcW w:type="dxa" w:w="1337"/>
          </w:tcPr>
          <w:p>
            <w:r/>
            <w:r>
              <w:rPr>
                <w:sz w:val="19"/>
              </w:rPr>
              <w:t>0.514 ± 0.012</w:t>
            </w:r>
          </w:p>
        </w:tc>
        <w:tc>
          <w:tcPr>
            <w:tcW w:type="dxa" w:w="1337"/>
          </w:tcPr>
          <w:p>
            <w:r/>
            <w:r>
              <w:rPr>
                <w:sz w:val="19"/>
              </w:rPr>
              <w:t>0.526 ± 0.015</w:t>
            </w:r>
          </w:p>
        </w:tc>
        <w:tc>
          <w:tcPr>
            <w:tcW w:type="dxa" w:w="1337"/>
          </w:tcPr>
          <w:p>
            <w:r/>
            <w:r>
              <w:rPr>
                <w:sz w:val="19"/>
              </w:rPr>
              <w:t>22.0</w:t>
            </w:r>
          </w:p>
        </w:tc>
        <w:tc>
          <w:tcPr>
            <w:tcW w:type="dxa" w:w="1337"/>
          </w:tcPr>
          <w:p>
            <w:r/>
            <w:r>
              <w:rPr>
                <w:sz w:val="19"/>
              </w:rPr>
              <w:t>0.625</w:t>
            </w:r>
          </w:p>
        </w:tc>
        <w:tc>
          <w:tcPr>
            <w:tcW w:type="dxa" w:w="1337"/>
          </w:tcPr>
          <w:p>
            <w:r/>
            <w:r>
              <w:rPr>
                <w:sz w:val="19"/>
              </w:rPr>
              <w:t>ns</w:t>
            </w:r>
          </w:p>
        </w:tc>
      </w:tr>
      <w:tr>
        <w:tc>
          <w:tcPr>
            <w:tcW w:type="dxa" w:w="1337"/>
          </w:tcPr>
          <w:p>
            <w:r/>
            <w:r>
              <w:rPr>
                <w:sz w:val="19"/>
              </w:rPr>
              <w:t>Bradykinesia-dominant, ON</w:t>
            </w:r>
          </w:p>
        </w:tc>
        <w:tc>
          <w:tcPr>
            <w:tcW w:type="dxa" w:w="1337"/>
          </w:tcPr>
          <w:p>
            <w:r/>
            <w:r>
              <w:rPr>
                <w:sz w:val="19"/>
              </w:rPr>
              <w:t>10</w:t>
            </w:r>
          </w:p>
        </w:tc>
        <w:tc>
          <w:tcPr>
            <w:tcW w:type="dxa" w:w="1337"/>
          </w:tcPr>
          <w:p>
            <w:r/>
            <w:r>
              <w:rPr>
                <w:sz w:val="19"/>
              </w:rPr>
              <w:t>0.507 ± 0.015</w:t>
            </w:r>
          </w:p>
        </w:tc>
        <w:tc>
          <w:tcPr>
            <w:tcW w:type="dxa" w:w="1337"/>
          </w:tcPr>
          <w:p>
            <w:r/>
            <w:r>
              <w:rPr>
                <w:sz w:val="19"/>
              </w:rPr>
              <w:t>0.508 ± 0.024</w:t>
            </w:r>
          </w:p>
        </w:tc>
        <w:tc>
          <w:tcPr>
            <w:tcW w:type="dxa" w:w="1337"/>
          </w:tcPr>
          <w:p>
            <w:r/>
            <w:r>
              <w:rPr>
                <w:sz w:val="19"/>
              </w:rPr>
              <w:t>27.0</w:t>
            </w:r>
          </w:p>
        </w:tc>
        <w:tc>
          <w:tcPr>
            <w:tcW w:type="dxa" w:w="1337"/>
          </w:tcPr>
          <w:p>
            <w:r/>
            <w:r>
              <w:rPr>
                <w:sz w:val="19"/>
              </w:rPr>
              <w:t>1.000</w:t>
            </w:r>
          </w:p>
        </w:tc>
        <w:tc>
          <w:tcPr>
            <w:tcW w:type="dxa" w:w="1337"/>
          </w:tcPr>
          <w:p>
            <w:r/>
            <w:r>
              <w:rPr>
                <w:sz w:val="19"/>
              </w:rPr>
              <w:t>ns</w:t>
            </w:r>
          </w:p>
        </w:tc>
      </w:tr>
    </w:tbl>
    <w:p>
      <w:pPr>
        <w:spacing w:after="80"/>
      </w:pPr>
    </w:p>
    <w:p>
      <w:pPr>
        <w:spacing w:after="80" w:line="276" w:lineRule="auto"/>
      </w:pPr>
      <w:r>
        <w:rPr>
          <w:b/>
          <w:i w:val="0"/>
          <w:sz w:val="20"/>
        </w:rPr>
        <w:t>Drift-rate offset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sz w:val="19"/>
              </w:rPr>
              <w:t>Group</w:t>
            </w:r>
          </w:p>
        </w:tc>
        <w:tc>
          <w:tcPr>
            <w:tcW w:type="dxa" w:w="1337"/>
            <w:shd w:val="clear" w:color="auto" w:fill="D9D9D9"/>
          </w:tcPr>
          <w:p>
            <w:r/>
            <w:r>
              <w:rPr>
                <w:b/>
                <w:sz w:val="19"/>
              </w:rPr>
              <w:t>n</w:t>
            </w:r>
          </w:p>
        </w:tc>
        <w:tc>
          <w:tcPr>
            <w:tcW w:type="dxa" w:w="1337"/>
            <w:shd w:val="clear" w:color="auto" w:fill="D9D9D9"/>
          </w:tcPr>
          <w:p>
            <w:r/>
            <w:r>
              <w:rPr>
                <w:b/>
                <w:sz w:val="19"/>
              </w:rPr>
              <w:t>Equal mean ± SEM</w:t>
            </w:r>
          </w:p>
        </w:tc>
        <w:tc>
          <w:tcPr>
            <w:tcW w:type="dxa" w:w="1337"/>
            <w:shd w:val="clear" w:color="auto" w:fill="D9D9D9"/>
          </w:tcPr>
          <w:p>
            <w:r/>
            <w:r>
              <w:rPr>
                <w:b/>
                <w:sz w:val="19"/>
              </w:rPr>
              <w:t>Unequal mean ± SEM</w:t>
            </w:r>
          </w:p>
        </w:tc>
        <w:tc>
          <w:tcPr>
            <w:tcW w:type="dxa" w:w="1337"/>
            <w:shd w:val="clear" w:color="auto" w:fill="D9D9D9"/>
          </w:tcPr>
          <w:p>
            <w:r/>
            <w:r>
              <w:rPr>
                <w:b/>
                <w:sz w:val="19"/>
              </w:rPr>
              <w:t>W</w:t>
            </w:r>
          </w:p>
        </w:tc>
        <w:tc>
          <w:tcPr>
            <w:tcW w:type="dxa" w:w="1337"/>
            <w:shd w:val="clear" w:color="auto" w:fill="D9D9D9"/>
          </w:tcPr>
          <w:p>
            <w:r/>
            <w:r>
              <w:rPr>
                <w:b/>
                <w:sz w:val="19"/>
              </w:rPr>
              <w:t>p</w:t>
            </w:r>
          </w:p>
        </w:tc>
        <w:tc>
          <w:tcPr>
            <w:tcW w:type="dxa" w:w="1337"/>
            <w:shd w:val="clear" w:color="auto" w:fill="D9D9D9"/>
          </w:tcPr>
          <w:p>
            <w:r/>
            <w:r>
              <w:rPr>
                <w:b/>
                <w:sz w:val="19"/>
              </w:rPr>
              <w:t>Sig.</w:t>
            </w:r>
          </w:p>
        </w:tc>
      </w:tr>
      <w:tr>
        <w:tc>
          <w:tcPr>
            <w:tcW w:type="dxa" w:w="1337"/>
          </w:tcPr>
          <w:p>
            <w:r/>
            <w:r>
              <w:rPr>
                <w:sz w:val="19"/>
              </w:rPr>
              <w:t>Healthy controls</w:t>
            </w:r>
          </w:p>
        </w:tc>
        <w:tc>
          <w:tcPr>
            <w:tcW w:type="dxa" w:w="1337"/>
          </w:tcPr>
          <w:p>
            <w:r/>
            <w:r>
              <w:rPr>
                <w:sz w:val="19"/>
              </w:rPr>
              <w:t>18</w:t>
            </w:r>
          </w:p>
        </w:tc>
        <w:tc>
          <w:tcPr>
            <w:tcW w:type="dxa" w:w="1337"/>
          </w:tcPr>
          <w:p>
            <w:r/>
            <w:r>
              <w:rPr>
                <w:sz w:val="19"/>
              </w:rPr>
              <w:t>−0.006 ± 0.090</w:t>
            </w:r>
          </w:p>
        </w:tc>
        <w:tc>
          <w:tcPr>
            <w:tcW w:type="dxa" w:w="1337"/>
          </w:tcPr>
          <w:p>
            <w:r/>
            <w:r>
              <w:rPr>
                <w:sz w:val="19"/>
              </w:rPr>
              <w:t>0.319 ± 0.121</w:t>
            </w:r>
          </w:p>
        </w:tc>
        <w:tc>
          <w:tcPr>
            <w:tcW w:type="dxa" w:w="1337"/>
          </w:tcPr>
          <w:p>
            <w:r/>
            <w:r>
              <w:rPr>
                <w:sz w:val="19"/>
              </w:rPr>
              <w:t>38.0</w:t>
            </w:r>
          </w:p>
        </w:tc>
        <w:tc>
          <w:tcPr>
            <w:tcW w:type="dxa" w:w="1337"/>
          </w:tcPr>
          <w:p>
            <w:r/>
            <w:r>
              <w:rPr>
                <w:sz w:val="19"/>
              </w:rPr>
              <w:t>0.038</w:t>
            </w:r>
          </w:p>
        </w:tc>
        <w:tc>
          <w:tcPr>
            <w:tcW w:type="dxa" w:w="1337"/>
          </w:tcPr>
          <w:p>
            <w:r/>
            <w:r>
              <w:rPr>
                <w:sz w:val="19"/>
              </w:rPr>
              <w:t>*</w:t>
            </w:r>
          </w:p>
        </w:tc>
      </w:tr>
      <w:tr>
        <w:tc>
          <w:tcPr>
            <w:tcW w:type="dxa" w:w="1337"/>
          </w:tcPr>
          <w:p>
            <w:r/>
            <w:r>
              <w:rPr>
                <w:sz w:val="19"/>
              </w:rPr>
              <w:t>Tremor-dominant, OFF</w:t>
            </w:r>
          </w:p>
        </w:tc>
        <w:tc>
          <w:tcPr>
            <w:tcW w:type="dxa" w:w="1337"/>
          </w:tcPr>
          <w:p>
            <w:r/>
            <w:r>
              <w:rPr>
                <w:sz w:val="19"/>
              </w:rPr>
              <w:t>11</w:t>
            </w:r>
          </w:p>
        </w:tc>
        <w:tc>
          <w:tcPr>
            <w:tcW w:type="dxa" w:w="1337"/>
          </w:tcPr>
          <w:p>
            <w:r/>
            <w:r>
              <w:rPr>
                <w:sz w:val="19"/>
              </w:rPr>
              <w:t>0.046 ± 0.174</w:t>
            </w:r>
          </w:p>
        </w:tc>
        <w:tc>
          <w:tcPr>
            <w:tcW w:type="dxa" w:w="1337"/>
          </w:tcPr>
          <w:p>
            <w:r/>
            <w:r>
              <w:rPr>
                <w:sz w:val="19"/>
              </w:rPr>
              <w:t>0.057 ± 0.098</w:t>
            </w:r>
          </w:p>
        </w:tc>
        <w:tc>
          <w:tcPr>
            <w:tcW w:type="dxa" w:w="1337"/>
          </w:tcPr>
          <w:p>
            <w:r/>
            <w:r>
              <w:rPr>
                <w:sz w:val="19"/>
              </w:rPr>
              <w:t>26.0</w:t>
            </w:r>
          </w:p>
        </w:tc>
        <w:tc>
          <w:tcPr>
            <w:tcW w:type="dxa" w:w="1337"/>
          </w:tcPr>
          <w:p>
            <w:r/>
            <w:r>
              <w:rPr>
                <w:sz w:val="19"/>
              </w:rPr>
              <w:t>0.577</w:t>
            </w:r>
          </w:p>
        </w:tc>
        <w:tc>
          <w:tcPr>
            <w:tcW w:type="dxa" w:w="1337"/>
          </w:tcPr>
          <w:p>
            <w:r/>
            <w:r>
              <w:rPr>
                <w:sz w:val="19"/>
              </w:rPr>
              <w:t>ns</w:t>
            </w:r>
          </w:p>
        </w:tc>
      </w:tr>
      <w:tr>
        <w:tc>
          <w:tcPr>
            <w:tcW w:type="dxa" w:w="1337"/>
          </w:tcPr>
          <w:p>
            <w:r/>
            <w:r>
              <w:rPr>
                <w:sz w:val="19"/>
              </w:rPr>
              <w:t>Tremor-dominant, ON</w:t>
            </w:r>
          </w:p>
        </w:tc>
        <w:tc>
          <w:tcPr>
            <w:tcW w:type="dxa" w:w="1337"/>
          </w:tcPr>
          <w:p>
            <w:r/>
            <w:r>
              <w:rPr>
                <w:sz w:val="19"/>
              </w:rPr>
              <w:t>11</w:t>
            </w:r>
          </w:p>
        </w:tc>
        <w:tc>
          <w:tcPr>
            <w:tcW w:type="dxa" w:w="1337"/>
          </w:tcPr>
          <w:p>
            <w:r/>
            <w:r>
              <w:rPr>
                <w:sz w:val="19"/>
              </w:rPr>
              <w:t>−0.136 ± 0.092</w:t>
            </w:r>
          </w:p>
        </w:tc>
        <w:tc>
          <w:tcPr>
            <w:tcW w:type="dxa" w:w="1337"/>
          </w:tcPr>
          <w:p>
            <w:r/>
            <w:r>
              <w:rPr>
                <w:sz w:val="19"/>
              </w:rPr>
              <w:t>0.377 ± 0.215</w:t>
            </w:r>
          </w:p>
        </w:tc>
        <w:tc>
          <w:tcPr>
            <w:tcW w:type="dxa" w:w="1337"/>
          </w:tcPr>
          <w:p>
            <w:r/>
            <w:r>
              <w:rPr>
                <w:sz w:val="19"/>
              </w:rPr>
              <w:t>9.0</w:t>
            </w:r>
          </w:p>
        </w:tc>
        <w:tc>
          <w:tcPr>
            <w:tcW w:type="dxa" w:w="1337"/>
          </w:tcPr>
          <w:p>
            <w:r/>
            <w:r>
              <w:rPr>
                <w:sz w:val="19"/>
              </w:rPr>
              <w:t>0.032</w:t>
            </w:r>
          </w:p>
        </w:tc>
        <w:tc>
          <w:tcPr>
            <w:tcW w:type="dxa" w:w="1337"/>
          </w:tcPr>
          <w:p>
            <w:r/>
            <w:r>
              <w:rPr>
                <w:sz w:val="19"/>
              </w:rPr>
              <w:t>*</w:t>
            </w:r>
          </w:p>
        </w:tc>
      </w:tr>
      <w:tr>
        <w:tc>
          <w:tcPr>
            <w:tcW w:type="dxa" w:w="1337"/>
          </w:tcPr>
          <w:p>
            <w:r/>
            <w:r>
              <w:rPr>
                <w:sz w:val="19"/>
              </w:rPr>
              <w:t>Bradykinesia-dominant, OFF</w:t>
            </w:r>
          </w:p>
        </w:tc>
        <w:tc>
          <w:tcPr>
            <w:tcW w:type="dxa" w:w="1337"/>
          </w:tcPr>
          <w:p>
            <w:r/>
            <w:r>
              <w:rPr>
                <w:sz w:val="19"/>
              </w:rPr>
              <w:t>10</w:t>
            </w:r>
          </w:p>
        </w:tc>
        <w:tc>
          <w:tcPr>
            <w:tcW w:type="dxa" w:w="1337"/>
          </w:tcPr>
          <w:p>
            <w:r/>
            <w:r>
              <w:rPr>
                <w:sz w:val="19"/>
              </w:rPr>
              <w:t>0.185 ± 0.232</w:t>
            </w:r>
          </w:p>
        </w:tc>
        <w:tc>
          <w:tcPr>
            <w:tcW w:type="dxa" w:w="1337"/>
          </w:tcPr>
          <w:p>
            <w:r/>
            <w:r>
              <w:rPr>
                <w:sz w:val="19"/>
              </w:rPr>
              <w:t>0.300 ± 0.171</w:t>
            </w:r>
          </w:p>
        </w:tc>
        <w:tc>
          <w:tcPr>
            <w:tcW w:type="dxa" w:w="1337"/>
          </w:tcPr>
          <w:p>
            <w:r/>
            <w:r>
              <w:rPr>
                <w:sz w:val="19"/>
              </w:rPr>
              <w:t>25.0</w:t>
            </w:r>
          </w:p>
        </w:tc>
        <w:tc>
          <w:tcPr>
            <w:tcW w:type="dxa" w:w="1337"/>
          </w:tcPr>
          <w:p>
            <w:r/>
            <w:r>
              <w:rPr>
                <w:sz w:val="19"/>
              </w:rPr>
              <w:t>0.846</w:t>
            </w:r>
          </w:p>
        </w:tc>
        <w:tc>
          <w:tcPr>
            <w:tcW w:type="dxa" w:w="1337"/>
          </w:tcPr>
          <w:p>
            <w:r/>
            <w:r>
              <w:rPr>
                <w:sz w:val="19"/>
              </w:rPr>
              <w:t>ns</w:t>
            </w:r>
          </w:p>
        </w:tc>
      </w:tr>
      <w:tr>
        <w:tc>
          <w:tcPr>
            <w:tcW w:type="dxa" w:w="1337"/>
          </w:tcPr>
          <w:p>
            <w:r/>
            <w:r>
              <w:rPr>
                <w:sz w:val="19"/>
              </w:rPr>
              <w:t>Bradykinesia-dominant, ON</w:t>
            </w:r>
          </w:p>
        </w:tc>
        <w:tc>
          <w:tcPr>
            <w:tcW w:type="dxa" w:w="1337"/>
          </w:tcPr>
          <w:p>
            <w:r/>
            <w:r>
              <w:rPr>
                <w:sz w:val="19"/>
              </w:rPr>
              <w:t>10</w:t>
            </w:r>
          </w:p>
        </w:tc>
        <w:tc>
          <w:tcPr>
            <w:tcW w:type="dxa" w:w="1337"/>
          </w:tcPr>
          <w:p>
            <w:r/>
            <w:r>
              <w:rPr>
                <w:sz w:val="19"/>
              </w:rPr>
              <w:t>−0.182 ± 0.130</w:t>
            </w:r>
          </w:p>
        </w:tc>
        <w:tc>
          <w:tcPr>
            <w:tcW w:type="dxa" w:w="1337"/>
          </w:tcPr>
          <w:p>
            <w:r/>
            <w:r>
              <w:rPr>
                <w:sz w:val="19"/>
              </w:rPr>
              <w:t>0.083 ± 0.172</w:t>
            </w:r>
          </w:p>
        </w:tc>
        <w:tc>
          <w:tcPr>
            <w:tcW w:type="dxa" w:w="1337"/>
          </w:tcPr>
          <w:p>
            <w:r/>
            <w:r>
              <w:rPr>
                <w:sz w:val="19"/>
              </w:rPr>
              <w:t>13.0</w:t>
            </w:r>
          </w:p>
        </w:tc>
        <w:tc>
          <w:tcPr>
            <w:tcW w:type="dxa" w:w="1337"/>
          </w:tcPr>
          <w:p>
            <w:r/>
            <w:r>
              <w:rPr>
                <w:sz w:val="19"/>
              </w:rPr>
              <w:t>0.160</w:t>
            </w:r>
          </w:p>
        </w:tc>
        <w:tc>
          <w:tcPr>
            <w:tcW w:type="dxa" w:w="1337"/>
          </w:tcPr>
          <w:p>
            <w:r/>
            <w:r>
              <w:rPr>
                <w:sz w:val="19"/>
              </w:rPr>
              <w:t>ns</w:t>
            </w:r>
          </w:p>
        </w:tc>
      </w:tr>
    </w:tbl>
    <w:p>
      <w:pPr>
        <w:spacing w:after="80"/>
      </w:pPr>
    </w:p>
    <w:p>
      <w:pPr>
        <w:spacing w:after="200" w:line="276" w:lineRule="auto"/>
      </w:pPr>
      <w:r>
        <w:rPr>
          <w:i/>
          <w:sz w:val="20"/>
        </w:rPr>
        <w:t>No correction for multiple comparisons was applied across these ten within-group tests (five groups × two parameters); consider Bonferroni or FDR correction if requested during review.</w:t>
      </w:r>
    </w:p>
    <w:p>
      <w:pPr>
        <w:spacing w:after="80" w:line="276" w:lineRule="auto"/>
      </w:pPr>
      <w:r>
        <w:rPr>
          <w:b/>
          <w:i w:val="0"/>
          <w:sz w:val="22"/>
        </w:rPr>
        <w:t>Figure 4b — Hidden Markov model selection</w:t>
      </w:r>
    </w:p>
    <w:p>
      <w:pPr>
        <w:spacing w:after="200" w:line="276" w:lineRule="auto"/>
      </w:pPr>
      <w:r>
        <w:rPr>
          <w:i w:val="0"/>
          <w:sz w:val="20"/>
        </w:rPr>
        <w:t>Five-fold cross-validation over one to six latent states, selecting the smallest number of states within one fold standard error of peak held-out log-likelihood. A four-state model was selected.</w:t>
      </w:r>
    </w:p>
    <w:p>
      <w:pPr>
        <w:spacing w:after="80" w:line="276" w:lineRule="auto"/>
      </w:pPr>
      <w:r>
        <w:rPr>
          <w:b/>
          <w:i w:val="0"/>
          <w:sz w:val="22"/>
        </w:rPr>
        <w:t>Figure 4c,d — Identification of color-sensitive decision states</w:t>
      </w:r>
    </w:p>
    <w:p>
      <w:pPr>
        <w:spacing w:after="200" w:line="276" w:lineRule="auto"/>
      </w:pPr>
      <w:r>
        <w:rPr>
          <w:i w:val="0"/>
          <w:sz w:val="20"/>
        </w:rPr>
        <w:t>One-sample Wilcoxon signed-rank test on each state's per-session prior-driven shift in choice probability, with a BCa bootstrap 95% confidence interval (10,000 resamples); a state was considered significant if this interval excluded zero.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D9D9"/>
          </w:tcPr>
          <w:p>
            <w:r/>
            <w:r>
              <w:rPr>
                <w:b/>
                <w:sz w:val="19"/>
              </w:rPr>
              <w:t>Group</w:t>
            </w:r>
          </w:p>
        </w:tc>
        <w:tc>
          <w:tcPr>
            <w:tcW w:type="dxa" w:w="1337"/>
            <w:shd w:val="clear" w:color="auto" w:fill="D9D9D9"/>
          </w:tcPr>
          <w:p>
            <w:r/>
            <w:r>
              <w:rPr>
                <w:b/>
                <w:sz w:val="19"/>
              </w:rPr>
              <w:t>State</w:t>
            </w:r>
          </w:p>
        </w:tc>
        <w:tc>
          <w:tcPr>
            <w:tcW w:type="dxa" w:w="1337"/>
            <w:shd w:val="clear" w:color="auto" w:fill="D9D9D9"/>
          </w:tcPr>
          <w:p>
            <w:r/>
            <w:r>
              <w:rPr>
                <w:b/>
                <w:sz w:val="19"/>
              </w:rPr>
              <w:t>n sessions</w:t>
            </w:r>
          </w:p>
        </w:tc>
        <w:tc>
          <w:tcPr>
            <w:tcW w:type="dxa" w:w="1337"/>
            <w:shd w:val="clear" w:color="auto" w:fill="D9D9D9"/>
          </w:tcPr>
          <w:p>
            <w:r/>
            <w:r>
              <w:rPr>
                <w:b/>
                <w:sz w:val="19"/>
              </w:rPr>
              <w:t>Mean shift in P(choice)</w:t>
            </w:r>
          </w:p>
        </w:tc>
        <w:tc>
          <w:tcPr>
            <w:tcW w:type="dxa" w:w="1337"/>
            <w:shd w:val="clear" w:color="auto" w:fill="D9D9D9"/>
          </w:tcPr>
          <w:p>
            <w:r/>
            <w:r>
              <w:rPr>
                <w:b/>
                <w:sz w:val="19"/>
              </w:rPr>
              <w:t>Wilcoxon p</w:t>
            </w:r>
          </w:p>
        </w:tc>
        <w:tc>
          <w:tcPr>
            <w:tcW w:type="dxa" w:w="1337"/>
            <w:shd w:val="clear" w:color="auto" w:fill="D9D9D9"/>
          </w:tcPr>
          <w:p>
            <w:r/>
            <w:r>
              <w:rPr>
                <w:b/>
                <w:sz w:val="19"/>
              </w:rPr>
              <w:t>CI excludes zero?</w:t>
            </w:r>
          </w:p>
        </w:tc>
        <w:tc>
          <w:tcPr>
            <w:tcW w:type="dxa" w:w="1337"/>
            <w:shd w:val="clear" w:color="auto" w:fill="D9D9D9"/>
          </w:tcPr>
          <w:p>
            <w:r/>
            <w:r>
              <w:rPr>
                <w:b/>
                <w:sz w:val="19"/>
              </w:rPr>
              <w:t>Occupancy</w:t>
            </w:r>
          </w:p>
        </w:tc>
      </w:tr>
      <w:tr>
        <w:tc>
          <w:tcPr>
            <w:tcW w:type="dxa" w:w="1337"/>
          </w:tcPr>
          <w:p>
            <w:r/>
            <w:r>
              <w:rPr>
                <w:sz w:val="19"/>
              </w:rPr>
              <w:t>Healthy controls</w:t>
            </w:r>
          </w:p>
        </w:tc>
        <w:tc>
          <w:tcPr>
            <w:tcW w:type="dxa" w:w="1337"/>
          </w:tcPr>
          <w:p>
            <w:r/>
            <w:r>
              <w:rPr>
                <w:sz w:val="19"/>
              </w:rPr>
              <w:t>State 1</w:t>
            </w:r>
          </w:p>
        </w:tc>
        <w:tc>
          <w:tcPr>
            <w:tcW w:type="dxa" w:w="1337"/>
          </w:tcPr>
          <w:p>
            <w:r/>
            <w:r>
              <w:rPr>
                <w:sz w:val="19"/>
              </w:rPr>
              <w:t>18</w:t>
            </w:r>
          </w:p>
        </w:tc>
        <w:tc>
          <w:tcPr>
            <w:tcW w:type="dxa" w:w="1337"/>
          </w:tcPr>
          <w:p>
            <w:r/>
            <w:r>
              <w:rPr>
                <w:sz w:val="19"/>
              </w:rPr>
              <w:t>0.026</w:t>
            </w:r>
          </w:p>
        </w:tc>
        <w:tc>
          <w:tcPr>
            <w:tcW w:type="dxa" w:w="1337"/>
          </w:tcPr>
          <w:p>
            <w:r/>
            <w:r>
              <w:rPr>
                <w:sz w:val="19"/>
              </w:rPr>
              <w:t>0.832</w:t>
            </w:r>
          </w:p>
        </w:tc>
        <w:tc>
          <w:tcPr>
            <w:tcW w:type="dxa" w:w="1337"/>
          </w:tcPr>
          <w:p>
            <w:r/>
            <w:r>
              <w:rPr>
                <w:sz w:val="19"/>
              </w:rPr>
              <w:t>No</w:t>
            </w:r>
          </w:p>
        </w:tc>
        <w:tc>
          <w:tcPr>
            <w:tcW w:type="dxa" w:w="1337"/>
          </w:tcPr>
          <w:p>
            <w:r/>
            <w:r>
              <w:rPr>
                <w:sz w:val="19"/>
              </w:rPr>
              <w:t>0.268</w:t>
            </w:r>
          </w:p>
        </w:tc>
      </w:tr>
      <w:tr>
        <w:tc>
          <w:tcPr>
            <w:tcW w:type="dxa" w:w="1337"/>
          </w:tcPr>
          <w:p>
            <w:r/>
            <w:r>
              <w:rPr>
                <w:sz w:val="19"/>
              </w:rPr>
              <w:t>Healthy controls</w:t>
            </w:r>
          </w:p>
        </w:tc>
        <w:tc>
          <w:tcPr>
            <w:tcW w:type="dxa" w:w="1337"/>
          </w:tcPr>
          <w:p>
            <w:r/>
            <w:r>
              <w:rPr>
                <w:sz w:val="19"/>
              </w:rPr>
              <w:t>State 2</w:t>
            </w:r>
          </w:p>
        </w:tc>
        <w:tc>
          <w:tcPr>
            <w:tcW w:type="dxa" w:w="1337"/>
          </w:tcPr>
          <w:p>
            <w:r/>
            <w:r>
              <w:rPr>
                <w:sz w:val="19"/>
              </w:rPr>
              <w:t>18</w:t>
            </w:r>
          </w:p>
        </w:tc>
        <w:tc>
          <w:tcPr>
            <w:tcW w:type="dxa" w:w="1337"/>
          </w:tcPr>
          <w:p>
            <w:r/>
            <w:r>
              <w:rPr>
                <w:sz w:val="19"/>
              </w:rPr>
              <w:t>0.117</w:t>
            </w:r>
          </w:p>
        </w:tc>
        <w:tc>
          <w:tcPr>
            <w:tcW w:type="dxa" w:w="1337"/>
          </w:tcPr>
          <w:p>
            <w:r/>
            <w:r>
              <w:rPr>
                <w:sz w:val="19"/>
              </w:rPr>
              <w:t>0.0004</w:t>
            </w:r>
          </w:p>
        </w:tc>
        <w:tc>
          <w:tcPr>
            <w:tcW w:type="dxa" w:w="1337"/>
          </w:tcPr>
          <w:p>
            <w:r/>
            <w:r>
              <w:rPr>
                <w:sz w:val="19"/>
              </w:rPr>
              <w:t>Yes</w:t>
            </w:r>
          </w:p>
        </w:tc>
        <w:tc>
          <w:tcPr>
            <w:tcW w:type="dxa" w:w="1337"/>
          </w:tcPr>
          <w:p>
            <w:r/>
            <w:r>
              <w:rPr>
                <w:sz w:val="19"/>
              </w:rPr>
              <w:t>0.197</w:t>
            </w:r>
          </w:p>
        </w:tc>
      </w:tr>
      <w:tr>
        <w:tc>
          <w:tcPr>
            <w:tcW w:type="dxa" w:w="1337"/>
          </w:tcPr>
          <w:p>
            <w:r/>
            <w:r>
              <w:rPr>
                <w:sz w:val="19"/>
              </w:rPr>
              <w:t>Healthy controls</w:t>
            </w:r>
          </w:p>
        </w:tc>
        <w:tc>
          <w:tcPr>
            <w:tcW w:type="dxa" w:w="1337"/>
          </w:tcPr>
          <w:p>
            <w:r/>
            <w:r>
              <w:rPr>
                <w:sz w:val="19"/>
              </w:rPr>
              <w:t>State 3</w:t>
            </w:r>
          </w:p>
        </w:tc>
        <w:tc>
          <w:tcPr>
            <w:tcW w:type="dxa" w:w="1337"/>
          </w:tcPr>
          <w:p>
            <w:r/>
            <w:r>
              <w:rPr>
                <w:sz w:val="19"/>
              </w:rPr>
              <w:t>18</w:t>
            </w:r>
          </w:p>
        </w:tc>
        <w:tc>
          <w:tcPr>
            <w:tcW w:type="dxa" w:w="1337"/>
          </w:tcPr>
          <w:p>
            <w:r/>
            <w:r>
              <w:rPr>
                <w:sz w:val="19"/>
              </w:rPr>
              <w:t>0.128</w:t>
            </w:r>
          </w:p>
        </w:tc>
        <w:tc>
          <w:tcPr>
            <w:tcW w:type="dxa" w:w="1337"/>
          </w:tcPr>
          <w:p>
            <w:r/>
            <w:r>
              <w:rPr>
                <w:sz w:val="19"/>
              </w:rPr>
              <w:t>0.0077</w:t>
            </w:r>
          </w:p>
        </w:tc>
        <w:tc>
          <w:tcPr>
            <w:tcW w:type="dxa" w:w="1337"/>
          </w:tcPr>
          <w:p>
            <w:r/>
            <w:r>
              <w:rPr>
                <w:sz w:val="19"/>
              </w:rPr>
              <w:t>Yes</w:t>
            </w:r>
          </w:p>
        </w:tc>
        <w:tc>
          <w:tcPr>
            <w:tcW w:type="dxa" w:w="1337"/>
          </w:tcPr>
          <w:p>
            <w:r/>
            <w:r>
              <w:rPr>
                <w:sz w:val="19"/>
              </w:rPr>
              <w:t>0.505</w:t>
            </w:r>
          </w:p>
        </w:tc>
      </w:tr>
      <w:tr>
        <w:tc>
          <w:tcPr>
            <w:tcW w:type="dxa" w:w="1337"/>
          </w:tcPr>
          <w:p>
            <w:r/>
            <w:r>
              <w:rPr>
                <w:sz w:val="19"/>
              </w:rPr>
              <w:t>Healthy controls</w:t>
            </w:r>
          </w:p>
        </w:tc>
        <w:tc>
          <w:tcPr>
            <w:tcW w:type="dxa" w:w="1337"/>
          </w:tcPr>
          <w:p>
            <w:r/>
            <w:r>
              <w:rPr>
                <w:sz w:val="19"/>
              </w:rPr>
              <w:t>State 4</w:t>
            </w:r>
          </w:p>
        </w:tc>
        <w:tc>
          <w:tcPr>
            <w:tcW w:type="dxa" w:w="1337"/>
          </w:tcPr>
          <w:p>
            <w:r/>
            <w:r>
              <w:rPr>
                <w:sz w:val="19"/>
              </w:rPr>
              <w:t>18</w:t>
            </w:r>
          </w:p>
        </w:tc>
        <w:tc>
          <w:tcPr>
            <w:tcW w:type="dxa" w:w="1337"/>
          </w:tcPr>
          <w:p>
            <w:r/>
            <w:r>
              <w:rPr>
                <w:sz w:val="19"/>
              </w:rPr>
              <w:t>0.029</w:t>
            </w:r>
          </w:p>
        </w:tc>
        <w:tc>
          <w:tcPr>
            <w:tcW w:type="dxa" w:w="1337"/>
          </w:tcPr>
          <w:p>
            <w:r/>
            <w:r>
              <w:rPr>
                <w:sz w:val="19"/>
              </w:rPr>
              <w:t>0.212</w:t>
            </w:r>
          </w:p>
        </w:tc>
        <w:tc>
          <w:tcPr>
            <w:tcW w:type="dxa" w:w="1337"/>
          </w:tcPr>
          <w:p>
            <w:r/>
            <w:r>
              <w:rPr>
                <w:sz w:val="19"/>
              </w:rPr>
              <w:t>No</w:t>
            </w:r>
          </w:p>
        </w:tc>
        <w:tc>
          <w:tcPr>
            <w:tcW w:type="dxa" w:w="1337"/>
          </w:tcPr>
          <w:p>
            <w:r/>
            <w:r>
              <w:rPr>
                <w:sz w:val="19"/>
              </w:rPr>
              <w:t>0.029</w:t>
            </w:r>
          </w:p>
        </w:tc>
      </w:tr>
      <w:tr>
        <w:tc>
          <w:tcPr>
            <w:tcW w:type="dxa" w:w="1337"/>
          </w:tcPr>
          <w:p>
            <w:r/>
            <w:r>
              <w:rPr>
                <w:sz w:val="19"/>
              </w:rPr>
              <w:t>Tremor-dominant, OFF</w:t>
            </w:r>
          </w:p>
        </w:tc>
        <w:tc>
          <w:tcPr>
            <w:tcW w:type="dxa" w:w="1337"/>
          </w:tcPr>
          <w:p>
            <w:r/>
            <w:r>
              <w:rPr>
                <w:sz w:val="19"/>
              </w:rPr>
              <w:t>States 1–4</w:t>
            </w:r>
          </w:p>
        </w:tc>
        <w:tc>
          <w:tcPr>
            <w:tcW w:type="dxa" w:w="1337"/>
          </w:tcPr>
          <w:p>
            <w:r/>
            <w:r>
              <w:rPr>
                <w:sz w:val="19"/>
              </w:rPr>
              <w:t>11</w:t>
            </w:r>
          </w:p>
        </w:tc>
        <w:tc>
          <w:tcPr>
            <w:tcW w:type="dxa" w:w="1337"/>
          </w:tcPr>
          <w:p>
            <w:r/>
            <w:r>
              <w:rPr>
                <w:sz w:val="19"/>
              </w:rPr>
              <w:t>−0.008 to 0.061</w:t>
            </w:r>
          </w:p>
        </w:tc>
        <w:tc>
          <w:tcPr>
            <w:tcW w:type="dxa" w:w="1337"/>
          </w:tcPr>
          <w:p>
            <w:r/>
            <w:r>
              <w:rPr>
                <w:sz w:val="19"/>
              </w:rPr>
              <w:t>0.365–0.765</w:t>
            </w:r>
          </w:p>
        </w:tc>
        <w:tc>
          <w:tcPr>
            <w:tcW w:type="dxa" w:w="1337"/>
          </w:tcPr>
          <w:p>
            <w:r/>
            <w:r>
              <w:rPr>
                <w:sz w:val="19"/>
              </w:rPr>
              <w:t>No (all)</w:t>
            </w:r>
          </w:p>
        </w:tc>
        <w:tc>
          <w:tcPr>
            <w:tcW w:type="dxa" w:w="1337"/>
          </w:tcPr>
          <w:p>
            <w:r/>
            <w:r>
              <w:rPr>
                <w:sz w:val="19"/>
              </w:rPr>
              <w:t>—</w:t>
            </w:r>
          </w:p>
        </w:tc>
      </w:tr>
      <w:tr>
        <w:tc>
          <w:tcPr>
            <w:tcW w:type="dxa" w:w="1337"/>
          </w:tcPr>
          <w:p>
            <w:r/>
            <w:r>
              <w:rPr>
                <w:sz w:val="19"/>
              </w:rPr>
              <w:t>Tremor-dominant, ON</w:t>
            </w:r>
          </w:p>
        </w:tc>
        <w:tc>
          <w:tcPr>
            <w:tcW w:type="dxa" w:w="1337"/>
          </w:tcPr>
          <w:p>
            <w:r/>
            <w:r>
              <w:rPr>
                <w:sz w:val="19"/>
              </w:rPr>
              <w:t>State 1</w:t>
            </w:r>
          </w:p>
        </w:tc>
        <w:tc>
          <w:tcPr>
            <w:tcW w:type="dxa" w:w="1337"/>
          </w:tcPr>
          <w:p>
            <w:r/>
            <w:r>
              <w:rPr>
                <w:sz w:val="19"/>
              </w:rPr>
              <w:t>11</w:t>
            </w:r>
          </w:p>
        </w:tc>
        <w:tc>
          <w:tcPr>
            <w:tcW w:type="dxa" w:w="1337"/>
          </w:tcPr>
          <w:p>
            <w:r/>
            <w:r>
              <w:rPr>
                <w:sz w:val="19"/>
              </w:rPr>
              <w:t>0.029</w:t>
            </w:r>
          </w:p>
        </w:tc>
        <w:tc>
          <w:tcPr>
            <w:tcW w:type="dxa" w:w="1337"/>
          </w:tcPr>
          <w:p>
            <w:r/>
            <w:r>
              <w:rPr>
                <w:sz w:val="19"/>
              </w:rPr>
              <w:t>0.638</w:t>
            </w:r>
          </w:p>
        </w:tc>
        <w:tc>
          <w:tcPr>
            <w:tcW w:type="dxa" w:w="1337"/>
          </w:tcPr>
          <w:p>
            <w:r/>
            <w:r>
              <w:rPr>
                <w:sz w:val="19"/>
              </w:rPr>
              <w:t>No</w:t>
            </w:r>
          </w:p>
        </w:tc>
        <w:tc>
          <w:tcPr>
            <w:tcW w:type="dxa" w:w="1337"/>
          </w:tcPr>
          <w:p>
            <w:r/>
            <w:r>
              <w:rPr>
                <w:sz w:val="19"/>
              </w:rPr>
              <w:t>0.161</w:t>
            </w:r>
          </w:p>
        </w:tc>
      </w:tr>
      <w:tr>
        <w:tc>
          <w:tcPr>
            <w:tcW w:type="dxa" w:w="1337"/>
          </w:tcPr>
          <w:p>
            <w:r/>
            <w:r>
              <w:rPr>
                <w:sz w:val="19"/>
              </w:rPr>
              <w:t>Tremor-dominant, ON</w:t>
            </w:r>
          </w:p>
        </w:tc>
        <w:tc>
          <w:tcPr>
            <w:tcW w:type="dxa" w:w="1337"/>
          </w:tcPr>
          <w:p>
            <w:r/>
            <w:r>
              <w:rPr>
                <w:sz w:val="19"/>
              </w:rPr>
              <w:t>State 2</w:t>
            </w:r>
          </w:p>
        </w:tc>
        <w:tc>
          <w:tcPr>
            <w:tcW w:type="dxa" w:w="1337"/>
          </w:tcPr>
          <w:p>
            <w:r/>
            <w:r>
              <w:rPr>
                <w:sz w:val="19"/>
              </w:rPr>
              <w:t>11</w:t>
            </w:r>
          </w:p>
        </w:tc>
        <w:tc>
          <w:tcPr>
            <w:tcW w:type="dxa" w:w="1337"/>
          </w:tcPr>
          <w:p>
            <w:r/>
            <w:r>
              <w:rPr>
                <w:sz w:val="19"/>
              </w:rPr>
              <w:t>0.177</w:t>
            </w:r>
          </w:p>
        </w:tc>
        <w:tc>
          <w:tcPr>
            <w:tcW w:type="dxa" w:w="1337"/>
          </w:tcPr>
          <w:p>
            <w:r/>
            <w:r>
              <w:rPr>
                <w:sz w:val="19"/>
              </w:rPr>
              <w:t>0.0137</w:t>
            </w:r>
          </w:p>
        </w:tc>
        <w:tc>
          <w:tcPr>
            <w:tcW w:type="dxa" w:w="1337"/>
          </w:tcPr>
          <w:p>
            <w:r/>
            <w:r>
              <w:rPr>
                <w:sz w:val="19"/>
              </w:rPr>
              <w:t>Yes</w:t>
            </w:r>
          </w:p>
        </w:tc>
        <w:tc>
          <w:tcPr>
            <w:tcW w:type="dxa" w:w="1337"/>
          </w:tcPr>
          <w:p>
            <w:r/>
            <w:r>
              <w:rPr>
                <w:sz w:val="19"/>
              </w:rPr>
              <w:t>0.313</w:t>
            </w:r>
          </w:p>
        </w:tc>
      </w:tr>
      <w:tr>
        <w:tc>
          <w:tcPr>
            <w:tcW w:type="dxa" w:w="1337"/>
          </w:tcPr>
          <w:p>
            <w:r/>
            <w:r>
              <w:rPr>
                <w:sz w:val="19"/>
              </w:rPr>
              <w:t>Tremor-dominant, ON</w:t>
            </w:r>
          </w:p>
        </w:tc>
        <w:tc>
          <w:tcPr>
            <w:tcW w:type="dxa" w:w="1337"/>
          </w:tcPr>
          <w:p>
            <w:r/>
            <w:r>
              <w:rPr>
                <w:sz w:val="19"/>
              </w:rPr>
              <w:t>State 3†</w:t>
            </w:r>
          </w:p>
        </w:tc>
        <w:tc>
          <w:tcPr>
            <w:tcW w:type="dxa" w:w="1337"/>
          </w:tcPr>
          <w:p>
            <w:r/>
            <w:r>
              <w:rPr>
                <w:sz w:val="19"/>
              </w:rPr>
              <w:t>11</w:t>
            </w:r>
          </w:p>
        </w:tc>
        <w:tc>
          <w:tcPr>
            <w:tcW w:type="dxa" w:w="1337"/>
          </w:tcPr>
          <w:p>
            <w:r/>
            <w:r>
              <w:rPr>
                <w:sz w:val="19"/>
              </w:rPr>
              <w:t>0.132</w:t>
            </w:r>
          </w:p>
        </w:tc>
        <w:tc>
          <w:tcPr>
            <w:tcW w:type="dxa" w:w="1337"/>
          </w:tcPr>
          <w:p>
            <w:r/>
            <w:r>
              <w:rPr>
                <w:sz w:val="19"/>
              </w:rPr>
              <w:t>0.0537</w:t>
            </w:r>
          </w:p>
        </w:tc>
        <w:tc>
          <w:tcPr>
            <w:tcW w:type="dxa" w:w="1337"/>
          </w:tcPr>
          <w:p>
            <w:r/>
            <w:r>
              <w:rPr>
                <w:sz w:val="19"/>
              </w:rPr>
              <w:t>Yes†</w:t>
            </w:r>
          </w:p>
        </w:tc>
        <w:tc>
          <w:tcPr>
            <w:tcW w:type="dxa" w:w="1337"/>
          </w:tcPr>
          <w:p>
            <w:r/>
            <w:r>
              <w:rPr>
                <w:sz w:val="19"/>
              </w:rPr>
              <w:t>0.458</w:t>
            </w:r>
          </w:p>
        </w:tc>
      </w:tr>
      <w:tr>
        <w:tc>
          <w:tcPr>
            <w:tcW w:type="dxa" w:w="1337"/>
          </w:tcPr>
          <w:p>
            <w:r/>
            <w:r>
              <w:rPr>
                <w:sz w:val="19"/>
              </w:rPr>
              <w:t>Tremor-dominant, ON</w:t>
            </w:r>
          </w:p>
        </w:tc>
        <w:tc>
          <w:tcPr>
            <w:tcW w:type="dxa" w:w="1337"/>
          </w:tcPr>
          <w:p>
            <w:r/>
            <w:r>
              <w:rPr>
                <w:sz w:val="19"/>
              </w:rPr>
              <w:t>State 4</w:t>
            </w:r>
          </w:p>
        </w:tc>
        <w:tc>
          <w:tcPr>
            <w:tcW w:type="dxa" w:w="1337"/>
          </w:tcPr>
          <w:p>
            <w:r/>
            <w:r>
              <w:rPr>
                <w:sz w:val="19"/>
              </w:rPr>
              <w:t>11</w:t>
            </w:r>
          </w:p>
        </w:tc>
        <w:tc>
          <w:tcPr>
            <w:tcW w:type="dxa" w:w="1337"/>
          </w:tcPr>
          <w:p>
            <w:r/>
            <w:r>
              <w:rPr>
                <w:sz w:val="19"/>
              </w:rPr>
              <w:t>0.005</w:t>
            </w:r>
          </w:p>
        </w:tc>
        <w:tc>
          <w:tcPr>
            <w:tcW w:type="dxa" w:w="1337"/>
          </w:tcPr>
          <w:p>
            <w:r/>
            <w:r>
              <w:rPr>
                <w:sz w:val="19"/>
              </w:rPr>
              <w:t>0.520</w:t>
            </w:r>
          </w:p>
        </w:tc>
        <w:tc>
          <w:tcPr>
            <w:tcW w:type="dxa" w:w="1337"/>
          </w:tcPr>
          <w:p>
            <w:r/>
            <w:r>
              <w:rPr>
                <w:sz w:val="19"/>
              </w:rPr>
              <w:t>No</w:t>
            </w:r>
          </w:p>
        </w:tc>
        <w:tc>
          <w:tcPr>
            <w:tcW w:type="dxa" w:w="1337"/>
          </w:tcPr>
          <w:p>
            <w:r/>
            <w:r>
              <w:rPr>
                <w:sz w:val="19"/>
              </w:rPr>
              <w:t>0.069</w:t>
            </w:r>
          </w:p>
        </w:tc>
      </w:tr>
      <w:tr>
        <w:tc>
          <w:tcPr>
            <w:tcW w:type="dxa" w:w="1337"/>
          </w:tcPr>
          <w:p>
            <w:r/>
            <w:r>
              <w:rPr>
                <w:sz w:val="19"/>
              </w:rPr>
              <w:t>Bradykinesia-dominant, OFF</w:t>
            </w:r>
          </w:p>
        </w:tc>
        <w:tc>
          <w:tcPr>
            <w:tcW w:type="dxa" w:w="1337"/>
          </w:tcPr>
          <w:p>
            <w:r/>
            <w:r>
              <w:rPr>
                <w:sz w:val="19"/>
              </w:rPr>
              <w:t>State 2</w:t>
            </w:r>
          </w:p>
        </w:tc>
        <w:tc>
          <w:tcPr>
            <w:tcW w:type="dxa" w:w="1337"/>
          </w:tcPr>
          <w:p>
            <w:r/>
            <w:r>
              <w:rPr>
                <w:sz w:val="19"/>
              </w:rPr>
              <w:t>10</w:t>
            </w:r>
          </w:p>
        </w:tc>
        <w:tc>
          <w:tcPr>
            <w:tcW w:type="dxa" w:w="1337"/>
          </w:tcPr>
          <w:p>
            <w:r/>
            <w:r>
              <w:rPr>
                <w:sz w:val="19"/>
              </w:rPr>
              <w:t>0.166</w:t>
            </w:r>
          </w:p>
        </w:tc>
        <w:tc>
          <w:tcPr>
            <w:tcW w:type="dxa" w:w="1337"/>
          </w:tcPr>
          <w:p>
            <w:r/>
            <w:r>
              <w:rPr>
                <w:sz w:val="19"/>
              </w:rPr>
              <w:t>0.0273</w:t>
            </w:r>
          </w:p>
        </w:tc>
        <w:tc>
          <w:tcPr>
            <w:tcW w:type="dxa" w:w="1337"/>
          </w:tcPr>
          <w:p>
            <w:r/>
            <w:r>
              <w:rPr>
                <w:sz w:val="19"/>
              </w:rPr>
              <w:t>Yes</w:t>
            </w:r>
          </w:p>
        </w:tc>
        <w:tc>
          <w:tcPr>
            <w:tcW w:type="dxa" w:w="1337"/>
          </w:tcPr>
          <w:p>
            <w:r/>
            <w:r>
              <w:rPr>
                <w:sz w:val="19"/>
              </w:rPr>
              <w:t>0.248</w:t>
            </w:r>
          </w:p>
        </w:tc>
      </w:tr>
      <w:tr>
        <w:tc>
          <w:tcPr>
            <w:tcW w:type="dxa" w:w="1337"/>
          </w:tcPr>
          <w:p>
            <w:r/>
            <w:r>
              <w:rPr>
                <w:sz w:val="19"/>
              </w:rPr>
              <w:t>Bradykinesia-dominant, OFF</w:t>
            </w:r>
          </w:p>
        </w:tc>
        <w:tc>
          <w:tcPr>
            <w:tcW w:type="dxa" w:w="1337"/>
          </w:tcPr>
          <w:p>
            <w:r/>
            <w:r>
              <w:rPr>
                <w:sz w:val="19"/>
              </w:rPr>
              <w:t>States 1,3,4</w:t>
            </w:r>
          </w:p>
        </w:tc>
        <w:tc>
          <w:tcPr>
            <w:tcW w:type="dxa" w:w="1337"/>
          </w:tcPr>
          <w:p>
            <w:r/>
            <w:r>
              <w:rPr>
                <w:sz w:val="19"/>
              </w:rPr>
              <w:t>10</w:t>
            </w:r>
          </w:p>
        </w:tc>
        <w:tc>
          <w:tcPr>
            <w:tcW w:type="dxa" w:w="1337"/>
          </w:tcPr>
          <w:p>
            <w:r/>
            <w:r>
              <w:rPr>
                <w:sz w:val="19"/>
              </w:rPr>
              <w:t>−0.057 to 0.016</w:t>
            </w:r>
          </w:p>
        </w:tc>
        <w:tc>
          <w:tcPr>
            <w:tcW w:type="dxa" w:w="1337"/>
          </w:tcPr>
          <w:p>
            <w:r/>
            <w:r>
              <w:rPr>
                <w:sz w:val="19"/>
              </w:rPr>
              <w:t>0.432–1.000</w:t>
            </w:r>
          </w:p>
        </w:tc>
        <w:tc>
          <w:tcPr>
            <w:tcW w:type="dxa" w:w="1337"/>
          </w:tcPr>
          <w:p>
            <w:r/>
            <w:r>
              <w:rPr>
                <w:sz w:val="19"/>
              </w:rPr>
              <w:t>No</w:t>
            </w:r>
          </w:p>
        </w:tc>
        <w:tc>
          <w:tcPr>
            <w:tcW w:type="dxa" w:w="1337"/>
          </w:tcPr>
          <w:p>
            <w:r/>
            <w:r>
              <w:rPr>
                <w:sz w:val="19"/>
              </w:rPr>
              <w:t>—</w:t>
            </w:r>
          </w:p>
        </w:tc>
      </w:tr>
      <w:tr>
        <w:tc>
          <w:tcPr>
            <w:tcW w:type="dxa" w:w="1337"/>
          </w:tcPr>
          <w:p>
            <w:r/>
            <w:r>
              <w:rPr>
                <w:sz w:val="19"/>
              </w:rPr>
              <w:t>Bradykinesia-dominant, ON</w:t>
            </w:r>
          </w:p>
        </w:tc>
        <w:tc>
          <w:tcPr>
            <w:tcW w:type="dxa" w:w="1337"/>
          </w:tcPr>
          <w:p>
            <w:r/>
            <w:r>
              <w:rPr>
                <w:sz w:val="19"/>
              </w:rPr>
              <w:t>States 1–4</w:t>
            </w:r>
          </w:p>
        </w:tc>
        <w:tc>
          <w:tcPr>
            <w:tcW w:type="dxa" w:w="1337"/>
          </w:tcPr>
          <w:p>
            <w:r/>
            <w:r>
              <w:rPr>
                <w:sz w:val="19"/>
              </w:rPr>
              <w:t>10</w:t>
            </w:r>
          </w:p>
        </w:tc>
        <w:tc>
          <w:tcPr>
            <w:tcW w:type="dxa" w:w="1337"/>
          </w:tcPr>
          <w:p>
            <w:r/>
            <w:r>
              <w:rPr>
                <w:sz w:val="19"/>
              </w:rPr>
              <w:t>−0.044 to 0.085</w:t>
            </w:r>
          </w:p>
        </w:tc>
        <w:tc>
          <w:tcPr>
            <w:tcW w:type="dxa" w:w="1337"/>
          </w:tcPr>
          <w:p>
            <w:r/>
            <w:r>
              <w:rPr>
                <w:sz w:val="19"/>
              </w:rPr>
              <w:t>0.232–0.846</w:t>
            </w:r>
          </w:p>
        </w:tc>
        <w:tc>
          <w:tcPr>
            <w:tcW w:type="dxa" w:w="1337"/>
          </w:tcPr>
          <w:p>
            <w:r/>
            <w:r>
              <w:rPr>
                <w:sz w:val="19"/>
              </w:rPr>
              <w:t>No (all)</w:t>
            </w:r>
          </w:p>
        </w:tc>
        <w:tc>
          <w:tcPr>
            <w:tcW w:type="dxa" w:w="1337"/>
          </w:tcPr>
          <w:p>
            <w:r/>
            <w:r>
              <w:rPr>
                <w:sz w:val="19"/>
              </w:rPr>
              <w:t>—</w:t>
            </w:r>
          </w:p>
        </w:tc>
      </w:tr>
    </w:tbl>
    <w:p>
      <w:pPr>
        <w:spacing w:after="80"/>
      </w:pPr>
    </w:p>
    <w:p>
      <w:pPr>
        <w:spacing w:after="120"/>
      </w:pPr>
      <w:r>
        <w:rPr>
          <w:sz w:val="19"/>
        </w:rPr>
        <w:t>† This state is a borderline case: the bootstrap confidence interval excludes zero (and is the criterion used to compute cumulative occupancy in Fig. 4e), but the Wilcoxon p-value (0.054) is just above the conventional 0.05 threshold. Both criteria should be reported explicitly if this state's significance is load-bearing for any claim in the text.</w:t>
      </w:r>
    </w:p>
    <w:p>
      <w:pPr>
        <w:spacing w:after="80" w:line="276" w:lineRule="auto"/>
      </w:pPr>
      <w:r>
        <w:rPr>
          <w:b/>
          <w:i w:val="0"/>
          <w:sz w:val="22"/>
        </w:rPr>
        <w:t>Figure 4e — Cumulative occupancy in each group's own significant state(s)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
              <w:rPr>
                <w:b/>
                <w:sz w:val="19"/>
              </w:rPr>
              <w:t>Group</w:t>
            </w:r>
          </w:p>
        </w:tc>
        <w:tc>
          <w:tcPr>
            <w:tcW w:type="dxa" w:w="3120"/>
            <w:shd w:val="clear" w:color="auto" w:fill="D9D9D9"/>
          </w:tcPr>
          <w:p>
            <w:r/>
            <w:r>
              <w:rPr>
                <w:b/>
                <w:sz w:val="19"/>
              </w:rPr>
              <w:t>n</w:t>
            </w:r>
          </w:p>
        </w:tc>
        <w:tc>
          <w:tcPr>
            <w:tcW w:type="dxa" w:w="3120"/>
            <w:shd w:val="clear" w:color="auto" w:fill="D9D9D9"/>
          </w:tcPr>
          <w:p>
            <w:r/>
            <w:r>
              <w:rPr>
                <w:b/>
                <w:sz w:val="19"/>
              </w:rPr>
              <w:t>Mean ± SEM</w:t>
            </w:r>
          </w:p>
        </w:tc>
      </w:tr>
      <w:tr>
        <w:tc>
          <w:tcPr>
            <w:tcW w:type="dxa" w:w="3120"/>
          </w:tcPr>
          <w:p>
            <w:r/>
            <w:r>
              <w:rPr>
                <w:sz w:val="19"/>
              </w:rPr>
              <w:t>Healthy controls</w:t>
            </w:r>
          </w:p>
        </w:tc>
        <w:tc>
          <w:tcPr>
            <w:tcW w:type="dxa" w:w="3120"/>
          </w:tcPr>
          <w:p>
            <w:r/>
            <w:r>
              <w:rPr>
                <w:sz w:val="19"/>
              </w:rPr>
              <w:t>18</w:t>
            </w:r>
          </w:p>
        </w:tc>
        <w:tc>
          <w:tcPr>
            <w:tcW w:type="dxa" w:w="3120"/>
          </w:tcPr>
          <w:p>
            <w:r/>
            <w:r>
              <w:rPr>
                <w:sz w:val="19"/>
              </w:rPr>
              <w:t>0.702 ± 0.043</w:t>
            </w:r>
          </w:p>
        </w:tc>
      </w:tr>
      <w:tr>
        <w:tc>
          <w:tcPr>
            <w:tcW w:type="dxa" w:w="3120"/>
          </w:tcPr>
          <w:p>
            <w:r/>
            <w:r>
              <w:rPr>
                <w:sz w:val="19"/>
              </w:rPr>
              <w:t>Tremor-dominant, OFF</w:t>
            </w:r>
          </w:p>
        </w:tc>
        <w:tc>
          <w:tcPr>
            <w:tcW w:type="dxa" w:w="3120"/>
          </w:tcPr>
          <w:p>
            <w:r/>
            <w:r>
              <w:rPr>
                <w:sz w:val="19"/>
              </w:rPr>
              <w:t>11</w:t>
            </w:r>
          </w:p>
        </w:tc>
        <w:tc>
          <w:tcPr>
            <w:tcW w:type="dxa" w:w="3120"/>
          </w:tcPr>
          <w:p>
            <w:r/>
            <w:r>
              <w:rPr>
                <w:sz w:val="19"/>
              </w:rPr>
              <w:t>0.000 ± 0.000 (no significant state)</w:t>
            </w:r>
          </w:p>
        </w:tc>
      </w:tr>
      <w:tr>
        <w:tc>
          <w:tcPr>
            <w:tcW w:type="dxa" w:w="3120"/>
          </w:tcPr>
          <w:p>
            <w:r/>
            <w:r>
              <w:rPr>
                <w:sz w:val="19"/>
              </w:rPr>
              <w:t>Tremor-dominant, ON</w:t>
            </w:r>
          </w:p>
        </w:tc>
        <w:tc>
          <w:tcPr>
            <w:tcW w:type="dxa" w:w="3120"/>
          </w:tcPr>
          <w:p>
            <w:r/>
            <w:r>
              <w:rPr>
                <w:sz w:val="19"/>
              </w:rPr>
              <w:t>11</w:t>
            </w:r>
          </w:p>
        </w:tc>
        <w:tc>
          <w:tcPr>
            <w:tcW w:type="dxa" w:w="3120"/>
          </w:tcPr>
          <w:p>
            <w:r/>
            <w:r>
              <w:rPr>
                <w:sz w:val="19"/>
              </w:rPr>
              <w:t>0.771 ± 0.059</w:t>
            </w:r>
          </w:p>
        </w:tc>
      </w:tr>
      <w:tr>
        <w:tc>
          <w:tcPr>
            <w:tcW w:type="dxa" w:w="3120"/>
          </w:tcPr>
          <w:p>
            <w:r/>
            <w:r>
              <w:rPr>
                <w:sz w:val="19"/>
              </w:rPr>
              <w:t>Bradykinesia-dominant, OFF</w:t>
            </w:r>
          </w:p>
        </w:tc>
        <w:tc>
          <w:tcPr>
            <w:tcW w:type="dxa" w:w="3120"/>
          </w:tcPr>
          <w:p>
            <w:r/>
            <w:r>
              <w:rPr>
                <w:sz w:val="19"/>
              </w:rPr>
              <w:t>10</w:t>
            </w:r>
          </w:p>
        </w:tc>
        <w:tc>
          <w:tcPr>
            <w:tcW w:type="dxa" w:w="3120"/>
          </w:tcPr>
          <w:p>
            <w:r/>
            <w:r>
              <w:rPr>
                <w:sz w:val="19"/>
              </w:rPr>
              <w:t>0.248 ± 0.051</w:t>
            </w:r>
          </w:p>
        </w:tc>
      </w:tr>
      <w:tr>
        <w:tc>
          <w:tcPr>
            <w:tcW w:type="dxa" w:w="3120"/>
          </w:tcPr>
          <w:p>
            <w:r/>
            <w:r>
              <w:rPr>
                <w:sz w:val="19"/>
              </w:rPr>
              <w:t>Bradykinesia-dominant, ON</w:t>
            </w:r>
          </w:p>
        </w:tc>
        <w:tc>
          <w:tcPr>
            <w:tcW w:type="dxa" w:w="3120"/>
          </w:tcPr>
          <w:p>
            <w:r/>
            <w:r>
              <w:rPr>
                <w:sz w:val="19"/>
              </w:rPr>
              <w:t>10</w:t>
            </w:r>
          </w:p>
        </w:tc>
        <w:tc>
          <w:tcPr>
            <w:tcW w:type="dxa" w:w="3120"/>
          </w:tcPr>
          <w:p>
            <w:r/>
            <w:r>
              <w:rPr>
                <w:sz w:val="19"/>
              </w:rPr>
              <w:t>0.000 ± 0.000 (no significant state)</w:t>
            </w:r>
          </w:p>
        </w:tc>
      </w:tr>
    </w:tbl>
    <w:p>
      <w:pPr>
        <w:spacing w:after="80"/>
      </w:pPr>
    </w:p>
    <w:p>
      <w:pPr>
        <w:spacing w:after="200" w:line="276" w:lineRule="auto"/>
      </w:pPr>
      <w:r>
        <w:rPr>
          <w:i w:val="0"/>
          <w:sz w:val="20"/>
        </w:rPr>
        <w:t>Pairwise contrasts (Mann–Whitney U, between-subject, for healthy controls versus PD OFF; paired Wilcoxon signed-rank, within-subject, for OFF versus ON), each supplemented with a BCa-bootstrap confidence interval and p-value on the mean difference (10,000 resamples):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r/>
            <w:r>
              <w:rPr>
                <w:b/>
                <w:sz w:val="19"/>
              </w:rPr>
              <w:t>Contrast</w:t>
            </w:r>
          </w:p>
        </w:tc>
        <w:tc>
          <w:tcPr>
            <w:tcW w:type="dxa" w:w="1560"/>
            <w:shd w:val="clear" w:color="auto" w:fill="D9D9D9"/>
          </w:tcPr>
          <w:p>
            <w:r/>
            <w:r>
              <w:rPr>
                <w:b/>
                <w:sz w:val="19"/>
              </w:rPr>
              <w:t>Test</w:t>
            </w:r>
          </w:p>
        </w:tc>
        <w:tc>
          <w:tcPr>
            <w:tcW w:type="dxa" w:w="1560"/>
            <w:shd w:val="clear" w:color="auto" w:fill="D9D9D9"/>
          </w:tcPr>
          <w:p>
            <w:r/>
            <w:r>
              <w:rPr>
                <w:b/>
                <w:sz w:val="19"/>
              </w:rPr>
              <w:t>n</w:t>
            </w:r>
          </w:p>
        </w:tc>
        <w:tc>
          <w:tcPr>
            <w:tcW w:type="dxa" w:w="1560"/>
            <w:shd w:val="clear" w:color="auto" w:fill="D9D9D9"/>
          </w:tcPr>
          <w:p>
            <w:r/>
            <w:r>
              <w:rPr>
                <w:b/>
                <w:sz w:val="19"/>
              </w:rPr>
              <w:t>p (exact)</w:t>
            </w:r>
          </w:p>
        </w:tc>
        <w:tc>
          <w:tcPr>
            <w:tcW w:type="dxa" w:w="1560"/>
            <w:shd w:val="clear" w:color="auto" w:fill="D9D9D9"/>
          </w:tcPr>
          <w:p>
            <w:r/>
            <w:r>
              <w:rPr>
                <w:b/>
                <w:sz w:val="19"/>
              </w:rPr>
              <w:t>p (bootstrap)</w:t>
            </w:r>
          </w:p>
        </w:tc>
        <w:tc>
          <w:tcPr>
            <w:tcW w:type="dxa" w:w="1560"/>
            <w:shd w:val="clear" w:color="auto" w:fill="D9D9D9"/>
          </w:tcPr>
          <w:p>
            <w:r/>
            <w:r>
              <w:rPr>
                <w:b/>
                <w:sz w:val="19"/>
              </w:rPr>
              <w:t>95% CI on difference</w:t>
            </w:r>
          </w:p>
        </w:tc>
      </w:tr>
      <w:tr>
        <w:tc>
          <w:tcPr>
            <w:tcW w:type="dxa" w:w="1560"/>
          </w:tcPr>
          <w:p>
            <w:r/>
            <w:r>
              <w:rPr>
                <w:sz w:val="19"/>
              </w:rPr>
              <w:t>HC vs. Tremor-dominant, OFF</w:t>
            </w:r>
          </w:p>
        </w:tc>
        <w:tc>
          <w:tcPr>
            <w:tcW w:type="dxa" w:w="1560"/>
          </w:tcPr>
          <w:p>
            <w:r/>
            <w:r>
              <w:rPr>
                <w:sz w:val="19"/>
              </w:rPr>
              <w:t>Mann–Whitney U</w:t>
            </w:r>
          </w:p>
        </w:tc>
        <w:tc>
          <w:tcPr>
            <w:tcW w:type="dxa" w:w="1560"/>
          </w:tcPr>
          <w:p>
            <w:r/>
            <w:r>
              <w:rPr>
                <w:sz w:val="19"/>
              </w:rPr>
              <w:t>18 v 11</w:t>
            </w:r>
          </w:p>
        </w:tc>
        <w:tc>
          <w:tcPr>
            <w:tcW w:type="dxa" w:w="1560"/>
          </w:tcPr>
          <w:p>
            <w:r/>
            <w:r>
              <w:rPr>
                <w:sz w:val="19"/>
              </w:rPr>
              <w:t>0.0000</w:t>
            </w:r>
          </w:p>
        </w:tc>
        <w:tc>
          <w:tcPr>
            <w:tcW w:type="dxa" w:w="1560"/>
          </w:tcPr>
          <w:p>
            <w:r/>
            <w:r>
              <w:rPr>
                <w:sz w:val="19"/>
              </w:rPr>
              <w:t>0.0000</w:t>
            </w:r>
          </w:p>
        </w:tc>
        <w:tc>
          <w:tcPr>
            <w:tcW w:type="dxa" w:w="1560"/>
          </w:tcPr>
          <w:p>
            <w:r/>
            <w:r>
              <w:rPr>
                <w:sz w:val="19"/>
              </w:rPr>
              <w:t>[−0.79, −0.62]</w:t>
            </w:r>
          </w:p>
        </w:tc>
      </w:tr>
      <w:tr>
        <w:tc>
          <w:tcPr>
            <w:tcW w:type="dxa" w:w="1560"/>
          </w:tcPr>
          <w:p>
            <w:r/>
            <w:r>
              <w:rPr>
                <w:sz w:val="19"/>
              </w:rPr>
              <w:t>HC vs. Bradykinesia-dominant, OFF</w:t>
            </w:r>
          </w:p>
        </w:tc>
        <w:tc>
          <w:tcPr>
            <w:tcW w:type="dxa" w:w="1560"/>
          </w:tcPr>
          <w:p>
            <w:r/>
            <w:r>
              <w:rPr>
                <w:sz w:val="19"/>
              </w:rPr>
              <w:t>Mann–Whitney U</w:t>
            </w:r>
          </w:p>
        </w:tc>
        <w:tc>
          <w:tcPr>
            <w:tcW w:type="dxa" w:w="1560"/>
          </w:tcPr>
          <w:p>
            <w:r/>
            <w:r>
              <w:rPr>
                <w:sz w:val="19"/>
              </w:rPr>
              <w:t>18 v 10</w:t>
            </w:r>
          </w:p>
        </w:tc>
        <w:tc>
          <w:tcPr>
            <w:tcW w:type="dxa" w:w="1560"/>
          </w:tcPr>
          <w:p>
            <w:r/>
            <w:r>
              <w:rPr>
                <w:sz w:val="19"/>
              </w:rPr>
              <w:t>0.0001</w:t>
            </w:r>
          </w:p>
        </w:tc>
        <w:tc>
          <w:tcPr>
            <w:tcW w:type="dxa" w:w="1560"/>
          </w:tcPr>
          <w:p>
            <w:r/>
            <w:r>
              <w:rPr>
                <w:sz w:val="19"/>
              </w:rPr>
              <w:t>0.0000</w:t>
            </w:r>
          </w:p>
        </w:tc>
        <w:tc>
          <w:tcPr>
            <w:tcW w:type="dxa" w:w="1560"/>
          </w:tcPr>
          <w:p>
            <w:r/>
            <w:r>
              <w:rPr>
                <w:sz w:val="19"/>
              </w:rPr>
              <w:t>[−0.57, −0.32]</w:t>
            </w:r>
          </w:p>
        </w:tc>
      </w:tr>
      <w:tr>
        <w:tc>
          <w:tcPr>
            <w:tcW w:type="dxa" w:w="1560"/>
          </w:tcPr>
          <w:p>
            <w:r/>
            <w:r>
              <w:rPr>
                <w:sz w:val="19"/>
              </w:rPr>
              <w:t>Tremor-dominant, OFF vs. ON</w:t>
            </w:r>
          </w:p>
        </w:tc>
        <w:tc>
          <w:tcPr>
            <w:tcW w:type="dxa" w:w="1560"/>
          </w:tcPr>
          <w:p>
            <w:r/>
            <w:r>
              <w:rPr>
                <w:sz w:val="19"/>
              </w:rPr>
              <w:t>Wilcoxon (paired)</w:t>
            </w:r>
          </w:p>
        </w:tc>
        <w:tc>
          <w:tcPr>
            <w:tcW w:type="dxa" w:w="1560"/>
          </w:tcPr>
          <w:p>
            <w:r/>
            <w:r>
              <w:rPr>
                <w:sz w:val="19"/>
              </w:rPr>
              <w:t>11</w:t>
            </w:r>
          </w:p>
        </w:tc>
        <w:tc>
          <w:tcPr>
            <w:tcW w:type="dxa" w:w="1560"/>
          </w:tcPr>
          <w:p>
            <w:r/>
            <w:r>
              <w:rPr>
                <w:sz w:val="19"/>
              </w:rPr>
              <w:t>0.0010</w:t>
            </w:r>
          </w:p>
        </w:tc>
        <w:tc>
          <w:tcPr>
            <w:tcW w:type="dxa" w:w="1560"/>
          </w:tcPr>
          <w:p>
            <w:r/>
            <w:r>
              <w:rPr>
                <w:sz w:val="19"/>
              </w:rPr>
              <w:t>0.0000</w:t>
            </w:r>
          </w:p>
        </w:tc>
        <w:tc>
          <w:tcPr>
            <w:tcW w:type="dxa" w:w="1560"/>
          </w:tcPr>
          <w:p>
            <w:r/>
            <w:r>
              <w:rPr>
                <w:sz w:val="19"/>
              </w:rPr>
              <w:t>[0.66, 0.88]</w:t>
            </w:r>
          </w:p>
        </w:tc>
      </w:tr>
      <w:tr>
        <w:tc>
          <w:tcPr>
            <w:tcW w:type="dxa" w:w="1560"/>
          </w:tcPr>
          <w:p>
            <w:r/>
            <w:r>
              <w:rPr>
                <w:sz w:val="19"/>
              </w:rPr>
              <w:t>Bradykinesia-dominant, OFF vs. ON</w:t>
            </w:r>
          </w:p>
        </w:tc>
        <w:tc>
          <w:tcPr>
            <w:tcW w:type="dxa" w:w="1560"/>
          </w:tcPr>
          <w:p>
            <w:r/>
            <w:r>
              <w:rPr>
                <w:sz w:val="19"/>
              </w:rPr>
              <w:t>Wilcoxon (paired)</w:t>
            </w:r>
          </w:p>
        </w:tc>
        <w:tc>
          <w:tcPr>
            <w:tcW w:type="dxa" w:w="1560"/>
          </w:tcPr>
          <w:p>
            <w:r/>
            <w:r>
              <w:rPr>
                <w:sz w:val="19"/>
              </w:rPr>
              <w:t>10</w:t>
            </w:r>
          </w:p>
        </w:tc>
        <w:tc>
          <w:tcPr>
            <w:tcW w:type="dxa" w:w="1560"/>
          </w:tcPr>
          <w:p>
            <w:r/>
            <w:r>
              <w:rPr>
                <w:sz w:val="19"/>
              </w:rPr>
              <w:t>0.0020</w:t>
            </w:r>
          </w:p>
        </w:tc>
        <w:tc>
          <w:tcPr>
            <w:tcW w:type="dxa" w:w="1560"/>
          </w:tcPr>
          <w:p>
            <w:r/>
            <w:r>
              <w:rPr>
                <w:sz w:val="19"/>
              </w:rPr>
              <w:t>0.0000</w:t>
            </w:r>
          </w:p>
        </w:tc>
        <w:tc>
          <w:tcPr>
            <w:tcW w:type="dxa" w:w="1560"/>
          </w:tcPr>
          <w:p>
            <w:r/>
            <w:r>
              <w:rPr>
                <w:sz w:val="19"/>
              </w:rPr>
              <w:t>[−0.36, −0.17]</w:t>
            </w:r>
          </w:p>
        </w:tc>
      </w:tr>
    </w:tbl>
    <w:p>
      <w:pPr>
        <w:spacing w:after="80"/>
      </w:pPr>
    </w:p>
    <w:p>
      <w:pPr>
        <w:spacing w:after="120"/>
      </w:pPr>
      <w:r>
        <w:rPr>
          <w:sz w:val="19"/>
        </w:rPr>
        <w:t>Caveat: because no state reached significance for the Tremor-dominant OFF and Bradykinesia-dominant ON groups, cumulative occupancy is identically zero for every session in those two conditions, producing a zero-variance condition inside the paired/two-sample tests above. The resulting p-values are therefore partly a mechanical consequence of that degeneracy rather than clean independent confirmation on top of Figures 2–3, and Figure 4e is best presented as a qualitative, state-level complement to those results rather than as its own independent hypothesis 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