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44"/>
        </w:rPr>
        <w:t>RetailPulse — Complete Website User Guide</w:t>
        <w:br/>
        <w:t>&amp; Feature-by-Feature Walkthrough</w:t>
      </w:r>
    </w:p>
    <w:p>
      <w:pPr>
        <w:jc w:val="center"/>
      </w:pPr>
      <w:r>
        <w:rPr>
          <w:rFonts w:ascii="Calibri" w:hAnsi="Calibri"/>
          <w:i/>
          <w:color w:val="0D9488"/>
          <w:sz w:val="26"/>
        </w:rPr>
        <w:t>Exhaustive Screen-by-Screen, Navigation &amp; Analytical Component Reference</w:t>
      </w:r>
    </w:p>
    <w:p>
      <w:pPr>
        <w:jc w:val="center"/>
      </w:pPr>
      <w:r>
        <w:rPr>
          <w:color w:val="64748B"/>
          <w:sz w:val="19"/>
        </w:rPr>
        <w:t>Platform Version: 2.4.0  |  Frontend: Streamlit 1.35+  |  Backend: Flask 3.1  |  Multi-Model Database</w:t>
      </w:r>
    </w:p>
    <w:p>
      <w:pPr>
        <w:spacing w:after="240"/>
      </w:pPr>
    </w:p>
    <w:p>
      <w:pPr>
        <w:pStyle w:val="Heading1"/>
        <w:spacing w:before="360" w:after="120"/>
      </w:pPr>
      <w:r>
        <w:rPr>
          <w:rFonts w:ascii="Arial" w:hAnsi="Arial"/>
          <w:b/>
          <w:color w:val="0F172A"/>
          <w:sz w:val="30"/>
        </w:rPr>
        <w:t>1. Platform Overview &amp; Layout Hierarchy</w:t>
      </w:r>
    </w:p>
    <w:p>
      <w:r>
        <w:t>RetailPulse is designed with a strict three-tier visual hierarchy to ensure that high-level executive insights, real-time message streams, and technical data engineering utilities are cleanly organized without visual clutter.</w:t>
      </w:r>
    </w:p>
    <w:p>
      <w:r>
        <w:t>The interface consists of three distinct layout regions:</w:t>
        <w:br/>
        <w:t>1. Top Navigation Bar (Header): Global monitoring indicators, real-time anomaly alerts, and RBAC persona selector.</w:t>
        <w:br/>
        <w:t>2. Left Sidebar (Primary Navigation): Exactly three primary navigation views providing single-click switching between executive, streaming, and technical tooling.</w:t>
        <w:br/>
        <w:t>3. Main Content Stage: The active view workspace featuring dynamic Plotly charts, interactive forms, high-speed dataframes, and nested secondary tabs.</w:t>
      </w:r>
    </w:p>
    <w:p>
      <w:pPr>
        <w:pStyle w:val="Heading1"/>
        <w:spacing w:before="360" w:after="120"/>
      </w:pPr>
      <w:r>
        <w:rPr>
          <w:rFonts w:ascii="Arial" w:hAnsi="Arial"/>
          <w:b/>
          <w:color w:val="0F172A"/>
          <w:sz w:val="30"/>
        </w:rPr>
        <w:t>2. Top Navigation Bar (Global Header)</w:t>
      </w:r>
    </w:p>
    <w:p>
      <w:r>
        <w:t>The global header is fixed at the top of every screen to provide universal situational awareness:</w:t>
      </w:r>
    </w:p>
    <w:p>
      <w:pPr>
        <w:pStyle w:val="Heading2"/>
        <w:spacing w:before="240" w:after="80"/>
      </w:pPr>
      <w:r>
        <w:rPr>
          <w:rFonts w:ascii="Arial" w:hAnsi="Arial"/>
          <w:b/>
          <w:color w:val="0D9488"/>
          <w:sz w:val="25"/>
        </w:rPr>
        <w:t>A. Brand Logo &amp; System Identifier</w:t>
      </w:r>
    </w:p>
    <w:p>
      <w:r>
        <w:t>Displays the platform icon and title ('RetailPulse Data Engineering Platform') with current release metadata.</w:t>
      </w:r>
    </w:p>
    <w:p>
      <w:pPr>
        <w:pStyle w:val="Heading2"/>
        <w:spacing w:before="240" w:after="80"/>
      </w:pPr>
      <w:r>
        <w:rPr>
          <w:rFonts w:ascii="Arial" w:hAnsi="Arial"/>
          <w:b/>
          <w:color w:val="0D9488"/>
          <w:sz w:val="25"/>
        </w:rPr>
        <w:t>B. Global Stream Health Indicator ('Stream: Online')</w:t>
      </w:r>
    </w:p>
    <w:p>
      <w:r>
        <w:t>A live visual telemetry badge. It probes the background RabbitMQ broker or local queue daemon. When the message broker is actively ingesting and processing events, the badge displays green ('🟢 Stream: Online'). If the worker is stopped, it immediately turns gray ('⚪ Stream: Offline').</w:t>
      </w:r>
    </w:p>
    <w:p>
      <w:pPr>
        <w:pStyle w:val="Heading2"/>
        <w:spacing w:before="240" w:after="80"/>
      </w:pPr>
      <w:r>
        <w:rPr>
          <w:rFonts w:ascii="Arial" w:hAnsi="Arial"/>
          <w:b/>
          <w:color w:val="0D9488"/>
          <w:sz w:val="25"/>
        </w:rPr>
        <w:t>C. Anomaly &amp; Incident Alerts Center ('🔔 Alerts (N)')</w:t>
      </w:r>
    </w:p>
    <w:p>
      <w:r>
        <w:t>Clicking the Alerts button opens an interactive popover overlay aggregating real-time operational alerts from 3 systems:</w:t>
        <w:br/>
        <w:t>• Staging Quarantine Alerts: Shows sales events that failed schema or value validation and were isolated in staging_sales.</w:t>
        <w:br/>
        <w:t>• Dead-Letter Queue (DLQ) Alerts: Highlights unprocessed poison-pill messages trapped in retail_sales_events_dlq.</w:t>
        <w:br/>
        <w:t>• Great Expectations Failures: Warns when automated data quality rules detect out-of-boundary values.</w:t>
        <w:br/>
        <w:t>• Interactive Demonstration: Contains a 'Trigger Test Anomaly Alert' button that injects a simulated quarantined alert so examiners can verify live alert dispatching instantly.</w:t>
      </w:r>
    </w:p>
    <w:p>
      <w:pPr>
        <w:pStyle w:val="Heading2"/>
        <w:spacing w:before="240" w:after="80"/>
      </w:pPr>
      <w:r>
        <w:rPr>
          <w:rFonts w:ascii="Arial" w:hAnsi="Arial"/>
          <w:b/>
          <w:color w:val="0D9488"/>
          <w:sz w:val="25"/>
        </w:rPr>
        <w:t>D. User Profile &amp; Role-Based Access Control (RBAC)</w:t>
      </w:r>
    </w:p>
    <w:p>
      <w:r>
        <w:t>A user switcher popover that implements genuine authorization boundaries across the entire application:</w:t>
        <w:br/>
        <w:t>• Michael (Analyst): A read-only analytical persona. Analysts can inspect dashboards, execute queries, run benchmarks, and download reports. However, destructive actions (initializing/resetting the Delta table, evolving schemas, purging queues) are strictly blocked with an informative permission prompt.</w:t>
        <w:br/>
        <w:t>• Sarah (Admin): An administrative engineer persona with elevated privileges to initialize Delta Lake tables, execute schema evolution, trigger Airflow DAG runs, and commit transactional modifications.</w:t>
      </w:r>
    </w:p>
    <w:p>
      <w:pPr>
        <w:pStyle w:val="Heading1"/>
        <w:spacing w:before="360" w:after="120"/>
      </w:pPr>
      <w:r>
        <w:rPr>
          <w:rFonts w:ascii="Arial" w:hAnsi="Arial"/>
          <w:b/>
          <w:color w:val="0F172A"/>
          <w:sz w:val="30"/>
        </w:rPr>
        <w:t>3. Primary Navigation 1: Executive Dashboard</w:t>
      </w:r>
    </w:p>
    <w:p>
      <w:r>
        <w:t>The Executive Dashboard is tailored for Chief Executive Officers, Chief Data Officers, and Sales Directors. All calculations are grounded in genuine database queries executed over normalized 3NF relational tables.</w:t>
      </w:r>
    </w:p>
    <w:p>
      <w:pPr>
        <w:pStyle w:val="Heading2"/>
        <w:spacing w:before="240" w:after="80"/>
      </w:pPr>
      <w:r>
        <w:rPr>
          <w:rFonts w:ascii="Arial" w:hAnsi="Arial"/>
          <w:b/>
          <w:color w:val="0D9488"/>
          <w:sz w:val="25"/>
        </w:rPr>
        <w:t>A. Interactive Filter Bar</w:t>
      </w:r>
    </w:p>
    <w:p>
      <w:r>
        <w:t>Located at the top of the dashboard, allowing users to slice and dice metrics across five dimensions:</w:t>
        <w:br/>
        <w:t>• Date Range Preset: Instant filtering for 'All Time', 'Last 7 Days', 'Last 30 Days', and 'Last 90 Days'.</w:t>
        <w:br/>
        <w:t>• Custom Date Range: Two interactive calendar pickers (Start Date and End Date).</w:t>
        <w:br/>
        <w:t>• Region Multi-Select: Choose from North America, Europe, Asia-Pacific, Latin America, Middle East, and Africa.</w:t>
        <w:br/>
        <w:t>• Category Multi-Select: Filter across Electronics, Home &amp; Kitchen, Sports &amp; Outdoors, Apparel, and Books.</w:t>
        <w:br/>
        <w:t>• Ingestion Source Selector: Isolate sales originating from CSV Batch, Live REST API, WooCommerce Webhook, or Streaming Simulator.</w:t>
      </w:r>
    </w:p>
    <w:p>
      <w:pPr>
        <w:pStyle w:val="Heading2"/>
        <w:spacing w:before="240" w:after="80"/>
      </w:pPr>
      <w:r>
        <w:rPr>
          <w:rFonts w:ascii="Arial" w:hAnsi="Arial"/>
          <w:b/>
          <w:color w:val="0D9488"/>
          <w:sz w:val="25"/>
        </w:rPr>
        <w:t>B. Five Dynamic Executive KPI Cards</w:t>
      </w:r>
    </w:p>
    <w:p>
      <w:r>
        <w:t>1. Net Revenue ($): Total gross sales value minus returns, formatted as high-contrast currency.</w:t>
        <w:br/>
        <w:t>2. Total Orders: Count of distinct completed transactions meeting filter criteria.</w:t>
        <w:br/>
        <w:t>3. Average Order Value (AOV): Mean financial basket value per customer purchase.</w:t>
        <w:br/>
        <w:t>4. Repeat Customer Rate (%): Percentage of customers with two or more lifetime purchases.</w:t>
        <w:br/>
        <w:t>5. Month-over-Month (MoM) Growth: Percentage revenue trajectory compared to the previous calendar month.</w:t>
      </w:r>
    </w:p>
    <w:p>
      <w:pPr>
        <w:pStyle w:val="Heading2"/>
        <w:spacing w:before="240" w:after="80"/>
      </w:pPr>
      <w:r>
        <w:rPr>
          <w:rFonts w:ascii="Arial" w:hAnsi="Arial"/>
          <w:b/>
          <w:color w:val="0D9488"/>
          <w:sz w:val="25"/>
        </w:rPr>
        <w:t>C. Core Visualizations &amp; Analytics</w:t>
      </w:r>
    </w:p>
    <w:p>
      <w:r>
        <w:t>• Revenue Trajectory Curve: An interactive Plotly time-series graph tracking daily and monthly revenue velocities.</w:t>
        <w:br/>
        <w:t>• Top 10 Selling Products: Ranked horizontal bar chart displaying revenue contribution by product and category.</w:t>
        <w:br/>
        <w:t>• Regional Market Breakdown: Comparative performance chart contrasting revenue and order volume across worldwide territories.</w:t>
      </w:r>
    </w:p>
    <w:p>
      <w:pPr>
        <w:pStyle w:val="Heading2"/>
        <w:spacing w:before="240" w:after="80"/>
      </w:pPr>
      <w:r>
        <w:rPr>
          <w:rFonts w:ascii="Arial" w:hAnsi="Arial"/>
          <w:b/>
          <w:color w:val="0D9488"/>
          <w:sz w:val="25"/>
        </w:rPr>
        <w:t>D. Multidimensional OLAP Data Cube Drawer (Practical 10)</w:t>
      </w:r>
    </w:p>
    <w:p>
      <w:r>
        <w:t>An expandable analytical module implementing PostgreSQL multidimensional operators:</w:t>
        <w:br/>
        <w:t>• CUBE Query Mode: Computes cross-tabulations across all 2^N dimension permutations (Region x Category x Status).</w:t>
        <w:br/>
        <w:t>• ROLLUP Query Mode: Computes hierarchical rollups from granular product category up to regional subtotals and grand totals.</w:t>
        <w:br/>
        <w:t>• GROUPING SETS Mode: Generates precise custom slices requested by finance teams.</w:t>
        <w:br/>
        <w:t>• Download Button: Export the calculated multidimensional dataset directly as CSV.</w:t>
      </w:r>
    </w:p>
    <w:p>
      <w:pPr>
        <w:pStyle w:val="Heading1"/>
        <w:spacing w:before="360" w:after="120"/>
      </w:pPr>
      <w:r>
        <w:rPr>
          <w:rFonts w:ascii="Arial" w:hAnsi="Arial"/>
          <w:b/>
          <w:color w:val="0F172A"/>
          <w:sz w:val="30"/>
        </w:rPr>
        <w:t>4. Primary Navigation 2: Live Sales Stream</w:t>
      </w:r>
    </w:p>
    <w:p>
      <w:r>
        <w:t>This screen monitors high-speed streaming ingestion and asynchronous queue buffers.</w:t>
      </w:r>
    </w:p>
    <w:p>
      <w:pPr>
        <w:pStyle w:val="Heading2"/>
        <w:spacing w:before="240" w:after="80"/>
      </w:pPr>
      <w:r>
        <w:rPr>
          <w:rFonts w:ascii="Arial" w:hAnsi="Arial"/>
          <w:b/>
          <w:color w:val="0D9488"/>
          <w:sz w:val="25"/>
        </w:rPr>
        <w:t>A. Real-Time Simulation Controls</w:t>
      </w:r>
    </w:p>
    <w:p>
      <w:r>
        <w:t>• Background Simulator Toggle: Start or stop the asynchronous order producer worker with a single click.</w:t>
        <w:br/>
        <w:t>• Emission Frequency Slider: Tune event generation velocity from 0.2 seconds (rapid stress testing) to 5.0 seconds.</w:t>
        <w:br/>
        <w:t>• Burst Event Generator: Push single isolated orders or 10-event bulk bursts directly into the message broker.</w:t>
      </w:r>
    </w:p>
    <w:p>
      <w:pPr>
        <w:pStyle w:val="Heading2"/>
        <w:spacing w:before="240" w:after="80"/>
      </w:pPr>
      <w:r>
        <w:rPr>
          <w:rFonts w:ascii="Arial" w:hAnsi="Arial"/>
          <w:b/>
          <w:color w:val="0D9488"/>
          <w:sz w:val="25"/>
        </w:rPr>
        <w:t>B. Message Broker Telemetry Grid</w:t>
      </w:r>
    </w:p>
    <w:p>
      <w:r>
        <w:t>Displays real-time broker statistics across 5 critical metrics:</w:t>
        <w:br/>
        <w:t>1. Ingestion Throughput: Live event velocity measured in events per second.</w:t>
        <w:br/>
        <w:t>2. Queue Depth: Count of unconsumed messages waiting in the durable queue ('retail_sales_events').</w:t>
        <w:br/>
        <w:t>3. End-to-End Latency: Round-trip processing time from producer emission to database commit (milliseconds).</w:t>
        <w:br/>
        <w:t>4. Dead-Letter Queue (DLQ) Depth: Count of quarantined unparseable events in 'retail_sales_events_dlq'.</w:t>
        <w:br/>
        <w:t>5. Duplicate Detection Counter: Tally of duplicate transactions intercepted and discarded by idempotent hashing.</w:t>
      </w:r>
    </w:p>
    <w:p>
      <w:pPr>
        <w:pStyle w:val="Heading2"/>
        <w:spacing w:before="240" w:after="80"/>
      </w:pPr>
      <w:r>
        <w:rPr>
          <w:rFonts w:ascii="Arial" w:hAnsi="Arial"/>
          <w:b/>
          <w:color w:val="0D9488"/>
          <w:sz w:val="25"/>
        </w:rPr>
        <w:t>C. Live Sales Event Feed</w:t>
      </w:r>
    </w:p>
    <w:p>
      <w:r>
        <w:t>A continuously refreshing feed of incoming transactions. Each card displays:</w:t>
        <w:br/>
        <w:t>• Source Identifier Badge: Clearly labels events as '⚡ Real API Order', '🌐 Webhook Order', or '🤖 Simulated Event'.</w:t>
        <w:br/>
        <w:t>• Order Metadata: Order ID, Customer Name, Category, Item Name, and Line Total.</w:t>
        <w:br/>
        <w:t>• Expandable Payload Inspector: Click to view the exact JSON payload ingested by the system.</w:t>
      </w:r>
    </w:p>
    <w:p>
      <w:pPr>
        <w:pStyle w:val="Heading2"/>
        <w:spacing w:before="240" w:after="80"/>
      </w:pPr>
      <w:r>
        <w:rPr>
          <w:rFonts w:ascii="Arial" w:hAnsi="Arial"/>
          <w:b/>
          <w:color w:val="0D9488"/>
          <w:sz w:val="25"/>
        </w:rPr>
        <w:t>D. WooCommerce Webhook Auditor (Practical 1)</w:t>
      </w:r>
    </w:p>
    <w:p>
      <w:r>
        <w:t>Inspects webhooks arriving from WooCommerce. Audits HMAC-SHA256 signature verification headers to demonstrate cryptographic tamper protection.</w:t>
      </w:r>
    </w:p>
    <w:p>
      <w:pPr>
        <w:pStyle w:val="Heading1"/>
        <w:spacing w:before="360" w:after="120"/>
      </w:pPr>
      <w:r>
        <w:rPr>
          <w:rFonts w:ascii="Arial" w:hAnsi="Arial"/>
          <w:b/>
          <w:color w:val="0F172A"/>
          <w:sz w:val="30"/>
        </w:rPr>
        <w:t>5. Primary Navigation 3: Sales Analytics &amp; Data Engineering Workbench</w:t>
      </w:r>
    </w:p>
    <w:p>
      <w:r>
        <w:t>The core technical workbench houses all 9 data engineering modules as secondary tabs:</w:t>
      </w:r>
    </w:p>
    <w:p>
      <w:pPr>
        <w:pStyle w:val="Heading2"/>
        <w:spacing w:before="240" w:after="80"/>
      </w:pPr>
      <w:r>
        <w:rPr>
          <w:rFonts w:ascii="Arial" w:hAnsi="Arial"/>
          <w:b/>
          <w:color w:val="0D9488"/>
          <w:sz w:val="25"/>
        </w:rPr>
        <w:t>Tab 1: Data Explorer (EDA &amp; Automated Cleaning)</w:t>
      </w:r>
    </w:p>
    <w:p>
      <w:r>
        <w:t>• Syllabus Practicals: 3 &amp; 4 | Source: processing/cleaning.py</w:t>
        <w:br/>
        <w:t>• Dataset Switcher: Choose between the 1,500-record production dataset, an edge-case test dataset (containing deliberate duplicates, missing values, and extreme outliers), or upload a custom CSV.</w:t>
        <w:br/>
        <w:t>• Profiling Summary: Total rows, column count, memory footprint, duplicate rows, missing cell counts.</w:t>
        <w:br/>
        <w:t>• Five-Number Distribution Summary: Min, Q25, Median, Q75, Max, plus IQR outlier counts for numeric columns.</w:t>
        <w:br/>
        <w:t>• Automated Cleaning Pipeline: One-click button executes deduplication, median/mode imputation, and IQR boundary capping.</w:t>
        <w:br/>
        <w:t>• Export Cleaned Data: Download the resulting clean dataset as CSV.</w:t>
      </w:r>
    </w:p>
    <w:p>
      <w:pPr>
        <w:pStyle w:val="Heading2"/>
        <w:spacing w:before="240" w:after="80"/>
      </w:pPr>
      <w:r>
        <w:rPr>
          <w:rFonts w:ascii="Arial" w:hAnsi="Arial"/>
          <w:b/>
          <w:color w:val="0D9488"/>
          <w:sz w:val="25"/>
        </w:rPr>
        <w:t>Tab 2: ETL Pipeline (Extract, Transform, Validate, Load)</w:t>
      </w:r>
    </w:p>
    <w:p>
      <w:r>
        <w:t>• Syllabus Practical: 7 | Source: processing/etl.py</w:t>
        <w:br/>
        <w:t>• 4-Stage Pipeline Architecture: Ingests raw data into staging_sales, standardizes types, validates business rules, and loads into 3NF models.</w:t>
        <w:br/>
        <w:t>• Idempotency Guarantee: Uses external order IDs to ensure duplicate runs never produce duplicate rows.</w:t>
        <w:br/>
        <w:t>• Staging Quarantine Inspector: Displays rejected poison pills with exact error explanations (e.g., negative price, malformed email).</w:t>
        <w:br/>
        <w:t>• Run History &amp; Lineage: Historical log showing records processed, rows quarantined, execution duration, and pipeline status.</w:t>
      </w:r>
    </w:p>
    <w:p>
      <w:pPr>
        <w:pStyle w:val="Heading2"/>
        <w:spacing w:before="240" w:after="80"/>
      </w:pPr>
      <w:r>
        <w:rPr>
          <w:rFonts w:ascii="Arial" w:hAnsi="Arial"/>
          <w:b/>
          <w:color w:val="0D9488"/>
          <w:sz w:val="25"/>
        </w:rPr>
        <w:t>Tab 3: SQL Workbench (Window Functions &amp; Execution Plans)</w:t>
      </w:r>
    </w:p>
    <w:p>
      <w:r>
        <w:t>• Syllabus Practicals: 8 &amp; 9 | Source: analytics/sql_analytics.py</w:t>
        <w:br/>
        <w:t>• Interactive SQL Editor: Run arbitrary queries against the relational database.</w:t>
        <w:br/>
        <w:t>• Window Function Presets: One-click presets for DENSE_RANK() by category, LAG()/LEAD() consecutive order deltas, and cumulative monthly sums.</w:t>
        <w:br/>
        <w:t>• EXPLAIN Execution Plan Analyzer: Inspects database query plans to contrast Sequential Scans vs Index Scans, cost estimates, and loop counts.</w:t>
        <w:br/>
        <w:t>• Database Index Inspector: Lists all active indexes on tables to evaluate optimization.</w:t>
      </w:r>
    </w:p>
    <w:p>
      <w:pPr>
        <w:pStyle w:val="Heading2"/>
        <w:spacing w:before="240" w:after="80"/>
      </w:pPr>
      <w:r>
        <w:rPr>
          <w:rFonts w:ascii="Arial" w:hAnsi="Arial"/>
          <w:b/>
          <w:color w:val="0D9488"/>
          <w:sz w:val="25"/>
        </w:rPr>
        <w:t>Tab 4: Data Lake &amp; Batch (DuckDB, Polars &amp; Delta Lake)</w:t>
      </w:r>
    </w:p>
    <w:p>
      <w:r>
        <w:t>• Syllabus Practicals: 11 &amp; 12 | Source: batch/batch_processor.py, delta_lake/delta_manager.py</w:t>
        <w:br/>
        <w:t>• Sub-Tab 1: Columnar Batch Benchmark: Vectorized benchmark comparing DuckDB on CSV vs DuckDB on Snappy Parquet vs Polars parallel engine, highlighting execution latency (ms) and compression ratios.</w:t>
        <w:br/>
        <w:t>• Sub-Tab 2: Delta Lake ACID &amp; Time Travel: Features lakehouse status KPIs, 4 transaction actions (Reset/Init, Append Batch, Schema Guard, Schema Evolution), live table data viewer, commit history log (_delta_log), and interactive version slider for historical snapshot inspection.</w:t>
      </w:r>
    </w:p>
    <w:p>
      <w:pPr>
        <w:pStyle w:val="Heading2"/>
        <w:spacing w:before="240" w:after="80"/>
      </w:pPr>
      <w:r>
        <w:rPr>
          <w:rFonts w:ascii="Arial" w:hAnsi="Arial"/>
          <w:b/>
          <w:color w:val="0D9488"/>
          <w:sz w:val="25"/>
        </w:rPr>
        <w:t>Tab 5: Data Quality Suite (Great Expectations)</w:t>
      </w:r>
    </w:p>
    <w:p>
      <w:r>
        <w:t>• Syllabus Practical: 14 | Source: validation/quality_checker.py</w:t>
        <w:br/>
        <w:t>• Automated Test Suite: Evaluates non-null, uniqueness, categorical set membership, and range constraints.</w:t>
        <w:br/>
        <w:t>• Health Score Meter: Computes overall dataset quality percentage score.</w:t>
        <w:br/>
        <w:t>• Persistent Logging: Logs all quality test results to the data_quality_results database table.</w:t>
        <w:br/>
        <w:t>• Standalone HTML Report: Download an official, styled Great Expectations HTML report.</w:t>
      </w:r>
    </w:p>
    <w:p>
      <w:pPr>
        <w:pStyle w:val="Heading2"/>
        <w:spacing w:before="240" w:after="80"/>
      </w:pPr>
      <w:r>
        <w:rPr>
          <w:rFonts w:ascii="Arial" w:hAnsi="Arial"/>
          <w:b/>
          <w:color w:val="0D9488"/>
          <w:sz w:val="25"/>
        </w:rPr>
        <w:t>Tab 6: Workflow Scheduler (Apache Airflow Orchestration)</w:t>
      </w:r>
    </w:p>
    <w:p>
      <w:r>
        <w:t>• Syllabus Practical: 13 | Source: workflows/dags/retailpulse_batch_etl.py</w:t>
        <w:br/>
        <w:t>• DAG Visualization: Shows the 7-stage DAG dependency graph (check_ingestion -&gt; extract -&gt; validate -&gt; transform -&gt; load -&gt; build_olap -&gt; summary).</w:t>
        <w:br/>
        <w:t>• Manual Trigger: Run the complete orchestration pipeline on demand.</w:t>
        <w:br/>
        <w:t>• Real-Time Task Logs: View live execution logs, start times, completion times, and retry counters.</w:t>
      </w:r>
    </w:p>
    <w:p>
      <w:pPr>
        <w:pStyle w:val="Heading2"/>
        <w:spacing w:before="240" w:after="80"/>
      </w:pPr>
      <w:r>
        <w:rPr>
          <w:rFonts w:ascii="Arial" w:hAnsi="Arial"/>
          <w:b/>
          <w:color w:val="0D9488"/>
          <w:sz w:val="25"/>
        </w:rPr>
        <w:t>Tab 7: Database Management (PostgreSQL &amp; MongoDB NoSQL)</w:t>
      </w:r>
    </w:p>
    <w:p>
      <w:r>
        <w:t>• Syllabus Practicals: 5 &amp; 6 | Source: database/models.py, database/nosql.py</w:t>
        <w:br/>
        <w:t>• Relational 3NF Schema Browser: Inspect customers, products, orders, order_items, staging_sales tables, primary/foreign keys, and row counts.</w:t>
        <w:br/>
        <w:t>• MongoDB NoSQL Document Store: Insert polymorphic customer reviews with star ratings and nested JSON metadata, execute projection queries, and inspect collection indexes.</w:t>
      </w:r>
    </w:p>
    <w:p>
      <w:pPr>
        <w:pStyle w:val="Heading2"/>
        <w:spacing w:before="240" w:after="80"/>
      </w:pPr>
      <w:r>
        <w:rPr>
          <w:rFonts w:ascii="Arial" w:hAnsi="Arial"/>
          <w:b/>
          <w:color w:val="0D9488"/>
          <w:sz w:val="25"/>
        </w:rPr>
        <w:t>Tab 8: API Tools (REST API, Pydantic &amp; Webhooks)</w:t>
      </w:r>
    </w:p>
    <w:p>
      <w:r>
        <w:t>• Syllabus Practical: 1 | Source: api/routes.py, api/schemas.py</w:t>
        <w:br/>
        <w:t>• Interactive API Console: Test GET /health and dispatch POST /api/orders payloads to the live Flask backend.</w:t>
        <w:br/>
        <w:t>• Pydantic Schema Guard Test: Injects invalid fields to verify automatic HTTP 400 rejection.</w:t>
        <w:br/>
        <w:t>• Webhook Signature Tester: Simulates WooCommerce webhook notifications with HMAC-SHA256 headers.</w:t>
      </w:r>
    </w:p>
    <w:p>
      <w:pPr>
        <w:pStyle w:val="Heading2"/>
        <w:spacing w:before="240" w:after="80"/>
      </w:pPr>
      <w:r>
        <w:rPr>
          <w:rFonts w:ascii="Arial" w:hAnsi="Arial"/>
          <w:b/>
          <w:color w:val="0D9488"/>
          <w:sz w:val="25"/>
        </w:rPr>
        <w:t>Tab 9: Search &amp; Observability (Elasticsearch)</w:t>
      </w:r>
    </w:p>
    <w:p>
      <w:r>
        <w:t>• Syllabus Practical: 15 | Source: search/search_engine.py</w:t>
        <w:br/>
        <w:t>• Multi-Field Full-Text Search: Query across orders, customers, products, categories, and pipeline error logs.</w:t>
        <w:br/>
        <w:t>• Graceful Fallback: Seamlessly falls back to an in-memory inverted index if the native Elasticsearch cluster is offline.</w:t>
      </w:r>
    </w:p>
    <w:p>
      <w:pPr>
        <w:pStyle w:val="Heading1"/>
        <w:spacing w:before="360" w:after="120"/>
      </w:pPr>
      <w:r>
        <w:rPr>
          <w:rFonts w:ascii="Arial" w:hAnsi="Arial"/>
          <w:b/>
          <w:color w:val="0F172A"/>
          <w:sz w:val="30"/>
        </w:rPr>
        <w:t>6. Step-by-Step Live Demonstration Script for Examiners</w:t>
      </w:r>
    </w:p>
    <w:p>
      <w:r>
        <w:t>Follow this chronological 5-minute walkthrough during academic reviews or live presentations:</w:t>
      </w:r>
    </w:p>
    <w:p>
      <w:pPr>
        <w:pStyle w:val="Heading2"/>
        <w:spacing w:before="240" w:after="80"/>
      </w:pPr>
      <w:r>
        <w:rPr>
          <w:rFonts w:ascii="Arial" w:hAnsi="Arial"/>
          <w:b/>
          <w:color w:val="0D9488"/>
          <w:sz w:val="25"/>
        </w:rPr>
        <w:t>Step 1: Executive Overview (1 Minute)</w:t>
      </w:r>
    </w:p>
    <w:p>
      <w:r>
        <w:t>Open Executive Dashboard. Point out the 5 KPI cards. Select 'Last 30 Days' and 'Electronics' in the filter bar to show instant dynamic recalculation. Expand the 'Data Cube Explorer' drawer, run a CUBE query, and point out calculated regional subtotals.</w:t>
      </w:r>
    </w:p>
    <w:p>
      <w:pPr>
        <w:pStyle w:val="Heading2"/>
        <w:spacing w:before="240" w:after="80"/>
      </w:pPr>
      <w:r>
        <w:rPr>
          <w:rFonts w:ascii="Arial" w:hAnsi="Arial"/>
          <w:b/>
          <w:color w:val="0D9488"/>
          <w:sz w:val="25"/>
        </w:rPr>
        <w:t>Step 2: Real-Time Stream Ingestion (1 Minute)</w:t>
      </w:r>
    </w:p>
    <w:p>
      <w:r>
        <w:t>Navigate to Live Sales Stream. Click 'Start Simulator Worker'. Show the Throughput and Latency telemetry cards updating. Point out the live order feed with 'Simulated Event' badges. Click 'Stop Simulator Worker'.</w:t>
      </w:r>
    </w:p>
    <w:p>
      <w:pPr>
        <w:pStyle w:val="Heading2"/>
        <w:spacing w:before="240" w:after="80"/>
      </w:pPr>
      <w:r>
        <w:rPr>
          <w:rFonts w:ascii="Arial" w:hAnsi="Arial"/>
          <w:b/>
          <w:color w:val="0D9488"/>
          <w:sz w:val="25"/>
        </w:rPr>
        <w:t>Step 3: Data Explorer &amp; Automated Cleaning (1 Minute)</w:t>
      </w:r>
    </w:p>
    <w:p>
      <w:r>
        <w:t>Go to Sales Analytics -&gt; Data Explorer. Select 'test_retail_batch.csv'. Point out the detected duplicate row and missing values in the profiling cards. Click 'Execute Automated Cleaning' and show that duplicates were removed and outliers capped.</w:t>
      </w:r>
    </w:p>
    <w:p>
      <w:pPr>
        <w:pStyle w:val="Heading2"/>
        <w:spacing w:before="240" w:after="80"/>
      </w:pPr>
      <w:r>
        <w:rPr>
          <w:rFonts w:ascii="Arial" w:hAnsi="Arial"/>
          <w:b/>
          <w:color w:val="0D9488"/>
          <w:sz w:val="25"/>
        </w:rPr>
        <w:t>Step 4: Vectorized Benchmarks &amp; Delta Lake ACID (1 Minute)</w:t>
      </w:r>
    </w:p>
    <w:p>
      <w:r>
        <w:t>Go to Sales Analytics -&gt; Data Lake &amp; Batch. Click 'Run Comparative Engine Benchmark' to show DuckDB and Polars achieving sub-10ms aggregations. Switch to the 'Delta Lake ACID' tab, click 'Append New Batch' to create a commit, and use the Time Travel slider to inspect an earlier commit snapshot.</w:t>
      </w:r>
    </w:p>
    <w:p>
      <w:pPr>
        <w:pStyle w:val="Heading2"/>
        <w:spacing w:before="240" w:after="80"/>
      </w:pPr>
      <w:r>
        <w:rPr>
          <w:rFonts w:ascii="Arial" w:hAnsi="Arial"/>
          <w:b/>
          <w:color w:val="0D9488"/>
          <w:sz w:val="25"/>
        </w:rPr>
        <w:t>Step 5: API Ingestion &amp; Data Quality (1 Minute)</w:t>
      </w:r>
    </w:p>
    <w:p>
      <w:r>
        <w:t>Go to Sales Analytics -&gt; API Tools. Click 'Test Order Ingestion (POST /api/orders)' to dispatch a live transaction to the Flask backend. Finally, go to Data Quality and click 'Execute Great Expectations Test Suite' to show automated assertion passes and download the HTML report.</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Pr>
          <w:p>
            <w:pPr>
              <w:spacing w:before="0" w:after="0"/>
            </w:pPr>
            <w:r>
              <w:rPr>
                <w:b/>
                <w:color w:val="0D9488"/>
              </w:rPr>
              <w:t xml:space="preserve">💡 Presentation Tip: </w:t>
            </w:r>
            <w:r>
              <w:rPr>
                <w:color w:val="334155"/>
                <w:sz w:val="20"/>
              </w:rPr>
              <w:t>Keep both terminal windows visible (Flask API on port 5000 and Streamlit on port 8501). When clicking buttons in the UI, point to the live terminal logs showing the incoming HTTP requests and background worker tasks.</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