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AA0725" w:rsidRDefault="00031BFC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ind w:right="1500"/>
        <w:jc w:val="center"/>
        <w:rPr>
          <w:color w:val="FFFFFF"/>
          <w:sz w:val="46"/>
          <w:szCs w:val="46"/>
          <w:shd w:val="clear" w:color="auto" w:fill="134F5C"/>
        </w:rPr>
      </w:pPr>
      <w:r>
        <w:rPr>
          <w:color w:val="000000"/>
          <w:sz w:val="60"/>
          <w:szCs w:val="60"/>
        </w:rPr>
        <w:t xml:space="preserve">       </w:t>
      </w:r>
      <w:r>
        <w:rPr>
          <w:color w:val="000000"/>
          <w:sz w:val="50"/>
          <w:szCs w:val="50"/>
        </w:rPr>
        <w:t xml:space="preserve"> </w:t>
      </w:r>
      <w:r>
        <w:rPr>
          <w:color w:val="FFFFFF"/>
          <w:sz w:val="50"/>
          <w:szCs w:val="50"/>
          <w:shd w:val="clear" w:color="auto" w:fill="134F5C"/>
        </w:rPr>
        <w:t>S</w:t>
      </w:r>
      <w:r>
        <w:rPr>
          <w:color w:val="FFFFFF"/>
          <w:sz w:val="46"/>
          <w:szCs w:val="46"/>
          <w:shd w:val="clear" w:color="auto" w:fill="134F5C"/>
        </w:rPr>
        <w:t>UPPLY CHAIN</w:t>
      </w:r>
    </w:p>
    <w:p w:rsidR="00AA0725" w:rsidRDefault="00031BFC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500" w:right="1500"/>
        <w:jc w:val="center"/>
        <w:rPr>
          <w:color w:val="FFFFFF"/>
          <w:sz w:val="46"/>
          <w:szCs w:val="46"/>
          <w:shd w:val="clear" w:color="auto" w:fill="134F5C"/>
        </w:rPr>
      </w:pPr>
      <w:r>
        <w:rPr>
          <w:color w:val="FFFFFF"/>
          <w:sz w:val="46"/>
          <w:szCs w:val="46"/>
          <w:shd w:val="clear" w:color="auto" w:fill="134F5C"/>
        </w:rPr>
        <w:t>DELIVERY PERFORMANCE REPORT</w:t>
      </w:r>
    </w:p>
    <w:p w:rsidR="00AA0725" w:rsidRDefault="00AA0725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500" w:right="1500"/>
        <w:jc w:val="center"/>
        <w:rPr>
          <w:color w:val="000000"/>
          <w:sz w:val="56"/>
          <w:szCs w:val="56"/>
        </w:rPr>
      </w:pPr>
    </w:p>
    <w:p w:rsidR="00AA0725" w:rsidRDefault="00031BFC">
      <w:pPr>
        <w:pBdr>
          <w:top w:val="nil"/>
          <w:left w:val="nil"/>
          <w:bottom w:val="nil"/>
          <w:right w:val="nil"/>
          <w:between w:val="nil"/>
        </w:pBdr>
        <w:spacing w:after="180" w:line="384" w:lineRule="auto"/>
        <w:ind w:left="1500" w:right="1500"/>
        <w:jc w:val="center"/>
        <w:rPr>
          <w:i/>
          <w:iCs/>
          <w:color w:val="AAC4D8"/>
          <w:sz w:val="26"/>
          <w:szCs w:val="26"/>
          <w:shd w:val="clear" w:color="auto" w:fill="134F5C"/>
        </w:rPr>
      </w:pPr>
      <w:r>
        <w:rPr>
          <w:i/>
          <w:iCs/>
          <w:color w:val="AAC4D8"/>
          <w:sz w:val="26"/>
          <w:szCs w:val="26"/>
          <w:shd w:val="clear" w:color="auto" w:fill="134F5C"/>
        </w:rPr>
        <w:t>End-to-End Order Fulfillment Analysis &amp; Predictive Insight</w:t>
      </w:r>
    </w:p>
    <w:p w:rsidR="00AA0725" w:rsidRDefault="00AA0725">
      <w:pPr>
        <w:pBdr>
          <w:top w:val="nil"/>
          <w:left w:val="nil"/>
          <w:bottom w:val="nil"/>
          <w:right w:val="nil"/>
          <w:between w:val="nil"/>
        </w:pBdr>
        <w:spacing w:before="225" w:after="330"/>
        <w:ind w:right="600"/>
        <w:rPr>
          <w:b/>
          <w:bCs/>
          <w:color w:val="0F1B2D"/>
          <w:sz w:val="52"/>
          <w:szCs w:val="52"/>
        </w:rPr>
      </w:pPr>
    </w:p>
    <w:p w:rsidR="00AA0725" w:rsidRDefault="00031BFC">
      <w:pPr>
        <w:pBdr>
          <w:top w:val="nil"/>
          <w:left w:val="nil"/>
          <w:bottom w:val="nil"/>
          <w:right w:val="nil"/>
          <w:between w:val="nil"/>
        </w:pBdr>
        <w:spacing w:before="225" w:after="330"/>
        <w:ind w:right="600"/>
        <w:rPr>
          <w:b/>
          <w:bCs/>
          <w:color w:val="0F1B2D"/>
          <w:sz w:val="36"/>
          <w:szCs w:val="36"/>
        </w:rPr>
      </w:pPr>
      <w:r>
        <w:rPr>
          <w:b/>
          <w:bCs/>
          <w:color w:val="0F1B2D"/>
          <w:sz w:val="52"/>
          <w:szCs w:val="52"/>
        </w:rPr>
        <w:t>Table of Contents</w:t>
      </w:r>
      <w:r>
        <w:pict>
          <v:rect id="_x0000_i1025" style="width:0;height:1.5pt" o:hralign="center" o:hrstd="t" o:hr="t" fillcolor="#a0a0a0" stroked="f"/>
        </w:pict>
      </w:r>
    </w:p>
    <w:p w:rsidR="00AA0725" w:rsidRDefault="00031BF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60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Executive Summary</w:t>
      </w:r>
    </w:p>
    <w:p w:rsidR="00AA0725" w:rsidRDefault="00031BF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60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Business Context &amp; Objectives</w:t>
      </w:r>
    </w:p>
    <w:p w:rsidR="00AA0725" w:rsidRDefault="00031BF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60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Key Performance Indicators (KPIs)</w:t>
      </w:r>
    </w:p>
    <w:p w:rsidR="00AA0725" w:rsidRDefault="00031BF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90"/>
        <w:ind w:right="60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Profitability Analysis</w:t>
      </w:r>
    </w:p>
    <w:p w:rsidR="00AA0725" w:rsidRDefault="00031BFC">
      <w:pPr>
        <w:pBdr>
          <w:top w:val="nil"/>
          <w:left w:val="nil"/>
          <w:bottom w:val="nil"/>
          <w:right w:val="nil"/>
          <w:between w:val="nil"/>
        </w:pBdr>
        <w:spacing w:after="90"/>
        <w:ind w:right="60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 4.1   Profitability Distribution</w:t>
      </w:r>
    </w:p>
    <w:p w:rsidR="00AA0725" w:rsidRDefault="00031BFC">
      <w:pPr>
        <w:pBdr>
          <w:top w:val="nil"/>
          <w:left w:val="nil"/>
          <w:bottom w:val="nil"/>
          <w:right w:val="nil"/>
          <w:between w:val="nil"/>
        </w:pBdr>
        <w:spacing w:after="90"/>
        <w:ind w:right="60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 4.2   Delay Distribution &amp; Profit vs. Delay Days</w:t>
      </w:r>
    </w:p>
    <w:p w:rsidR="00AA0725" w:rsidRDefault="00031BF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60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Bottleneck Detection</w:t>
      </w:r>
    </w:p>
    <w:p w:rsidR="00AA0725" w:rsidRDefault="00031BF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60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Root Cause Analysis</w:t>
      </w:r>
    </w:p>
    <w:p w:rsidR="00AA0725" w:rsidRDefault="00031BF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60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Time-Based Delay Patterns</w:t>
      </w:r>
    </w:p>
    <w:p w:rsidR="00AA0725" w:rsidRDefault="00031BF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60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Strategic Recommendations</w:t>
      </w:r>
    </w:p>
    <w:p w:rsidR="00AA0725" w:rsidRDefault="00031BF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90"/>
        <w:ind w:right="60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Conclusion</w:t>
      </w:r>
    </w:p>
    <w:p w:rsidR="00AA0725" w:rsidRDefault="00AA0725">
      <w:pPr>
        <w:pStyle w:val="Heading2"/>
        <w:spacing w:before="0" w:after="600"/>
        <w:ind w:left="600" w:right="600"/>
      </w:pPr>
    </w:p>
    <w:p w:rsidR="00AA0725" w:rsidRDefault="00AA0725">
      <w:pPr>
        <w:pBdr>
          <w:top w:val="nil"/>
          <w:left w:val="nil"/>
          <w:bottom w:val="nil"/>
          <w:right w:val="nil"/>
          <w:between w:val="nil"/>
        </w:pBdr>
        <w:spacing w:before="225" w:after="330"/>
        <w:ind w:left="600" w:right="600"/>
        <w:rPr>
          <w:color w:val="0F1B2D"/>
        </w:rPr>
      </w:pPr>
    </w:p>
    <w:tbl>
      <w:tblPr>
        <w:tblStyle w:val="a"/>
        <w:tblW w:w="10140" w:type="dxa"/>
        <w:tblInd w:w="-7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140"/>
      </w:tblGrid>
      <w:tr w:rsidR="00AA0725">
        <w:tc>
          <w:tcPr>
            <w:tcW w:w="10140" w:type="dxa"/>
            <w:shd w:val="clear" w:color="auto" w:fill="0C343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0725" w:rsidRDefault="00AA0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F1B2D"/>
                <w:shd w:val="clear" w:color="auto" w:fill="0C343D"/>
              </w:rPr>
            </w:pPr>
          </w:p>
        </w:tc>
      </w:tr>
    </w:tbl>
    <w:p w:rsidR="00AA0725" w:rsidRDefault="00AA0725">
      <w:pPr>
        <w:pBdr>
          <w:top w:val="nil"/>
          <w:left w:val="nil"/>
          <w:bottom w:val="nil"/>
          <w:right w:val="nil"/>
          <w:between w:val="nil"/>
        </w:pBdr>
        <w:spacing w:before="225" w:after="330"/>
        <w:ind w:left="600" w:right="600"/>
        <w:rPr>
          <w:color w:val="0F1B2D"/>
        </w:rPr>
      </w:pPr>
    </w:p>
    <w:p w:rsidR="00AA0725" w:rsidRDefault="00AA0725">
      <w:pPr>
        <w:pBdr>
          <w:top w:val="nil"/>
          <w:left w:val="nil"/>
          <w:bottom w:val="nil"/>
          <w:right w:val="nil"/>
          <w:between w:val="nil"/>
        </w:pBdr>
        <w:spacing w:before="225" w:after="330"/>
        <w:ind w:left="600" w:right="600"/>
        <w:rPr>
          <w:color w:val="0F1B2D"/>
        </w:rPr>
      </w:pPr>
    </w:p>
    <w:p w:rsidR="00AA0725" w:rsidRDefault="00031BFC">
      <w:pPr>
        <w:pBdr>
          <w:top w:val="nil"/>
          <w:left w:val="nil"/>
          <w:bottom w:val="nil"/>
          <w:right w:val="nil"/>
          <w:between w:val="nil"/>
        </w:pBdr>
        <w:spacing w:before="225" w:after="330"/>
        <w:ind w:left="600" w:right="600"/>
        <w:rPr>
          <w:b/>
          <w:bCs/>
          <w:color w:val="0C343D"/>
          <w:sz w:val="38"/>
          <w:szCs w:val="38"/>
        </w:rPr>
      </w:pPr>
      <w:r>
        <w:rPr>
          <w:b/>
          <w:bCs/>
          <w:color w:val="0C343D"/>
          <w:sz w:val="38"/>
          <w:szCs w:val="38"/>
        </w:rPr>
        <w:lastRenderedPageBreak/>
        <w:t>1. Executive Summary</w:t>
      </w:r>
    </w:p>
    <w:p w:rsidR="00AA0725" w:rsidRDefault="00031BFC">
      <w:pPr>
        <w:pBdr>
          <w:top w:val="nil"/>
          <w:left w:val="nil"/>
          <w:bottom w:val="nil"/>
          <w:right w:val="nil"/>
          <w:between w:val="nil"/>
        </w:pBdr>
        <w:spacing w:after="180" w:line="384" w:lineRule="auto"/>
        <w:ind w:left="600" w:right="600"/>
        <w:jc w:val="both"/>
        <w:rPr>
          <w:sz w:val="20"/>
          <w:szCs w:val="20"/>
        </w:rPr>
      </w:pPr>
      <w:r>
        <w:pict>
          <v:rect id="_x0000_i1026" style="width:0;height:1.5pt" o:hralign="center" o:hrstd="t" o:hr="t" fillcolor="#a0a0a0" stroked="f"/>
        </w:pict>
      </w:r>
      <w:r>
        <w:rPr>
          <w:sz w:val="20"/>
          <w:szCs w:val="20"/>
        </w:rPr>
        <w:t>This report presents a comprehensive analysis of the delivery operations of a global e-commerce company managing end-to-end order fulfillment across multiple regions. The analysis covers 172,765 orders spanning January 2015 through January 2018, focusing o</w:t>
      </w:r>
      <w:r>
        <w:rPr>
          <w:sz w:val="20"/>
          <w:szCs w:val="20"/>
        </w:rPr>
        <w:t>n identifying root causes of chronic late deliveries, quantifying their financial impact, and establishing a data-driven framework for improvement.</w:t>
      </w:r>
    </w:p>
    <w:p w:rsidR="00AA0725" w:rsidRDefault="00031BFC">
      <w:pPr>
        <w:pBdr>
          <w:top w:val="nil"/>
          <w:left w:val="nil"/>
          <w:bottom w:val="nil"/>
          <w:right w:val="nil"/>
          <w:between w:val="nil"/>
        </w:pBdr>
        <w:spacing w:after="240" w:line="384" w:lineRule="auto"/>
        <w:ind w:left="600" w:right="600"/>
        <w:jc w:val="both"/>
        <w:rPr>
          <w:sz w:val="20"/>
          <w:szCs w:val="20"/>
        </w:rPr>
      </w:pPr>
      <w:r>
        <w:rPr>
          <w:sz w:val="20"/>
          <w:szCs w:val="20"/>
        </w:rPr>
        <w:t>The headline finding is stark: 54.71% of all orders are delivered late, costing the business $2.1M in eroded</w:t>
      </w:r>
      <w:r>
        <w:rPr>
          <w:sz w:val="20"/>
          <w:szCs w:val="20"/>
        </w:rPr>
        <w:t xml:space="preserve"> profitability on delayed orders alone. While total profit across fulfilled orders reached $7.5M, the persistent late-delivery problem represents both a significant financial drain and a major customer experience risk.</w:t>
      </w:r>
    </w:p>
    <w:tbl>
      <w:tblPr>
        <w:tblStyle w:val="a0"/>
        <w:tblW w:w="9045" w:type="dxa"/>
        <w:tblInd w:w="270" w:type="dxa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  <w:insideH w:val="single" w:sz="6" w:space="0" w:color="E0E0E0"/>
          <w:insideV w:val="single" w:sz="6" w:space="0" w:color="E0E0E0"/>
        </w:tblBorders>
        <w:tblLayout w:type="fixed"/>
        <w:tblLook w:val="0600" w:firstRow="0" w:lastRow="0" w:firstColumn="0" w:lastColumn="0" w:noHBand="1" w:noVBand="1"/>
      </w:tblPr>
      <w:tblGrid>
        <w:gridCol w:w="4410"/>
        <w:gridCol w:w="4635"/>
      </w:tblGrid>
      <w:tr w:rsidR="00AA0725">
        <w:trPr>
          <w:trHeight w:val="675"/>
          <w:tblHeader/>
        </w:trPr>
        <w:tc>
          <w:tcPr>
            <w:tcW w:w="4410" w:type="dxa"/>
            <w:shd w:val="clear" w:color="auto" w:fill="0F1B2D"/>
            <w:tcMar>
              <w:top w:w="150" w:type="dxa"/>
              <w:left w:w="240" w:type="dxa"/>
              <w:bottom w:w="150" w:type="dxa"/>
              <w:right w:w="240" w:type="dxa"/>
            </w:tcMar>
          </w:tcPr>
          <w:p w:rsidR="00AA0725" w:rsidRDefault="00031B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jc w:val="center"/>
              <w:rPr>
                <w:b/>
                <w:bCs/>
                <w:color w:val="FFFFFF"/>
                <w:sz w:val="30"/>
                <w:szCs w:val="30"/>
              </w:rPr>
            </w:pPr>
            <w:r>
              <w:rPr>
                <w:b/>
                <w:bCs/>
                <w:color w:val="FFFFFF"/>
                <w:sz w:val="30"/>
                <w:szCs w:val="30"/>
              </w:rPr>
              <w:t>Key Finding</w:t>
            </w:r>
          </w:p>
        </w:tc>
        <w:tc>
          <w:tcPr>
            <w:tcW w:w="4635" w:type="dxa"/>
            <w:shd w:val="clear" w:color="auto" w:fill="0F1B2D"/>
            <w:tcMar>
              <w:top w:w="150" w:type="dxa"/>
              <w:left w:w="240" w:type="dxa"/>
              <w:bottom w:w="150" w:type="dxa"/>
              <w:right w:w="240" w:type="dxa"/>
            </w:tcMar>
          </w:tcPr>
          <w:p w:rsidR="00AA0725" w:rsidRDefault="00031B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jc w:val="center"/>
              <w:rPr>
                <w:b/>
                <w:bCs/>
                <w:color w:val="FFFFFF"/>
                <w:sz w:val="34"/>
                <w:szCs w:val="34"/>
              </w:rPr>
            </w:pPr>
            <w:r>
              <w:rPr>
                <w:b/>
                <w:bCs/>
                <w:color w:val="FFFFFF"/>
                <w:sz w:val="34"/>
                <w:szCs w:val="34"/>
              </w:rPr>
              <w:t>Metric</w:t>
            </w:r>
          </w:p>
          <w:p w:rsidR="00AA0725" w:rsidRDefault="00031B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00" w:right="600"/>
            </w:pPr>
            <w:r>
              <w:t xml:space="preserve"> </w:t>
            </w:r>
          </w:p>
        </w:tc>
      </w:tr>
      <w:tr w:rsidR="00AA0725">
        <w:tc>
          <w:tcPr>
            <w:tcW w:w="4410" w:type="dxa"/>
            <w:tcBorders>
              <w:bottom w:val="single" w:sz="6" w:space="0" w:color="E0E0E0"/>
            </w:tcBorders>
            <w:shd w:val="clear" w:color="auto" w:fill="FFFFFF"/>
            <w:tcMar>
              <w:top w:w="135" w:type="dxa"/>
              <w:left w:w="240" w:type="dxa"/>
              <w:bottom w:w="135" w:type="dxa"/>
              <w:right w:w="240" w:type="dxa"/>
            </w:tcMar>
          </w:tcPr>
          <w:p w:rsidR="00AA0725" w:rsidRDefault="00031B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 w:after="13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Overall Late Delivery Rate</w:t>
            </w:r>
          </w:p>
        </w:tc>
        <w:tc>
          <w:tcPr>
            <w:tcW w:w="4635" w:type="dxa"/>
            <w:tcBorders>
              <w:bottom w:val="single" w:sz="6" w:space="0" w:color="E0E0E0"/>
            </w:tcBorders>
            <w:shd w:val="clear" w:color="auto" w:fill="FFFFFF"/>
            <w:tcMar>
              <w:top w:w="135" w:type="dxa"/>
              <w:left w:w="240" w:type="dxa"/>
              <w:bottom w:w="135" w:type="dxa"/>
              <w:right w:w="240" w:type="dxa"/>
            </w:tcMar>
          </w:tcPr>
          <w:p w:rsidR="00AA0725" w:rsidRDefault="00031B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 w:after="135"/>
              <w:rPr>
                <w:color w:val="2E8B7A"/>
                <w:sz w:val="20"/>
                <w:szCs w:val="20"/>
              </w:rPr>
            </w:pPr>
            <w:r>
              <w:rPr>
                <w:color w:val="2E8B7A"/>
                <w:sz w:val="20"/>
                <w:szCs w:val="20"/>
              </w:rPr>
              <w:t>54.71%</w:t>
            </w:r>
          </w:p>
        </w:tc>
      </w:tr>
      <w:tr w:rsidR="00AA0725">
        <w:tc>
          <w:tcPr>
            <w:tcW w:w="4410" w:type="dxa"/>
            <w:tcBorders>
              <w:bottom w:val="single" w:sz="6" w:space="0" w:color="E0E0E0"/>
            </w:tcBorders>
            <w:shd w:val="clear" w:color="auto" w:fill="FFFFFF"/>
            <w:tcMar>
              <w:top w:w="135" w:type="dxa"/>
              <w:left w:w="240" w:type="dxa"/>
              <w:bottom w:w="135" w:type="dxa"/>
              <w:right w:w="240" w:type="dxa"/>
            </w:tcMar>
          </w:tcPr>
          <w:p w:rsidR="00AA0725" w:rsidRDefault="00031B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 w:after="13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On-Time Delivery Rate</w:t>
            </w:r>
          </w:p>
        </w:tc>
        <w:tc>
          <w:tcPr>
            <w:tcW w:w="4635" w:type="dxa"/>
            <w:tcBorders>
              <w:bottom w:val="single" w:sz="6" w:space="0" w:color="E0E0E0"/>
            </w:tcBorders>
            <w:shd w:val="clear" w:color="auto" w:fill="FFFFFF"/>
            <w:tcMar>
              <w:top w:w="135" w:type="dxa"/>
              <w:left w:w="240" w:type="dxa"/>
              <w:bottom w:w="135" w:type="dxa"/>
              <w:right w:w="240" w:type="dxa"/>
            </w:tcMar>
          </w:tcPr>
          <w:p w:rsidR="00AA0725" w:rsidRDefault="00031B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 w:after="135"/>
              <w:rPr>
                <w:color w:val="2E8B7A"/>
                <w:sz w:val="20"/>
                <w:szCs w:val="20"/>
              </w:rPr>
            </w:pPr>
            <w:r>
              <w:rPr>
                <w:color w:val="2E8B7A"/>
                <w:sz w:val="20"/>
                <w:szCs w:val="20"/>
              </w:rPr>
              <w:t>45.29%</w:t>
            </w:r>
          </w:p>
        </w:tc>
      </w:tr>
      <w:tr w:rsidR="00AA0725">
        <w:tc>
          <w:tcPr>
            <w:tcW w:w="4410" w:type="dxa"/>
            <w:tcBorders>
              <w:bottom w:val="single" w:sz="6" w:space="0" w:color="E0E0E0"/>
            </w:tcBorders>
            <w:shd w:val="clear" w:color="auto" w:fill="FFFFFF"/>
            <w:tcMar>
              <w:top w:w="135" w:type="dxa"/>
              <w:left w:w="240" w:type="dxa"/>
              <w:bottom w:w="135" w:type="dxa"/>
              <w:right w:w="240" w:type="dxa"/>
            </w:tcMar>
          </w:tcPr>
          <w:p w:rsidR="00AA0725" w:rsidRDefault="00031B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 w:after="13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Total Orders Analyzed</w:t>
            </w:r>
          </w:p>
        </w:tc>
        <w:tc>
          <w:tcPr>
            <w:tcW w:w="4635" w:type="dxa"/>
            <w:tcBorders>
              <w:bottom w:val="single" w:sz="6" w:space="0" w:color="E0E0E0"/>
            </w:tcBorders>
            <w:shd w:val="clear" w:color="auto" w:fill="FFFFFF"/>
            <w:tcMar>
              <w:top w:w="135" w:type="dxa"/>
              <w:left w:w="240" w:type="dxa"/>
              <w:bottom w:w="135" w:type="dxa"/>
              <w:right w:w="240" w:type="dxa"/>
            </w:tcMar>
          </w:tcPr>
          <w:p w:rsidR="00AA0725" w:rsidRDefault="00031B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 w:after="135"/>
              <w:rPr>
                <w:color w:val="2E8B7A"/>
                <w:sz w:val="20"/>
                <w:szCs w:val="20"/>
              </w:rPr>
            </w:pPr>
            <w:r>
              <w:rPr>
                <w:color w:val="2E8B7A"/>
                <w:sz w:val="20"/>
                <w:szCs w:val="20"/>
              </w:rPr>
              <w:t>172,765</w:t>
            </w:r>
          </w:p>
        </w:tc>
      </w:tr>
      <w:tr w:rsidR="00AA0725">
        <w:tc>
          <w:tcPr>
            <w:tcW w:w="4410" w:type="dxa"/>
            <w:tcBorders>
              <w:bottom w:val="single" w:sz="6" w:space="0" w:color="E0E0E0"/>
            </w:tcBorders>
            <w:shd w:val="clear" w:color="auto" w:fill="FFFFFF"/>
            <w:tcMar>
              <w:top w:w="135" w:type="dxa"/>
              <w:left w:w="240" w:type="dxa"/>
              <w:bottom w:w="135" w:type="dxa"/>
              <w:right w:w="240" w:type="dxa"/>
            </w:tcMar>
          </w:tcPr>
          <w:p w:rsidR="00AA0725" w:rsidRDefault="00031B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 w:after="13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Total Profit (profitable orders)</w:t>
            </w:r>
          </w:p>
        </w:tc>
        <w:tc>
          <w:tcPr>
            <w:tcW w:w="4635" w:type="dxa"/>
            <w:tcBorders>
              <w:bottom w:val="single" w:sz="6" w:space="0" w:color="E0E0E0"/>
            </w:tcBorders>
            <w:shd w:val="clear" w:color="auto" w:fill="FFFFFF"/>
            <w:tcMar>
              <w:top w:w="135" w:type="dxa"/>
              <w:left w:w="240" w:type="dxa"/>
              <w:bottom w:w="135" w:type="dxa"/>
              <w:right w:w="240" w:type="dxa"/>
            </w:tcMar>
          </w:tcPr>
          <w:p w:rsidR="00AA0725" w:rsidRDefault="00031B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 w:after="135"/>
              <w:rPr>
                <w:color w:val="2E8B7A"/>
                <w:sz w:val="20"/>
                <w:szCs w:val="20"/>
              </w:rPr>
            </w:pPr>
            <w:r>
              <w:rPr>
                <w:color w:val="2E8B7A"/>
                <w:sz w:val="20"/>
                <w:szCs w:val="20"/>
              </w:rPr>
              <w:t>$7.5M</w:t>
            </w:r>
          </w:p>
        </w:tc>
      </w:tr>
      <w:tr w:rsidR="00AA0725">
        <w:tc>
          <w:tcPr>
            <w:tcW w:w="4410" w:type="dxa"/>
            <w:tcBorders>
              <w:bottom w:val="single" w:sz="6" w:space="0" w:color="E0E0E0"/>
            </w:tcBorders>
            <w:shd w:val="clear" w:color="auto" w:fill="FFFFFF"/>
            <w:tcMar>
              <w:top w:w="135" w:type="dxa"/>
              <w:left w:w="240" w:type="dxa"/>
              <w:bottom w:w="135" w:type="dxa"/>
              <w:right w:w="240" w:type="dxa"/>
            </w:tcMar>
          </w:tcPr>
          <w:p w:rsidR="00AA0725" w:rsidRDefault="00031B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 w:after="13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Profit at Risk (delayed orders)</w:t>
            </w:r>
          </w:p>
        </w:tc>
        <w:tc>
          <w:tcPr>
            <w:tcW w:w="4635" w:type="dxa"/>
            <w:tcBorders>
              <w:bottom w:val="single" w:sz="6" w:space="0" w:color="E0E0E0"/>
            </w:tcBorders>
            <w:shd w:val="clear" w:color="auto" w:fill="FFFFFF"/>
            <w:tcMar>
              <w:top w:w="135" w:type="dxa"/>
              <w:left w:w="240" w:type="dxa"/>
              <w:bottom w:w="135" w:type="dxa"/>
              <w:right w:w="240" w:type="dxa"/>
            </w:tcMar>
          </w:tcPr>
          <w:p w:rsidR="00AA0725" w:rsidRDefault="00031B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 w:after="135"/>
              <w:rPr>
                <w:color w:val="2E8B7A"/>
                <w:sz w:val="20"/>
                <w:szCs w:val="20"/>
              </w:rPr>
            </w:pPr>
            <w:r>
              <w:rPr>
                <w:color w:val="2E8B7A"/>
                <w:sz w:val="20"/>
                <w:szCs w:val="20"/>
              </w:rPr>
              <w:t>$2.1M</w:t>
            </w:r>
          </w:p>
        </w:tc>
      </w:tr>
    </w:tbl>
    <w:p w:rsidR="00AA0725" w:rsidRDefault="00AA0725">
      <w:pPr>
        <w:pStyle w:val="Heading2"/>
        <w:spacing w:before="0" w:after="600"/>
        <w:ind w:left="600" w:right="600"/>
        <w:rPr>
          <w:color w:val="2E8B7A"/>
          <w:sz w:val="20"/>
          <w:szCs w:val="20"/>
        </w:rPr>
      </w:pPr>
    </w:p>
    <w:p w:rsidR="00AA0725" w:rsidRDefault="00AA0725">
      <w:pPr>
        <w:pBdr>
          <w:top w:val="nil"/>
          <w:left w:val="nil"/>
          <w:bottom w:val="nil"/>
          <w:right w:val="nil"/>
          <w:between w:val="nil"/>
        </w:pBdr>
        <w:rPr>
          <w:color w:val="0F1B2D"/>
        </w:rPr>
      </w:pPr>
    </w:p>
    <w:tbl>
      <w:tblPr>
        <w:tblStyle w:val="a1"/>
        <w:tblW w:w="1000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05"/>
      </w:tblGrid>
      <w:tr w:rsidR="00AA0725">
        <w:trPr>
          <w:trHeight w:val="330"/>
        </w:trPr>
        <w:tc>
          <w:tcPr>
            <w:tcW w:w="10005" w:type="dxa"/>
            <w:shd w:val="clear" w:color="auto" w:fill="0C343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0725" w:rsidRDefault="00AA0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F1B2D"/>
              </w:rPr>
            </w:pPr>
          </w:p>
        </w:tc>
      </w:tr>
    </w:tbl>
    <w:p w:rsidR="00AA0725" w:rsidRDefault="00AA0725">
      <w:pPr>
        <w:pBdr>
          <w:top w:val="nil"/>
          <w:left w:val="nil"/>
          <w:bottom w:val="nil"/>
          <w:right w:val="nil"/>
          <w:between w:val="nil"/>
        </w:pBdr>
        <w:rPr>
          <w:color w:val="0F1B2D"/>
        </w:rPr>
      </w:pPr>
    </w:p>
    <w:p w:rsidR="00AA0725" w:rsidRDefault="00AA0725"/>
    <w:p w:rsidR="00AA0725" w:rsidRDefault="00031BFC">
      <w:pPr>
        <w:pBdr>
          <w:top w:val="nil"/>
          <w:left w:val="nil"/>
          <w:bottom w:val="nil"/>
          <w:right w:val="nil"/>
          <w:between w:val="nil"/>
        </w:pBdr>
        <w:spacing w:before="225" w:after="330"/>
        <w:ind w:left="600" w:right="600"/>
        <w:rPr>
          <w:sz w:val="20"/>
          <w:szCs w:val="20"/>
        </w:rPr>
      </w:pPr>
      <w:r>
        <w:rPr>
          <w:b/>
          <w:bCs/>
          <w:color w:val="0C343D"/>
          <w:sz w:val="38"/>
          <w:szCs w:val="38"/>
        </w:rPr>
        <w:t>2. Business Context &amp; Objectives</w:t>
      </w:r>
      <w:r>
        <w:pict>
          <v:rect id="_x0000_i1027" style="width:0;height:1.5pt" o:hralign="center" o:hrstd="t" o:hr="t" fillcolor="#a0a0a0" stroked="f"/>
        </w:pict>
      </w:r>
      <w:r>
        <w:rPr>
          <w:sz w:val="20"/>
          <w:szCs w:val="20"/>
        </w:rPr>
        <w:lastRenderedPageBreak/>
        <w:t xml:space="preserve">The </w:t>
      </w:r>
      <w:proofErr w:type="gramStart"/>
      <w:r>
        <w:rPr>
          <w:sz w:val="20"/>
          <w:szCs w:val="20"/>
        </w:rPr>
        <w:t>company</w:t>
      </w:r>
      <w:proofErr w:type="gramEnd"/>
      <w:r>
        <w:rPr>
          <w:sz w:val="20"/>
          <w:szCs w:val="20"/>
        </w:rPr>
        <w:t xml:space="preserve"> operates a global e-commerce platform selling products across categories including sporting goods, fitness equipment, outdoor gear, footwear, and apparel across multiple international regions.</w:t>
      </w:r>
    </w:p>
    <w:p w:rsidR="00AA0725" w:rsidRDefault="00031BFC">
      <w:pPr>
        <w:pStyle w:val="Heading3"/>
        <w:spacing w:before="0" w:after="150"/>
        <w:ind w:left="600" w:right="600"/>
        <w:rPr>
          <w:color w:val="2E8B7A"/>
          <w:sz w:val="26"/>
          <w:szCs w:val="26"/>
        </w:rPr>
      </w:pPr>
      <w:r>
        <w:rPr>
          <w:color w:val="2E8B7A"/>
          <w:sz w:val="26"/>
          <w:szCs w:val="26"/>
        </w:rPr>
        <w:t>Core Business Problem</w:t>
      </w:r>
    </w:p>
    <w:p w:rsidR="00AA0725" w:rsidRDefault="00031BFC">
      <w:pPr>
        <w:pBdr>
          <w:top w:val="nil"/>
          <w:left w:val="nil"/>
          <w:bottom w:val="nil"/>
          <w:right w:val="nil"/>
          <w:between w:val="nil"/>
        </w:pBdr>
        <w:spacing w:after="300" w:line="384" w:lineRule="auto"/>
        <w:ind w:left="600" w:right="600"/>
        <w:rPr>
          <w:sz w:val="20"/>
          <w:szCs w:val="20"/>
        </w:rPr>
      </w:pPr>
      <w:r>
        <w:rPr>
          <w:sz w:val="20"/>
          <w:szCs w:val="20"/>
        </w:rPr>
        <w:t>Actual shipping times frequently deviate from scheduled delivery windows, creating eroded customer trust, reduced order profitability, and an inability to make reliable commitments to buyers at point of purchase.</w:t>
      </w:r>
    </w:p>
    <w:p w:rsidR="00AA0725" w:rsidRDefault="00031BFC">
      <w:pPr>
        <w:pStyle w:val="Heading3"/>
        <w:spacing w:before="0" w:after="150"/>
        <w:ind w:left="600" w:right="600"/>
        <w:rPr>
          <w:color w:val="2E8B7A"/>
          <w:sz w:val="26"/>
          <w:szCs w:val="26"/>
        </w:rPr>
      </w:pPr>
      <w:r>
        <w:rPr>
          <w:color w:val="2E8B7A"/>
          <w:sz w:val="26"/>
          <w:szCs w:val="26"/>
        </w:rPr>
        <w:t>Analytical Objectives</w:t>
      </w:r>
    </w:p>
    <w:p w:rsidR="00AA0725" w:rsidRDefault="00031BF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455" w:lineRule="auto"/>
        <w:ind w:right="600"/>
      </w:pPr>
      <w:r>
        <w:rPr>
          <w:sz w:val="20"/>
          <w:szCs w:val="20"/>
        </w:rPr>
        <w:t>Understand the curren</w:t>
      </w:r>
      <w:r>
        <w:rPr>
          <w:sz w:val="20"/>
          <w:szCs w:val="20"/>
        </w:rPr>
        <w:t>t state of delivery performance across all dimensions (region, mode, time, segment)</w:t>
      </w:r>
    </w:p>
    <w:p w:rsidR="00AA0725" w:rsidRDefault="00031BF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455" w:lineRule="auto"/>
        <w:ind w:right="600"/>
      </w:pPr>
      <w:r>
        <w:rPr>
          <w:sz w:val="20"/>
          <w:szCs w:val="20"/>
        </w:rPr>
        <w:t>Quantify the financial impact of delays on order profitability</w:t>
      </w:r>
    </w:p>
    <w:p w:rsidR="00AA0725" w:rsidRDefault="00031BF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455" w:lineRule="auto"/>
        <w:ind w:right="600"/>
      </w:pPr>
      <w:r>
        <w:rPr>
          <w:sz w:val="20"/>
          <w:szCs w:val="20"/>
        </w:rPr>
        <w:t>Identify the primary operational bottlenecks driving late deliveries</w:t>
      </w:r>
    </w:p>
    <w:p w:rsidR="00AA0725" w:rsidRDefault="00031BF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455" w:lineRule="auto"/>
        <w:ind w:right="600"/>
      </w:pPr>
      <w:r>
        <w:rPr>
          <w:sz w:val="20"/>
          <w:szCs w:val="20"/>
        </w:rPr>
        <w:t>Deliver actionable recommendations to im</w:t>
      </w:r>
      <w:r>
        <w:rPr>
          <w:sz w:val="20"/>
          <w:szCs w:val="20"/>
        </w:rPr>
        <w:t>prove on-time delivery and profitability</w:t>
      </w:r>
    </w:p>
    <w:p w:rsidR="00AA0725" w:rsidRDefault="00AA0725">
      <w:pPr>
        <w:rPr>
          <w:color w:val="0F1B2D"/>
        </w:rPr>
      </w:pPr>
    </w:p>
    <w:tbl>
      <w:tblPr>
        <w:tblStyle w:val="a2"/>
        <w:tblW w:w="1000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05"/>
      </w:tblGrid>
      <w:tr w:rsidR="00AA0725">
        <w:trPr>
          <w:trHeight w:val="330"/>
        </w:trPr>
        <w:tc>
          <w:tcPr>
            <w:tcW w:w="10005" w:type="dxa"/>
            <w:shd w:val="clear" w:color="auto" w:fill="0C343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0725" w:rsidRDefault="00AA0725">
            <w:pPr>
              <w:rPr>
                <w:color w:val="0F1B2D"/>
              </w:rPr>
            </w:pPr>
          </w:p>
        </w:tc>
      </w:tr>
    </w:tbl>
    <w:p w:rsidR="00AA0725" w:rsidRDefault="00AA0725">
      <w:pPr>
        <w:rPr>
          <w:sz w:val="20"/>
          <w:szCs w:val="20"/>
        </w:rPr>
      </w:pPr>
    </w:p>
    <w:p w:rsidR="00AA0725" w:rsidRDefault="00031BFC">
      <w:pPr>
        <w:pBdr>
          <w:top w:val="nil"/>
          <w:left w:val="nil"/>
          <w:bottom w:val="nil"/>
          <w:right w:val="nil"/>
          <w:between w:val="nil"/>
        </w:pBdr>
        <w:spacing w:before="225" w:after="330"/>
        <w:ind w:right="600"/>
        <w:rPr>
          <w:sz w:val="20"/>
          <w:szCs w:val="20"/>
        </w:rPr>
      </w:pPr>
      <w:r>
        <w:rPr>
          <w:b/>
          <w:bCs/>
          <w:color w:val="0C343D"/>
          <w:sz w:val="38"/>
          <w:szCs w:val="38"/>
        </w:rPr>
        <w:t xml:space="preserve">3. Key Performance Indicators (KPIs)       </w:t>
      </w:r>
      <w:r>
        <w:pict>
          <v:rect id="_x0000_i1028" style="width:0;height:1.5pt" o:hralign="center" o:hrstd="t" o:hr="t" fillcolor="#a0a0a0" stroked="f"/>
        </w:pict>
      </w:r>
      <w:proofErr w:type="gramStart"/>
      <w:r>
        <w:rPr>
          <w:sz w:val="20"/>
          <w:szCs w:val="20"/>
        </w:rPr>
        <w:t>The</w:t>
      </w:r>
      <w:proofErr w:type="gramEnd"/>
      <w:r>
        <w:rPr>
          <w:sz w:val="20"/>
          <w:szCs w:val="20"/>
        </w:rPr>
        <w:t xml:space="preserve"> following KPIs were computed directly from the cleaned dataset to establish a performance baseline.</w:t>
      </w:r>
    </w:p>
    <w:tbl>
      <w:tblPr>
        <w:tblStyle w:val="a3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45"/>
        <w:gridCol w:w="2520"/>
        <w:gridCol w:w="2355"/>
        <w:gridCol w:w="2340"/>
      </w:tblGrid>
      <w:tr w:rsidR="00AA0725">
        <w:trPr>
          <w:trHeight w:val="1230"/>
        </w:trPr>
        <w:tc>
          <w:tcPr>
            <w:tcW w:w="2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0725" w:rsidRDefault="00031BFC">
            <w:pPr>
              <w:spacing w:after="60"/>
              <w:jc w:val="center"/>
              <w:rPr>
                <w:b/>
                <w:bCs/>
                <w:color w:val="0F1B2D"/>
                <w:sz w:val="44"/>
                <w:szCs w:val="44"/>
              </w:rPr>
            </w:pPr>
            <w:r>
              <w:rPr>
                <w:b/>
                <w:bCs/>
                <w:color w:val="0F1B2D"/>
                <w:sz w:val="44"/>
                <w:szCs w:val="44"/>
              </w:rPr>
              <w:t>172,765</w:t>
            </w:r>
          </w:p>
          <w:p w:rsidR="00AA0725" w:rsidRDefault="00031B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>
              <w:rPr>
                <w:color w:val="555555"/>
                <w:sz w:val="18"/>
                <w:szCs w:val="18"/>
              </w:rPr>
              <w:t>Total Order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0725" w:rsidRDefault="00031BFC">
            <w:pPr>
              <w:spacing w:after="60"/>
              <w:jc w:val="center"/>
              <w:rPr>
                <w:b/>
                <w:bCs/>
                <w:color w:val="B00000"/>
                <w:sz w:val="44"/>
                <w:szCs w:val="44"/>
              </w:rPr>
            </w:pPr>
            <w:r>
              <w:rPr>
                <w:b/>
                <w:bCs/>
                <w:color w:val="B00000"/>
                <w:sz w:val="44"/>
                <w:szCs w:val="44"/>
              </w:rPr>
              <w:t>94,523</w:t>
            </w:r>
          </w:p>
          <w:p w:rsidR="00AA0725" w:rsidRDefault="00031B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>
              <w:rPr>
                <w:color w:val="555555"/>
                <w:sz w:val="18"/>
                <w:szCs w:val="18"/>
              </w:rPr>
              <w:t>Late Deliveries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3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0725" w:rsidRDefault="00031BFC">
            <w:pPr>
              <w:spacing w:after="60"/>
              <w:jc w:val="center"/>
              <w:rPr>
                <w:b/>
                <w:bCs/>
                <w:color w:val="B00000"/>
                <w:sz w:val="44"/>
                <w:szCs w:val="44"/>
              </w:rPr>
            </w:pPr>
            <w:r>
              <w:rPr>
                <w:b/>
                <w:bCs/>
                <w:color w:val="B00000"/>
                <w:sz w:val="44"/>
                <w:szCs w:val="44"/>
              </w:rPr>
              <w:t>54.71%</w:t>
            </w:r>
          </w:p>
          <w:p w:rsidR="00AA0725" w:rsidRDefault="00031B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>
              <w:rPr>
                <w:color w:val="555555"/>
                <w:sz w:val="18"/>
                <w:szCs w:val="18"/>
              </w:rPr>
              <w:t>Late Delivery %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0725" w:rsidRDefault="00031BFC">
            <w:pPr>
              <w:spacing w:after="60"/>
              <w:jc w:val="center"/>
              <w:rPr>
                <w:b/>
                <w:bCs/>
                <w:color w:val="2E8B7A"/>
                <w:sz w:val="44"/>
                <w:szCs w:val="44"/>
              </w:rPr>
            </w:pPr>
            <w:r>
              <w:rPr>
                <w:b/>
                <w:bCs/>
                <w:color w:val="2E8B7A"/>
                <w:sz w:val="44"/>
                <w:szCs w:val="44"/>
              </w:rPr>
              <w:t>45.29%</w:t>
            </w:r>
          </w:p>
          <w:p w:rsidR="00AA0725" w:rsidRDefault="00031B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>
              <w:rPr>
                <w:color w:val="555555"/>
                <w:sz w:val="18"/>
                <w:szCs w:val="18"/>
              </w:rPr>
              <w:t>On-Time Delivery %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 w:rsidR="00AA0725">
        <w:trPr>
          <w:trHeight w:val="930"/>
        </w:trPr>
        <w:tc>
          <w:tcPr>
            <w:tcW w:w="2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0725" w:rsidRDefault="00031BFC">
            <w:pPr>
              <w:spacing w:after="60"/>
              <w:jc w:val="center"/>
              <w:rPr>
                <w:b/>
                <w:bCs/>
                <w:color w:val="0F1B2D"/>
                <w:sz w:val="44"/>
                <w:szCs w:val="44"/>
              </w:rPr>
            </w:pPr>
            <w:r>
              <w:rPr>
                <w:b/>
                <w:bCs/>
                <w:color w:val="0F1B2D"/>
                <w:sz w:val="44"/>
                <w:szCs w:val="44"/>
              </w:rPr>
              <w:t>$7.5M</w:t>
            </w:r>
          </w:p>
          <w:p w:rsidR="00AA0725" w:rsidRDefault="00031B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>
              <w:rPr>
                <w:color w:val="555555"/>
                <w:sz w:val="18"/>
                <w:szCs w:val="18"/>
              </w:rPr>
              <w:t>Total Profit (profitable orders)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0725" w:rsidRDefault="00031BFC">
            <w:pPr>
              <w:spacing w:after="60"/>
              <w:jc w:val="center"/>
              <w:rPr>
                <w:b/>
                <w:bCs/>
                <w:color w:val="B00000"/>
                <w:sz w:val="44"/>
                <w:szCs w:val="44"/>
              </w:rPr>
            </w:pPr>
            <w:r>
              <w:rPr>
                <w:b/>
                <w:bCs/>
                <w:color w:val="B00000"/>
                <w:sz w:val="44"/>
                <w:szCs w:val="44"/>
              </w:rPr>
              <w:t>$2.1M</w:t>
            </w:r>
          </w:p>
          <w:p w:rsidR="00AA0725" w:rsidRDefault="00031B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>
              <w:rPr>
                <w:color w:val="555555"/>
                <w:sz w:val="18"/>
                <w:szCs w:val="18"/>
              </w:rPr>
              <w:t>Profit at Risk (delayed orders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3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0725" w:rsidRDefault="00031BFC">
            <w:pPr>
              <w:spacing w:after="60"/>
              <w:jc w:val="center"/>
              <w:rPr>
                <w:b/>
                <w:bCs/>
                <w:color w:val="0F1B2D"/>
                <w:sz w:val="44"/>
                <w:szCs w:val="44"/>
              </w:rPr>
            </w:pPr>
            <w:r>
              <w:rPr>
                <w:b/>
                <w:bCs/>
                <w:color w:val="0F1B2D"/>
                <w:sz w:val="44"/>
                <w:szCs w:val="44"/>
              </w:rPr>
              <w:t>3 days</w:t>
            </w:r>
          </w:p>
          <w:p w:rsidR="00AA0725" w:rsidRDefault="00031B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>
              <w:rPr>
                <w:color w:val="555555"/>
                <w:sz w:val="18"/>
                <w:szCs w:val="18"/>
              </w:rPr>
              <w:t>90th Percentile Delay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0725" w:rsidRDefault="00031BFC">
            <w:pPr>
              <w:spacing w:after="60"/>
              <w:jc w:val="center"/>
              <w:rPr>
                <w:b/>
                <w:bCs/>
                <w:color w:val="2E8B7A"/>
                <w:sz w:val="44"/>
                <w:szCs w:val="44"/>
              </w:rPr>
            </w:pPr>
            <w:r>
              <w:rPr>
                <w:b/>
                <w:bCs/>
                <w:color w:val="2E8B7A"/>
                <w:sz w:val="44"/>
                <w:szCs w:val="44"/>
              </w:rPr>
              <w:t>$22.03</w:t>
            </w:r>
          </w:p>
          <w:p w:rsidR="00AA0725" w:rsidRDefault="00031B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>
              <w:rPr>
                <w:color w:val="555555"/>
                <w:sz w:val="18"/>
                <w:szCs w:val="18"/>
              </w:rPr>
              <w:t>Avg.</w:t>
            </w:r>
            <w:r>
              <w:rPr>
                <w:color w:val="555555"/>
                <w:sz w:val="18"/>
                <w:szCs w:val="18"/>
              </w:rPr>
              <w:t xml:space="preserve"> Order Profit</w:t>
            </w:r>
            <w:r>
              <w:rPr>
                <w:sz w:val="20"/>
                <w:szCs w:val="20"/>
              </w:rPr>
              <w:t xml:space="preserve"> </w:t>
            </w:r>
          </w:p>
        </w:tc>
      </w:tr>
    </w:tbl>
    <w:p w:rsidR="00AA0725" w:rsidRDefault="00AA0725">
      <w:pPr>
        <w:pBdr>
          <w:top w:val="nil"/>
          <w:left w:val="nil"/>
          <w:bottom w:val="nil"/>
          <w:right w:val="nil"/>
          <w:between w:val="nil"/>
        </w:pBdr>
        <w:spacing w:before="225" w:after="330"/>
        <w:ind w:right="600"/>
        <w:rPr>
          <w:sz w:val="20"/>
          <w:szCs w:val="20"/>
        </w:rPr>
      </w:pPr>
    </w:p>
    <w:p w:rsidR="00AA0725" w:rsidRDefault="00AA0725">
      <w:pPr>
        <w:pBdr>
          <w:top w:val="nil"/>
          <w:left w:val="nil"/>
          <w:bottom w:val="nil"/>
          <w:right w:val="nil"/>
          <w:between w:val="nil"/>
        </w:pBdr>
        <w:spacing w:before="225" w:after="330"/>
        <w:ind w:right="600"/>
        <w:rPr>
          <w:sz w:val="20"/>
          <w:szCs w:val="20"/>
        </w:rPr>
      </w:pPr>
    </w:p>
    <w:tbl>
      <w:tblPr>
        <w:tblStyle w:val="a4"/>
        <w:tblW w:w="9360" w:type="dxa"/>
        <w:tblInd w:w="0" w:type="dxa"/>
        <w:tblBorders>
          <w:top w:val="single" w:sz="8" w:space="0" w:color="2E8B7A"/>
          <w:left w:val="single" w:sz="8" w:space="0" w:color="2E8B7A"/>
          <w:bottom w:val="single" w:sz="8" w:space="0" w:color="2E8B7A"/>
          <w:right w:val="single" w:sz="8" w:space="0" w:color="2E8B7A"/>
          <w:insideH w:val="single" w:sz="8" w:space="0" w:color="2E8B7A"/>
          <w:insideV w:val="single" w:sz="8" w:space="0" w:color="2E8B7A"/>
        </w:tblBorders>
        <w:tblLayout w:type="fixed"/>
        <w:tblLook w:val="0600" w:firstRow="0" w:lastRow="0" w:firstColumn="0" w:lastColumn="0" w:noHBand="1" w:noVBand="1"/>
      </w:tblPr>
      <w:tblGrid>
        <w:gridCol w:w="2130"/>
        <w:gridCol w:w="7230"/>
      </w:tblGrid>
      <w:tr w:rsidR="00AA0725">
        <w:trPr>
          <w:trHeight w:val="990"/>
        </w:trPr>
        <w:tc>
          <w:tcPr>
            <w:tcW w:w="2130" w:type="dxa"/>
            <w:tcBorders>
              <w:top w:val="single" w:sz="12" w:space="0" w:color="2E8B7A"/>
              <w:left w:val="single" w:sz="18" w:space="0" w:color="2E8B7A"/>
              <w:bottom w:val="single" w:sz="12" w:space="0" w:color="2E8B7A"/>
              <w:right w:val="single" w:sz="12" w:space="0" w:color="2E8B7A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0725" w:rsidRDefault="00031B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  <w:shd w:val="clear" w:color="auto" w:fill="EFEFEF"/>
              </w:rPr>
              <w:lastRenderedPageBreak/>
              <w:t>● Late Delivery Rate at 54.71%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7230" w:type="dxa"/>
            <w:tcBorders>
              <w:top w:val="single" w:sz="12" w:space="0" w:color="2E8B7A"/>
              <w:left w:val="single" w:sz="12" w:space="0" w:color="2E8B7A"/>
              <w:bottom w:val="single" w:sz="12" w:space="0" w:color="2E8B7A"/>
              <w:right w:val="single" w:sz="12" w:space="0" w:color="2E8B7A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0725" w:rsidRDefault="00031B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sz w:val="21"/>
                <w:szCs w:val="21"/>
              </w:rPr>
              <w:t xml:space="preserve">More than half of all orders arrive late. This is not an edge-case problem — it is the default experience for the majority of customers. </w:t>
            </w:r>
          </w:p>
        </w:tc>
      </w:tr>
    </w:tbl>
    <w:p w:rsidR="00AA0725" w:rsidRDefault="00AA0725">
      <w:pPr>
        <w:spacing w:before="225" w:after="330"/>
        <w:ind w:right="600"/>
        <w:rPr>
          <w:sz w:val="20"/>
          <w:szCs w:val="20"/>
        </w:rPr>
      </w:pPr>
    </w:p>
    <w:tbl>
      <w:tblPr>
        <w:tblStyle w:val="a5"/>
        <w:tblW w:w="9360" w:type="dxa"/>
        <w:tblInd w:w="0" w:type="dxa"/>
        <w:tblBorders>
          <w:top w:val="single" w:sz="8" w:space="0" w:color="2E8B7A"/>
          <w:left w:val="single" w:sz="8" w:space="0" w:color="2E8B7A"/>
          <w:bottom w:val="single" w:sz="8" w:space="0" w:color="2E8B7A"/>
          <w:right w:val="single" w:sz="8" w:space="0" w:color="2E8B7A"/>
          <w:insideH w:val="single" w:sz="8" w:space="0" w:color="2E8B7A"/>
          <w:insideV w:val="single" w:sz="8" w:space="0" w:color="2E8B7A"/>
        </w:tblBorders>
        <w:tblLayout w:type="fixed"/>
        <w:tblLook w:val="0600" w:firstRow="0" w:lastRow="0" w:firstColumn="0" w:lastColumn="0" w:noHBand="1" w:noVBand="1"/>
      </w:tblPr>
      <w:tblGrid>
        <w:gridCol w:w="2130"/>
        <w:gridCol w:w="7230"/>
      </w:tblGrid>
      <w:tr w:rsidR="00AA0725">
        <w:trPr>
          <w:trHeight w:val="990"/>
        </w:trPr>
        <w:tc>
          <w:tcPr>
            <w:tcW w:w="2130" w:type="dxa"/>
            <w:tcBorders>
              <w:top w:val="single" w:sz="12" w:space="0" w:color="2E8B7A"/>
              <w:left w:val="single" w:sz="18" w:space="0" w:color="2E8B7A"/>
              <w:bottom w:val="single" w:sz="12" w:space="0" w:color="2E8B7A"/>
              <w:right w:val="single" w:sz="12" w:space="0" w:color="2E8B7A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0725" w:rsidRDefault="00031BFC">
            <w:pPr>
              <w:rPr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  <w:shd w:val="clear" w:color="auto" w:fill="EFEFEF"/>
              </w:rPr>
              <w:t xml:space="preserve">● $2.1M Profit at Risk </w:t>
            </w:r>
          </w:p>
        </w:tc>
        <w:tc>
          <w:tcPr>
            <w:tcW w:w="7230" w:type="dxa"/>
            <w:tcBorders>
              <w:top w:val="single" w:sz="12" w:space="0" w:color="2E8B7A"/>
              <w:left w:val="single" w:sz="12" w:space="0" w:color="2E8B7A"/>
              <w:bottom w:val="single" w:sz="12" w:space="0" w:color="2E8B7A"/>
              <w:right w:val="single" w:sz="12" w:space="0" w:color="2E8B7A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0725" w:rsidRDefault="00031BFC">
            <w:pPr>
              <w:rPr>
                <w:sz w:val="20"/>
                <w:szCs w:val="20"/>
              </w:rPr>
            </w:pPr>
            <w:r>
              <w:rPr>
                <w:sz w:val="21"/>
                <w:szCs w:val="21"/>
              </w:rPr>
              <w:t xml:space="preserve">Orders that experienced delays collectively generated $2.1M in profit that is under constant pressure from further operational deterioration. </w:t>
            </w:r>
          </w:p>
        </w:tc>
      </w:tr>
    </w:tbl>
    <w:p w:rsidR="00AA0725" w:rsidRDefault="00AA0725">
      <w:pPr>
        <w:spacing w:before="225" w:after="330"/>
        <w:ind w:right="600"/>
        <w:rPr>
          <w:sz w:val="20"/>
          <w:szCs w:val="20"/>
        </w:rPr>
      </w:pPr>
    </w:p>
    <w:tbl>
      <w:tblPr>
        <w:tblStyle w:val="a6"/>
        <w:tblW w:w="9360" w:type="dxa"/>
        <w:tblInd w:w="0" w:type="dxa"/>
        <w:tblBorders>
          <w:top w:val="single" w:sz="8" w:space="0" w:color="2E8B7A"/>
          <w:left w:val="single" w:sz="8" w:space="0" w:color="2E8B7A"/>
          <w:bottom w:val="single" w:sz="8" w:space="0" w:color="2E8B7A"/>
          <w:right w:val="single" w:sz="8" w:space="0" w:color="2E8B7A"/>
          <w:insideH w:val="single" w:sz="8" w:space="0" w:color="2E8B7A"/>
          <w:insideV w:val="single" w:sz="8" w:space="0" w:color="2E8B7A"/>
        </w:tblBorders>
        <w:tblLayout w:type="fixed"/>
        <w:tblLook w:val="0600" w:firstRow="0" w:lastRow="0" w:firstColumn="0" w:lastColumn="0" w:noHBand="1" w:noVBand="1"/>
      </w:tblPr>
      <w:tblGrid>
        <w:gridCol w:w="2130"/>
        <w:gridCol w:w="7230"/>
      </w:tblGrid>
      <w:tr w:rsidR="00AA0725">
        <w:trPr>
          <w:trHeight w:val="990"/>
        </w:trPr>
        <w:tc>
          <w:tcPr>
            <w:tcW w:w="2130" w:type="dxa"/>
            <w:tcBorders>
              <w:top w:val="single" w:sz="12" w:space="0" w:color="2E8B7A"/>
              <w:left w:val="single" w:sz="18" w:space="0" w:color="2E8B7A"/>
              <w:bottom w:val="single" w:sz="12" w:space="0" w:color="2E8B7A"/>
              <w:right w:val="single" w:sz="12" w:space="0" w:color="2E8B7A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0725" w:rsidRDefault="00031BFC">
            <w:pPr>
              <w:rPr>
                <w:color w:val="000000"/>
                <w:sz w:val="20"/>
                <w:szCs w:val="20"/>
                <w:shd w:val="clear" w:color="auto" w:fill="EFEFEF"/>
              </w:rPr>
            </w:pPr>
            <w:r>
              <w:rPr>
                <w:b/>
                <w:bCs/>
                <w:color w:val="000000"/>
                <w:sz w:val="20"/>
                <w:szCs w:val="20"/>
                <w:shd w:val="clear" w:color="auto" w:fill="EFEFEF"/>
              </w:rPr>
              <w:t>● 90th Percentile Delay = 3 Days</w:t>
            </w:r>
            <w:r>
              <w:rPr>
                <w:color w:val="000000"/>
                <w:sz w:val="20"/>
                <w:szCs w:val="20"/>
                <w:shd w:val="clear" w:color="auto" w:fill="EFEFEF"/>
              </w:rPr>
              <w:t xml:space="preserve"> </w:t>
            </w:r>
          </w:p>
        </w:tc>
        <w:tc>
          <w:tcPr>
            <w:tcW w:w="7230" w:type="dxa"/>
            <w:tcBorders>
              <w:top w:val="single" w:sz="12" w:space="0" w:color="2E8B7A"/>
              <w:left w:val="single" w:sz="12" w:space="0" w:color="2E8B7A"/>
              <w:bottom w:val="single" w:sz="12" w:space="0" w:color="2E8B7A"/>
              <w:right w:val="single" w:sz="12" w:space="0" w:color="2E8B7A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0725" w:rsidRDefault="00031BFC">
            <w:pPr>
              <w:spacing w:line="360" w:lineRule="auto"/>
              <w:ind w:right="87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Even the most extreme cases are contained within 3 days of lateness, suggesting the problem is systemic and process-driven rather than catastrophic.</w:t>
            </w:r>
          </w:p>
        </w:tc>
      </w:tr>
    </w:tbl>
    <w:p w:rsidR="00AA0725" w:rsidRDefault="00AA0725">
      <w:pPr>
        <w:pBdr>
          <w:top w:val="nil"/>
          <w:left w:val="nil"/>
          <w:bottom w:val="nil"/>
          <w:right w:val="nil"/>
          <w:between w:val="nil"/>
        </w:pBdr>
        <w:spacing w:before="225" w:after="390"/>
        <w:ind w:right="600"/>
        <w:rPr>
          <w:sz w:val="20"/>
          <w:szCs w:val="20"/>
        </w:rPr>
      </w:pPr>
    </w:p>
    <w:p w:rsidR="00AA0725" w:rsidRDefault="00AA0725">
      <w:pPr>
        <w:rPr>
          <w:color w:val="0F1B2D"/>
        </w:rPr>
      </w:pPr>
    </w:p>
    <w:tbl>
      <w:tblPr>
        <w:tblStyle w:val="a7"/>
        <w:tblW w:w="1000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05"/>
      </w:tblGrid>
      <w:tr w:rsidR="00AA0725">
        <w:trPr>
          <w:trHeight w:val="330"/>
        </w:trPr>
        <w:tc>
          <w:tcPr>
            <w:tcW w:w="10005" w:type="dxa"/>
            <w:shd w:val="clear" w:color="auto" w:fill="0C343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0725" w:rsidRDefault="00AA0725">
            <w:pPr>
              <w:rPr>
                <w:color w:val="0F1B2D"/>
              </w:rPr>
            </w:pPr>
          </w:p>
        </w:tc>
      </w:tr>
    </w:tbl>
    <w:p w:rsidR="00AA0725" w:rsidRDefault="00AA0725">
      <w:pPr>
        <w:rPr>
          <w:sz w:val="20"/>
          <w:szCs w:val="20"/>
        </w:rPr>
      </w:pPr>
    </w:p>
    <w:p w:rsidR="00AA0725" w:rsidRDefault="00031BFC">
      <w:pPr>
        <w:pBdr>
          <w:top w:val="nil"/>
          <w:left w:val="nil"/>
          <w:bottom w:val="nil"/>
          <w:right w:val="nil"/>
          <w:between w:val="nil"/>
        </w:pBdr>
        <w:spacing w:before="225" w:after="390"/>
        <w:ind w:right="600"/>
        <w:rPr>
          <w:color w:val="0F1B2D"/>
        </w:rPr>
      </w:pPr>
      <w:r>
        <w:rPr>
          <w:b/>
          <w:bCs/>
          <w:color w:val="0C343D"/>
          <w:sz w:val="38"/>
          <w:szCs w:val="38"/>
        </w:rPr>
        <w:t>4. Profitability Analysis</w:t>
      </w:r>
    </w:p>
    <w:p w:rsidR="00AA0725" w:rsidRDefault="00031BFC">
      <w:pPr>
        <w:pStyle w:val="Heading3"/>
        <w:spacing w:before="0" w:after="150"/>
        <w:ind w:left="600" w:right="600"/>
        <w:rPr>
          <w:color w:val="2E8B7A"/>
          <w:sz w:val="26"/>
          <w:szCs w:val="26"/>
        </w:rPr>
      </w:pPr>
      <w:r>
        <w:pict>
          <v:rect id="_x0000_i1029" style="width:0;height:1.5pt" o:hralign="center" o:hrstd="t" o:hr="t" fillcolor="#a0a0a0" stroked="f"/>
        </w:pict>
      </w:r>
      <w:r>
        <w:rPr>
          <w:color w:val="2E8B7A"/>
          <w:sz w:val="26"/>
          <w:szCs w:val="26"/>
        </w:rPr>
        <w:t>4.1 Profitability Distribution</w:t>
      </w:r>
    </w:p>
    <w:p w:rsidR="00AA0725" w:rsidRDefault="00031BFC">
      <w:pPr>
        <w:pBdr>
          <w:top w:val="nil"/>
          <w:left w:val="nil"/>
          <w:bottom w:val="nil"/>
          <w:right w:val="nil"/>
          <w:between w:val="nil"/>
        </w:pBdr>
        <w:spacing w:after="240" w:line="384" w:lineRule="auto"/>
        <w:ind w:left="600" w:right="600"/>
        <w:rPr>
          <w:sz w:val="20"/>
          <w:szCs w:val="20"/>
        </w:rPr>
      </w:pPr>
      <w:r>
        <w:rPr>
          <w:sz w:val="20"/>
          <w:szCs w:val="20"/>
        </w:rPr>
        <w:t xml:space="preserve">Order-level profitability was classified into three tiers based on Order Profit </w:t>
      </w:r>
      <w:proofErr w:type="gramStart"/>
      <w:r>
        <w:rPr>
          <w:sz w:val="20"/>
          <w:szCs w:val="20"/>
        </w:rPr>
        <w:t>Per</w:t>
      </w:r>
      <w:proofErr w:type="gramEnd"/>
      <w:r>
        <w:rPr>
          <w:sz w:val="20"/>
          <w:szCs w:val="20"/>
        </w:rPr>
        <w:t xml:space="preserve"> Order. While 80.7% of orders are profitable, the 18.7% loss-making share represents a meaningful drag that is disproportionately concentrated among delayed shipments.</w:t>
      </w:r>
    </w:p>
    <w:p w:rsidR="00AA0725" w:rsidRDefault="00031BFC">
      <w:pPr>
        <w:spacing w:after="300" w:line="384" w:lineRule="auto"/>
        <w:ind w:left="600" w:right="600"/>
        <w:rPr>
          <w:b/>
          <w:bCs/>
        </w:rPr>
      </w:pPr>
      <w:bookmarkStart w:id="0" w:name="_GoBack"/>
      <w:r>
        <w:rPr>
          <w:b/>
          <w:bCs/>
          <w:noProof/>
        </w:rPr>
        <w:lastRenderedPageBreak/>
        <w:drawing>
          <wp:inline distT="114300" distB="114300" distL="114300" distR="114300" wp14:anchorId="3371AE7B" wp14:editId="2B3F6BCB">
            <wp:extent cx="4262438" cy="379095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62438" cy="3790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bookmarkEnd w:id="0"/>
    </w:p>
    <w:p w:rsidR="00AA0725" w:rsidRDefault="00AA0725">
      <w:pPr>
        <w:pBdr>
          <w:top w:val="nil"/>
          <w:left w:val="nil"/>
          <w:bottom w:val="nil"/>
          <w:right w:val="nil"/>
          <w:between w:val="nil"/>
        </w:pBdr>
        <w:spacing w:after="300"/>
        <w:ind w:left="600" w:right="600"/>
        <w:jc w:val="center"/>
        <w:rPr>
          <w:b/>
          <w:bCs/>
        </w:rPr>
      </w:pPr>
    </w:p>
    <w:p w:rsidR="00AA0725" w:rsidRDefault="00AA0725">
      <w:pPr>
        <w:pBdr>
          <w:top w:val="nil"/>
          <w:left w:val="nil"/>
          <w:bottom w:val="nil"/>
          <w:right w:val="nil"/>
          <w:between w:val="nil"/>
        </w:pBdr>
        <w:spacing w:before="210"/>
        <w:ind w:left="600" w:right="600"/>
        <w:jc w:val="center"/>
        <w:rPr>
          <w:b/>
          <w:bCs/>
        </w:rPr>
      </w:pPr>
    </w:p>
    <w:p w:rsidR="00AA0725" w:rsidRDefault="00AA0725">
      <w:pPr>
        <w:pBdr>
          <w:top w:val="nil"/>
          <w:left w:val="nil"/>
          <w:bottom w:val="nil"/>
          <w:right w:val="nil"/>
          <w:between w:val="nil"/>
        </w:pBdr>
        <w:ind w:left="600" w:right="600"/>
        <w:jc w:val="center"/>
        <w:rPr>
          <w:b/>
          <w:bCs/>
          <w:sz w:val="20"/>
          <w:szCs w:val="20"/>
        </w:rPr>
      </w:pPr>
    </w:p>
    <w:p w:rsidR="00AA0725" w:rsidRDefault="00031BFC">
      <w:pPr>
        <w:pStyle w:val="Heading3"/>
        <w:spacing w:before="0" w:after="150"/>
        <w:ind w:left="600" w:right="600"/>
        <w:rPr>
          <w:color w:val="2E8B7A"/>
          <w:sz w:val="26"/>
          <w:szCs w:val="26"/>
        </w:rPr>
      </w:pPr>
      <w:r>
        <w:rPr>
          <w:color w:val="2E8B7A"/>
          <w:sz w:val="26"/>
          <w:szCs w:val="26"/>
        </w:rPr>
        <w:t>4.2 Delay Distribution &amp; Profit vs. Delay Days</w:t>
      </w:r>
    </w:p>
    <w:p w:rsidR="00AA0725" w:rsidRDefault="00031BFC">
      <w:pPr>
        <w:pBdr>
          <w:top w:val="nil"/>
          <w:left w:val="nil"/>
          <w:bottom w:val="nil"/>
          <w:right w:val="nil"/>
          <w:between w:val="nil"/>
        </w:pBdr>
        <w:spacing w:after="210" w:line="384" w:lineRule="auto"/>
        <w:ind w:left="600" w:right="600"/>
        <w:rPr>
          <w:sz w:val="20"/>
          <w:szCs w:val="20"/>
        </w:rPr>
      </w:pPr>
      <w:r>
        <w:rPr>
          <w:sz w:val="20"/>
          <w:szCs w:val="20"/>
        </w:rPr>
        <w:t xml:space="preserve">The delay distribution shows that 31.0% of all orders arrive exactly 1 day late — the single largest cohort. </w:t>
      </w:r>
      <w:proofErr w:type="gramStart"/>
      <w:r>
        <w:rPr>
          <w:sz w:val="20"/>
          <w:szCs w:val="20"/>
        </w:rPr>
        <w:t>Combined, orders delayed by 1–4 days account for 54.7% of all order volume, directly mapping to the overall late delivery rate.</w:t>
      </w:r>
      <w:proofErr w:type="gramEnd"/>
    </w:p>
    <w:p w:rsidR="00AA0725" w:rsidRDefault="00031BFC">
      <w:pPr>
        <w:pBdr>
          <w:top w:val="nil"/>
          <w:left w:val="nil"/>
          <w:bottom w:val="nil"/>
          <w:right w:val="nil"/>
          <w:between w:val="nil"/>
        </w:pBdr>
        <w:spacing w:after="240" w:line="384" w:lineRule="auto"/>
        <w:ind w:left="600" w:right="600"/>
        <w:jc w:val="center"/>
        <w:rPr>
          <w:shd w:val="clear" w:color="auto" w:fill="2E8B7A"/>
        </w:rPr>
      </w:pPr>
      <w:r>
        <w:rPr>
          <w:b/>
          <w:bCs/>
          <w:noProof/>
          <w:sz w:val="20"/>
          <w:szCs w:val="20"/>
        </w:rPr>
        <w:lastRenderedPageBreak/>
        <w:drawing>
          <wp:inline distT="114300" distB="114300" distL="114300" distR="114300" wp14:anchorId="3B170CAF" wp14:editId="7E4E696A">
            <wp:extent cx="5943600" cy="24003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A0725" w:rsidRDefault="00031BFC">
      <w:pPr>
        <w:pBdr>
          <w:top w:val="nil"/>
          <w:left w:val="nil"/>
          <w:bottom w:val="nil"/>
          <w:right w:val="nil"/>
          <w:between w:val="nil"/>
        </w:pBdr>
        <w:spacing w:after="300" w:line="384" w:lineRule="auto"/>
        <w:ind w:left="600" w:right="600"/>
        <w:jc w:val="center"/>
        <w:rPr>
          <w:i/>
          <w:iCs/>
          <w:color w:val="555555"/>
          <w:sz w:val="18"/>
          <w:szCs w:val="18"/>
        </w:rPr>
      </w:pPr>
      <w:r>
        <w:rPr>
          <w:i/>
          <w:iCs/>
          <w:color w:val="555555"/>
          <w:sz w:val="18"/>
          <w:szCs w:val="18"/>
        </w:rPr>
        <w:t>Figure 2: Delay D</w:t>
      </w:r>
      <w:r>
        <w:rPr>
          <w:i/>
          <w:iCs/>
          <w:color w:val="555555"/>
          <w:sz w:val="18"/>
          <w:szCs w:val="18"/>
        </w:rPr>
        <w:t>istribution (left) and Profit Analysis by Delay Days (right)</w:t>
      </w:r>
    </w:p>
    <w:p w:rsidR="00AA0725" w:rsidRDefault="00031BFC">
      <w:pPr>
        <w:pBdr>
          <w:top w:val="nil"/>
          <w:left w:val="nil"/>
          <w:bottom w:val="nil"/>
          <w:right w:val="nil"/>
          <w:between w:val="nil"/>
        </w:pBdr>
        <w:spacing w:after="180" w:line="384" w:lineRule="auto"/>
        <w:ind w:left="600" w:right="600"/>
        <w:rPr>
          <w:sz w:val="20"/>
          <w:szCs w:val="20"/>
        </w:rPr>
      </w:pPr>
      <w:r>
        <w:rPr>
          <w:sz w:val="20"/>
          <w:szCs w:val="20"/>
        </w:rPr>
        <w:t>A critical observation: mean profit per order remains stable at approximately $20–$23 across all delay levels. The profitability problem is therefore driven by volume of delayed orders, not by individual order economics — making systemic throughput improve</w:t>
      </w:r>
      <w:r>
        <w:rPr>
          <w:sz w:val="20"/>
          <w:szCs w:val="20"/>
        </w:rPr>
        <w:t>ment the highest-leverage intervention.</w:t>
      </w:r>
    </w:p>
    <w:p w:rsidR="00AA0725" w:rsidRDefault="00AA0725">
      <w:pPr>
        <w:rPr>
          <w:color w:val="0F1B2D"/>
        </w:rPr>
      </w:pPr>
    </w:p>
    <w:tbl>
      <w:tblPr>
        <w:tblStyle w:val="a8"/>
        <w:tblW w:w="1000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05"/>
      </w:tblGrid>
      <w:tr w:rsidR="00AA0725">
        <w:trPr>
          <w:trHeight w:val="330"/>
        </w:trPr>
        <w:tc>
          <w:tcPr>
            <w:tcW w:w="10005" w:type="dxa"/>
            <w:shd w:val="clear" w:color="auto" w:fill="0C343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0725" w:rsidRDefault="00AA0725">
            <w:pPr>
              <w:rPr>
                <w:color w:val="0F1B2D"/>
              </w:rPr>
            </w:pPr>
          </w:p>
        </w:tc>
      </w:tr>
    </w:tbl>
    <w:p w:rsidR="00AA0725" w:rsidRDefault="00AA0725">
      <w:pPr>
        <w:rPr>
          <w:sz w:val="20"/>
          <w:szCs w:val="20"/>
        </w:rPr>
      </w:pPr>
    </w:p>
    <w:p w:rsidR="00AA0725" w:rsidRDefault="00031BFC">
      <w:pPr>
        <w:pBdr>
          <w:top w:val="nil"/>
          <w:left w:val="nil"/>
          <w:bottom w:val="nil"/>
          <w:right w:val="nil"/>
          <w:between w:val="nil"/>
        </w:pBdr>
        <w:spacing w:before="225" w:after="330"/>
        <w:ind w:right="600"/>
        <w:rPr>
          <w:sz w:val="20"/>
          <w:szCs w:val="20"/>
        </w:rPr>
      </w:pPr>
      <w:r>
        <w:rPr>
          <w:b/>
          <w:bCs/>
          <w:color w:val="0C343D"/>
          <w:sz w:val="38"/>
          <w:szCs w:val="38"/>
        </w:rPr>
        <w:t>5. Bottleneck Detection</w:t>
      </w:r>
      <w:r>
        <w:pict>
          <v:rect id="_x0000_i1030" style="width:0;height:1.5pt" o:hralign="center" o:hrstd="t" o:hr="t" fillcolor="#a0a0a0" stroked="f"/>
        </w:pict>
      </w:r>
      <w:r>
        <w:rPr>
          <w:sz w:val="20"/>
          <w:szCs w:val="20"/>
        </w:rPr>
        <w:t>Delay percentage was computed across six key operational dimensions. The charts below reveal where the fulfillment</w:t>
      </w:r>
      <w:r>
        <w:rPr>
          <w:sz w:val="20"/>
          <w:szCs w:val="20"/>
        </w:rPr>
        <w:t xml:space="preserve"> process breaks down most severely.</w:t>
      </w:r>
    </w:p>
    <w:p w:rsidR="00AA0725" w:rsidRDefault="00AA0725">
      <w:pPr>
        <w:pBdr>
          <w:top w:val="nil"/>
          <w:left w:val="nil"/>
          <w:bottom w:val="nil"/>
          <w:right w:val="nil"/>
          <w:between w:val="nil"/>
        </w:pBdr>
        <w:spacing w:after="270"/>
        <w:ind w:left="600" w:right="600"/>
        <w:rPr>
          <w:sz w:val="20"/>
          <w:szCs w:val="20"/>
        </w:rPr>
      </w:pPr>
    </w:p>
    <w:p w:rsidR="00AA0725" w:rsidRDefault="00031BFC">
      <w:pPr>
        <w:pBdr>
          <w:top w:val="nil"/>
          <w:left w:val="nil"/>
          <w:bottom w:val="nil"/>
          <w:right w:val="nil"/>
          <w:between w:val="nil"/>
        </w:pBdr>
        <w:spacing w:after="240" w:line="384" w:lineRule="auto"/>
        <w:ind w:left="600" w:right="600"/>
        <w:jc w:val="center"/>
        <w:rPr>
          <w:b/>
          <w:bCs/>
          <w:color w:val="134F5C"/>
        </w:rPr>
      </w:pPr>
      <w:r>
        <w:rPr>
          <w:b/>
          <w:bCs/>
          <w:color w:val="134F5C"/>
        </w:rPr>
        <w:t xml:space="preserve">Bottleneck </w:t>
      </w:r>
      <w:proofErr w:type="gramStart"/>
      <w:r>
        <w:rPr>
          <w:b/>
          <w:bCs/>
          <w:color w:val="134F5C"/>
        </w:rPr>
        <w:t>Detection  -</w:t>
      </w:r>
      <w:proofErr w:type="gramEnd"/>
      <w:r>
        <w:rPr>
          <w:b/>
          <w:bCs/>
          <w:color w:val="134F5C"/>
        </w:rPr>
        <w:t xml:space="preserve"> Delay by Category</w:t>
      </w:r>
    </w:p>
    <w:p w:rsidR="00AA0725" w:rsidRDefault="00031BFC">
      <w:pPr>
        <w:pBdr>
          <w:top w:val="nil"/>
          <w:left w:val="nil"/>
          <w:bottom w:val="nil"/>
          <w:right w:val="nil"/>
          <w:between w:val="nil"/>
        </w:pBdr>
        <w:spacing w:after="240" w:line="384" w:lineRule="auto"/>
        <w:ind w:left="600" w:right="600"/>
        <w:jc w:val="center"/>
        <w:rPr>
          <w:b/>
          <w:bCs/>
          <w:color w:val="134F5C"/>
        </w:rPr>
      </w:pPr>
      <w:r>
        <w:rPr>
          <w:b/>
          <w:bCs/>
          <w:color w:val="134F5C"/>
        </w:rPr>
        <w:lastRenderedPageBreak/>
        <w:t xml:space="preserve"> </w:t>
      </w:r>
      <w:r>
        <w:rPr>
          <w:b/>
          <w:bCs/>
          <w:noProof/>
          <w:color w:val="134F5C"/>
        </w:rPr>
        <w:drawing>
          <wp:inline distT="114300" distB="114300" distL="114300" distR="114300" wp14:anchorId="212F1187" wp14:editId="25C03200">
            <wp:extent cx="4877148" cy="252412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77148" cy="2524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A0725" w:rsidRDefault="00031BFC">
      <w:pPr>
        <w:pBdr>
          <w:top w:val="nil"/>
          <w:left w:val="nil"/>
          <w:bottom w:val="nil"/>
          <w:right w:val="nil"/>
          <w:between w:val="nil"/>
        </w:pBdr>
        <w:spacing w:after="300" w:line="384" w:lineRule="auto"/>
        <w:ind w:left="600" w:right="600"/>
        <w:jc w:val="center"/>
        <w:rPr>
          <w:color w:val="000000"/>
          <w:sz w:val="18"/>
          <w:szCs w:val="18"/>
        </w:rPr>
      </w:pPr>
      <w:r>
        <w:rPr>
          <w:i/>
          <w:iCs/>
          <w:color w:val="555555"/>
          <w:sz w:val="18"/>
          <w:szCs w:val="18"/>
        </w:rPr>
        <w:t xml:space="preserve">Figure 3: Delay % across six operational categories — Region, Segment, Shipping Mode, Order Status, Payment Type, </w:t>
      </w:r>
      <w:proofErr w:type="gramStart"/>
      <w:r>
        <w:rPr>
          <w:i/>
          <w:iCs/>
          <w:color w:val="555555"/>
          <w:sz w:val="18"/>
          <w:szCs w:val="18"/>
        </w:rPr>
        <w:t>Department</w:t>
      </w:r>
      <w:proofErr w:type="gramEnd"/>
    </w:p>
    <w:tbl>
      <w:tblPr>
        <w:tblStyle w:val="a9"/>
        <w:tblW w:w="8490" w:type="dxa"/>
        <w:tblInd w:w="870" w:type="dxa"/>
        <w:tblBorders>
          <w:top w:val="single" w:sz="8" w:space="0" w:color="2E8B7A"/>
          <w:left w:val="single" w:sz="8" w:space="0" w:color="2E8B7A"/>
          <w:bottom w:val="single" w:sz="8" w:space="0" w:color="2E8B7A"/>
          <w:right w:val="single" w:sz="8" w:space="0" w:color="2E8B7A"/>
          <w:insideH w:val="single" w:sz="8" w:space="0" w:color="2E8B7A"/>
          <w:insideV w:val="single" w:sz="8" w:space="0" w:color="2E8B7A"/>
        </w:tblBorders>
        <w:tblLayout w:type="fixed"/>
        <w:tblLook w:val="0600" w:firstRow="0" w:lastRow="0" w:firstColumn="0" w:lastColumn="0" w:noHBand="1" w:noVBand="1"/>
      </w:tblPr>
      <w:tblGrid>
        <w:gridCol w:w="2040"/>
        <w:gridCol w:w="6450"/>
      </w:tblGrid>
      <w:tr w:rsidR="00AA0725">
        <w:trPr>
          <w:trHeight w:val="795"/>
        </w:trPr>
        <w:tc>
          <w:tcPr>
            <w:tcW w:w="2040" w:type="dxa"/>
            <w:tcBorders>
              <w:top w:val="single" w:sz="12" w:space="0" w:color="2E8B7A"/>
              <w:left w:val="single" w:sz="18" w:space="0" w:color="2E8B7A"/>
              <w:bottom w:val="single" w:sz="12" w:space="0" w:color="2E8B7A"/>
              <w:right w:val="single" w:sz="12" w:space="0" w:color="2E8B7A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0725" w:rsidRDefault="00031B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  <w:shd w:val="clear" w:color="auto" w:fill="EFEFEF"/>
              </w:rPr>
              <w:t xml:space="preserve">● Shipping Mode is the #1 Lever </w:t>
            </w:r>
          </w:p>
        </w:tc>
        <w:tc>
          <w:tcPr>
            <w:tcW w:w="6450" w:type="dxa"/>
            <w:tcBorders>
              <w:top w:val="single" w:sz="12" w:space="0" w:color="2E8B7A"/>
              <w:left w:val="single" w:sz="12" w:space="0" w:color="2E8B7A"/>
              <w:bottom w:val="single" w:sz="12" w:space="0" w:color="2E8B7A"/>
              <w:right w:val="single" w:sz="12" w:space="0" w:color="2E8B7A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0725" w:rsidRDefault="00031B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1"/>
                <w:szCs w:val="21"/>
              </w:rPr>
              <w:t xml:space="preserve">First Class: 100% delay rate. Second Class: 79.8%. Standard Class: 39.8%. Same Day: 0%. The mode assignment logic is the most impactful single variable to fix. </w:t>
            </w:r>
          </w:p>
        </w:tc>
      </w:tr>
    </w:tbl>
    <w:p w:rsidR="00AA0725" w:rsidRDefault="00AA0725">
      <w:pPr>
        <w:spacing w:after="300" w:line="384" w:lineRule="auto"/>
        <w:ind w:right="600"/>
        <w:rPr>
          <w:color w:val="000000"/>
          <w:sz w:val="18"/>
          <w:szCs w:val="18"/>
        </w:rPr>
      </w:pPr>
    </w:p>
    <w:tbl>
      <w:tblPr>
        <w:tblStyle w:val="aa"/>
        <w:tblW w:w="8490" w:type="dxa"/>
        <w:tblInd w:w="870" w:type="dxa"/>
        <w:tblBorders>
          <w:top w:val="single" w:sz="8" w:space="0" w:color="2E8B7A"/>
          <w:left w:val="single" w:sz="8" w:space="0" w:color="2E8B7A"/>
          <w:bottom w:val="single" w:sz="8" w:space="0" w:color="2E8B7A"/>
          <w:right w:val="single" w:sz="8" w:space="0" w:color="2E8B7A"/>
          <w:insideH w:val="single" w:sz="8" w:space="0" w:color="2E8B7A"/>
          <w:insideV w:val="single" w:sz="8" w:space="0" w:color="2E8B7A"/>
        </w:tblBorders>
        <w:tblLayout w:type="fixed"/>
        <w:tblLook w:val="0600" w:firstRow="0" w:lastRow="0" w:firstColumn="0" w:lastColumn="0" w:noHBand="1" w:noVBand="1"/>
      </w:tblPr>
      <w:tblGrid>
        <w:gridCol w:w="2040"/>
        <w:gridCol w:w="6450"/>
      </w:tblGrid>
      <w:tr w:rsidR="00AA0725">
        <w:trPr>
          <w:trHeight w:val="795"/>
        </w:trPr>
        <w:tc>
          <w:tcPr>
            <w:tcW w:w="2040" w:type="dxa"/>
            <w:tcBorders>
              <w:top w:val="single" w:sz="12" w:space="0" w:color="2E8B7A"/>
              <w:left w:val="single" w:sz="18" w:space="0" w:color="2E8B7A"/>
              <w:bottom w:val="single" w:sz="12" w:space="0" w:color="2E8B7A"/>
              <w:right w:val="single" w:sz="12" w:space="0" w:color="2E8B7A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0725" w:rsidRDefault="00031BFC">
            <w:pPr>
              <w:rPr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20"/>
                <w:szCs w:val="20"/>
                <w:shd w:val="clear" w:color="auto" w:fill="EFEFEF"/>
              </w:rPr>
              <w:t xml:space="preserve">● Regional Spread is Narrow (55–59%) </w:t>
            </w:r>
          </w:p>
        </w:tc>
        <w:tc>
          <w:tcPr>
            <w:tcW w:w="6450" w:type="dxa"/>
            <w:tcBorders>
              <w:top w:val="single" w:sz="12" w:space="0" w:color="2E8B7A"/>
              <w:left w:val="single" w:sz="12" w:space="0" w:color="2E8B7A"/>
              <w:bottom w:val="single" w:sz="12" w:space="0" w:color="2E8B7A"/>
              <w:right w:val="single" w:sz="12" w:space="0" w:color="2E8B7A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0725" w:rsidRDefault="00031BFC">
            <w:pPr>
              <w:rPr>
                <w:color w:val="000000"/>
                <w:sz w:val="18"/>
                <w:szCs w:val="18"/>
              </w:rPr>
            </w:pPr>
            <w:r>
              <w:rPr>
                <w:sz w:val="21"/>
                <w:szCs w:val="21"/>
              </w:rPr>
              <w:t>Central Africa leads at 58.7% but all regions cluster b</w:t>
            </w:r>
            <w:r>
              <w:rPr>
                <w:sz w:val="21"/>
                <w:szCs w:val="21"/>
              </w:rPr>
              <w:t xml:space="preserve">etween 55–59%. This rules out a </w:t>
            </w:r>
            <w:proofErr w:type="spellStart"/>
            <w:r>
              <w:rPr>
                <w:sz w:val="21"/>
                <w:szCs w:val="21"/>
              </w:rPr>
              <w:t>localised</w:t>
            </w:r>
            <w:proofErr w:type="spellEnd"/>
            <w:r>
              <w:rPr>
                <w:sz w:val="21"/>
                <w:szCs w:val="21"/>
              </w:rPr>
              <w:t xml:space="preserve"> logistics failure and confirms a company-wide systemic issue. </w:t>
            </w:r>
          </w:p>
        </w:tc>
      </w:tr>
    </w:tbl>
    <w:p w:rsidR="00AA0725" w:rsidRDefault="00AA0725">
      <w:pPr>
        <w:spacing w:after="300" w:line="384" w:lineRule="auto"/>
        <w:ind w:left="600" w:right="600"/>
        <w:jc w:val="center"/>
        <w:rPr>
          <w:color w:val="000000"/>
          <w:sz w:val="18"/>
          <w:szCs w:val="18"/>
        </w:rPr>
      </w:pPr>
    </w:p>
    <w:tbl>
      <w:tblPr>
        <w:tblStyle w:val="ab"/>
        <w:tblW w:w="8490" w:type="dxa"/>
        <w:tblInd w:w="870" w:type="dxa"/>
        <w:tblBorders>
          <w:top w:val="single" w:sz="8" w:space="0" w:color="2E8B7A"/>
          <w:left w:val="single" w:sz="8" w:space="0" w:color="2E8B7A"/>
          <w:bottom w:val="single" w:sz="8" w:space="0" w:color="2E8B7A"/>
          <w:right w:val="single" w:sz="8" w:space="0" w:color="2E8B7A"/>
          <w:insideH w:val="single" w:sz="8" w:space="0" w:color="2E8B7A"/>
          <w:insideV w:val="single" w:sz="8" w:space="0" w:color="2E8B7A"/>
        </w:tblBorders>
        <w:tblLayout w:type="fixed"/>
        <w:tblLook w:val="0600" w:firstRow="0" w:lastRow="0" w:firstColumn="0" w:lastColumn="0" w:noHBand="1" w:noVBand="1"/>
      </w:tblPr>
      <w:tblGrid>
        <w:gridCol w:w="2040"/>
        <w:gridCol w:w="6450"/>
      </w:tblGrid>
      <w:tr w:rsidR="00AA0725">
        <w:trPr>
          <w:trHeight w:val="795"/>
        </w:trPr>
        <w:tc>
          <w:tcPr>
            <w:tcW w:w="2040" w:type="dxa"/>
            <w:tcBorders>
              <w:top w:val="single" w:sz="12" w:space="0" w:color="2E8B7A"/>
              <w:left w:val="single" w:sz="18" w:space="0" w:color="2E8B7A"/>
              <w:bottom w:val="single" w:sz="12" w:space="0" w:color="2E8B7A"/>
              <w:right w:val="single" w:sz="12" w:space="0" w:color="2E8B7A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0725" w:rsidRDefault="00031BFC">
            <w:pPr>
              <w:rPr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20"/>
                <w:szCs w:val="20"/>
                <w:shd w:val="clear" w:color="auto" w:fill="EFEFEF"/>
              </w:rPr>
              <w:t xml:space="preserve">● Customer Segments Nearly Identical (54.5–55.4%) </w:t>
            </w:r>
          </w:p>
        </w:tc>
        <w:tc>
          <w:tcPr>
            <w:tcW w:w="6450" w:type="dxa"/>
            <w:tcBorders>
              <w:top w:val="single" w:sz="12" w:space="0" w:color="2E8B7A"/>
              <w:left w:val="single" w:sz="12" w:space="0" w:color="2E8B7A"/>
              <w:bottom w:val="single" w:sz="12" w:space="0" w:color="2E8B7A"/>
              <w:right w:val="single" w:sz="12" w:space="0" w:color="2E8B7A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0725" w:rsidRDefault="00031BFC">
            <w:pPr>
              <w:rPr>
                <w:color w:val="000000"/>
                <w:sz w:val="18"/>
                <w:szCs w:val="18"/>
              </w:rPr>
            </w:pPr>
            <w:r>
              <w:rPr>
                <w:sz w:val="21"/>
                <w:szCs w:val="21"/>
              </w:rPr>
              <w:t xml:space="preserve">No segment receives preferential service. All customers — Consumer, Corporate, Home Office — experience the same broken delivery promise. </w:t>
            </w:r>
          </w:p>
        </w:tc>
      </w:tr>
    </w:tbl>
    <w:p w:rsidR="00AA0725" w:rsidRDefault="00AA0725">
      <w:pPr>
        <w:spacing w:after="300" w:line="384" w:lineRule="auto"/>
        <w:ind w:left="600" w:right="600"/>
        <w:jc w:val="center"/>
        <w:rPr>
          <w:color w:val="000000"/>
          <w:sz w:val="18"/>
          <w:szCs w:val="18"/>
        </w:rPr>
      </w:pPr>
    </w:p>
    <w:tbl>
      <w:tblPr>
        <w:tblStyle w:val="ac"/>
        <w:tblW w:w="8490" w:type="dxa"/>
        <w:tblInd w:w="870" w:type="dxa"/>
        <w:tblBorders>
          <w:top w:val="single" w:sz="8" w:space="0" w:color="2E8B7A"/>
          <w:left w:val="single" w:sz="8" w:space="0" w:color="2E8B7A"/>
          <w:bottom w:val="single" w:sz="8" w:space="0" w:color="2E8B7A"/>
          <w:right w:val="single" w:sz="8" w:space="0" w:color="2E8B7A"/>
          <w:insideH w:val="single" w:sz="8" w:space="0" w:color="2E8B7A"/>
          <w:insideV w:val="single" w:sz="8" w:space="0" w:color="2E8B7A"/>
        </w:tblBorders>
        <w:tblLayout w:type="fixed"/>
        <w:tblLook w:val="0600" w:firstRow="0" w:lastRow="0" w:firstColumn="0" w:lastColumn="0" w:noHBand="1" w:noVBand="1"/>
      </w:tblPr>
      <w:tblGrid>
        <w:gridCol w:w="2040"/>
        <w:gridCol w:w="6450"/>
      </w:tblGrid>
      <w:tr w:rsidR="00AA0725">
        <w:trPr>
          <w:trHeight w:val="795"/>
        </w:trPr>
        <w:tc>
          <w:tcPr>
            <w:tcW w:w="2040" w:type="dxa"/>
            <w:tcBorders>
              <w:top w:val="single" w:sz="12" w:space="0" w:color="2E8B7A"/>
              <w:left w:val="single" w:sz="18" w:space="0" w:color="2E8B7A"/>
              <w:bottom w:val="single" w:sz="12" w:space="0" w:color="2E8B7A"/>
              <w:right w:val="single" w:sz="12" w:space="0" w:color="2E8B7A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0725" w:rsidRDefault="00031BFC">
            <w:pPr>
              <w:rPr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20"/>
                <w:szCs w:val="20"/>
                <w:shd w:val="clear" w:color="auto" w:fill="EFEFEF"/>
              </w:rPr>
              <w:t>● Health &amp; Beauty (56.9%) and Pet Shop (56.6%) Lead by Department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6450" w:type="dxa"/>
            <w:tcBorders>
              <w:top w:val="single" w:sz="12" w:space="0" w:color="2E8B7A"/>
              <w:left w:val="single" w:sz="12" w:space="0" w:color="2E8B7A"/>
              <w:bottom w:val="single" w:sz="12" w:space="0" w:color="2E8B7A"/>
              <w:right w:val="single" w:sz="12" w:space="0" w:color="2E8B7A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0725" w:rsidRDefault="00031BFC">
            <w:pPr>
              <w:rPr>
                <w:color w:val="000000"/>
                <w:sz w:val="18"/>
                <w:szCs w:val="18"/>
              </w:rPr>
            </w:pPr>
            <w:r>
              <w:rPr>
                <w:sz w:val="21"/>
                <w:szCs w:val="21"/>
              </w:rPr>
              <w:t>These departments marginally outpace others in delay rate, warranting an inventory and carrier audit for these product categories.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</w:tbl>
    <w:p w:rsidR="00AA0725" w:rsidRDefault="00AA0725">
      <w:pPr>
        <w:pBdr>
          <w:top w:val="nil"/>
          <w:left w:val="nil"/>
          <w:bottom w:val="nil"/>
          <w:right w:val="nil"/>
          <w:between w:val="nil"/>
        </w:pBdr>
        <w:ind w:right="870"/>
        <w:rPr>
          <w:sz w:val="20"/>
          <w:szCs w:val="20"/>
        </w:rPr>
      </w:pPr>
    </w:p>
    <w:p w:rsidR="00AA0725" w:rsidRDefault="00AA0725">
      <w:pPr>
        <w:pBdr>
          <w:top w:val="nil"/>
          <w:left w:val="nil"/>
          <w:bottom w:val="nil"/>
          <w:right w:val="nil"/>
          <w:between w:val="nil"/>
        </w:pBdr>
        <w:ind w:right="870"/>
        <w:rPr>
          <w:sz w:val="20"/>
          <w:szCs w:val="20"/>
        </w:rPr>
      </w:pPr>
    </w:p>
    <w:p w:rsidR="00AA0725" w:rsidRDefault="00AA0725">
      <w:pPr>
        <w:pBdr>
          <w:top w:val="nil"/>
          <w:left w:val="nil"/>
          <w:bottom w:val="nil"/>
          <w:right w:val="nil"/>
          <w:between w:val="nil"/>
        </w:pBdr>
        <w:ind w:right="870"/>
        <w:rPr>
          <w:sz w:val="20"/>
          <w:szCs w:val="20"/>
        </w:rPr>
      </w:pPr>
    </w:p>
    <w:p w:rsidR="00AA0725" w:rsidRDefault="00AA0725">
      <w:pPr>
        <w:rPr>
          <w:color w:val="0F1B2D"/>
        </w:rPr>
      </w:pPr>
    </w:p>
    <w:tbl>
      <w:tblPr>
        <w:tblStyle w:val="ad"/>
        <w:tblW w:w="1000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05"/>
      </w:tblGrid>
      <w:tr w:rsidR="00AA0725">
        <w:trPr>
          <w:trHeight w:val="330"/>
        </w:trPr>
        <w:tc>
          <w:tcPr>
            <w:tcW w:w="10005" w:type="dxa"/>
            <w:shd w:val="clear" w:color="auto" w:fill="0C343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0725" w:rsidRDefault="00AA0725">
            <w:pPr>
              <w:rPr>
                <w:color w:val="0F1B2D"/>
              </w:rPr>
            </w:pPr>
          </w:p>
        </w:tc>
      </w:tr>
    </w:tbl>
    <w:p w:rsidR="00AA0725" w:rsidRDefault="00AA0725">
      <w:pPr>
        <w:rPr>
          <w:sz w:val="20"/>
          <w:szCs w:val="20"/>
        </w:rPr>
      </w:pPr>
    </w:p>
    <w:p w:rsidR="00AA0725" w:rsidRDefault="00031BFC">
      <w:pPr>
        <w:pBdr>
          <w:top w:val="nil"/>
          <w:left w:val="nil"/>
          <w:bottom w:val="nil"/>
          <w:right w:val="nil"/>
          <w:between w:val="nil"/>
        </w:pBdr>
        <w:spacing w:before="225" w:after="330"/>
        <w:ind w:right="600"/>
        <w:rPr>
          <w:b/>
          <w:bCs/>
          <w:sz w:val="20"/>
          <w:szCs w:val="20"/>
        </w:rPr>
      </w:pPr>
      <w:r>
        <w:rPr>
          <w:b/>
          <w:bCs/>
          <w:color w:val="0C343D"/>
          <w:sz w:val="38"/>
          <w:szCs w:val="38"/>
        </w:rPr>
        <w:t>6. Root Cause Analysis</w:t>
      </w:r>
      <w:r>
        <w:pict>
          <v:rect id="_x0000_i1031" style="width:0;height:1.5pt" o:hralign="center" o:hrstd="t" o:hr="t" fillcolor="#a0a0a0" stroked="f"/>
        </w:pict>
      </w:r>
      <w:r>
        <w:rPr>
          <w:sz w:val="20"/>
          <w:szCs w:val="20"/>
        </w:rPr>
        <w:t>Central Africa was selected for deep-dive root cause analysis as the highest-delay region (58.7%). The chart below ranks the top 10 driver factors by delay percentage within this region.</w:t>
      </w:r>
    </w:p>
    <w:p w:rsidR="00AA0725" w:rsidRDefault="00031BFC">
      <w:pPr>
        <w:pBdr>
          <w:top w:val="nil"/>
          <w:left w:val="nil"/>
          <w:bottom w:val="nil"/>
          <w:right w:val="nil"/>
          <w:between w:val="nil"/>
        </w:pBdr>
        <w:spacing w:after="240" w:line="384" w:lineRule="auto"/>
        <w:ind w:left="600" w:right="600"/>
        <w:jc w:val="center"/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114300" distB="114300" distL="114300" distR="114300" wp14:anchorId="594AE830" wp14:editId="29BA7080">
            <wp:extent cx="5943600" cy="33909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A0725" w:rsidRDefault="00AA0725">
      <w:pPr>
        <w:rPr>
          <w:color w:val="0F1B2D"/>
        </w:rPr>
      </w:pPr>
    </w:p>
    <w:tbl>
      <w:tblPr>
        <w:tblStyle w:val="ae"/>
        <w:tblW w:w="1000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05"/>
      </w:tblGrid>
      <w:tr w:rsidR="00AA0725">
        <w:trPr>
          <w:trHeight w:val="330"/>
        </w:trPr>
        <w:tc>
          <w:tcPr>
            <w:tcW w:w="10005" w:type="dxa"/>
            <w:shd w:val="clear" w:color="auto" w:fill="0C343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0725" w:rsidRDefault="00AA0725">
            <w:pPr>
              <w:rPr>
                <w:color w:val="0F1B2D"/>
              </w:rPr>
            </w:pPr>
          </w:p>
        </w:tc>
      </w:tr>
    </w:tbl>
    <w:p w:rsidR="00AA0725" w:rsidRDefault="00AA0725">
      <w:pPr>
        <w:rPr>
          <w:b/>
          <w:bCs/>
          <w:sz w:val="20"/>
          <w:szCs w:val="20"/>
        </w:rPr>
      </w:pPr>
    </w:p>
    <w:p w:rsidR="00AA0725" w:rsidRDefault="00031BFC">
      <w:pPr>
        <w:pBdr>
          <w:top w:val="nil"/>
          <w:left w:val="nil"/>
          <w:bottom w:val="nil"/>
          <w:right w:val="nil"/>
          <w:between w:val="nil"/>
        </w:pBdr>
        <w:spacing w:before="225" w:after="330"/>
        <w:ind w:right="600"/>
        <w:rPr>
          <w:sz w:val="20"/>
          <w:szCs w:val="20"/>
        </w:rPr>
      </w:pPr>
      <w:r>
        <w:rPr>
          <w:b/>
          <w:bCs/>
          <w:color w:val="0C343D"/>
          <w:sz w:val="38"/>
          <w:szCs w:val="38"/>
        </w:rPr>
        <w:t>7. Time-Based Delay Patterns</w:t>
      </w:r>
      <w:r>
        <w:pict>
          <v:rect id="_x0000_i1032" style="width:0;height:1.5pt" o:hralign="center" o:hrstd="t" o:hr="t" fillcolor="#a0a0a0" stroked="f"/>
        </w:pict>
      </w:r>
      <w:r>
        <w:rPr>
          <w:sz w:val="20"/>
          <w:szCs w:val="20"/>
        </w:rPr>
        <w:t>Three temporal dimensions were analyzed</w:t>
      </w:r>
      <w:r>
        <w:rPr>
          <w:sz w:val="20"/>
          <w:szCs w:val="20"/>
        </w:rPr>
        <w:t>: month of year, day of week, and hour of day. While delay rates are relatively stable across all dimensions (53–57%), specific peaks highlight opportunities for targeted capacity planning.</w:t>
      </w:r>
    </w:p>
    <w:p w:rsidR="00AA0725" w:rsidRDefault="00AA0725">
      <w:pPr>
        <w:pBdr>
          <w:top w:val="nil"/>
          <w:left w:val="nil"/>
          <w:bottom w:val="nil"/>
          <w:right w:val="nil"/>
          <w:between w:val="nil"/>
        </w:pBdr>
        <w:spacing w:before="225" w:after="330"/>
        <w:ind w:right="600"/>
        <w:jc w:val="center"/>
        <w:rPr>
          <w:sz w:val="20"/>
          <w:szCs w:val="20"/>
        </w:rPr>
      </w:pPr>
    </w:p>
    <w:p w:rsidR="00AA0725" w:rsidRDefault="00031BFC">
      <w:pPr>
        <w:pBdr>
          <w:top w:val="nil"/>
          <w:left w:val="nil"/>
          <w:bottom w:val="nil"/>
          <w:right w:val="nil"/>
          <w:between w:val="nil"/>
        </w:pBdr>
        <w:spacing w:before="225" w:after="330"/>
        <w:ind w:right="600"/>
        <w:jc w:val="center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114300" distB="114300" distL="114300" distR="114300" wp14:anchorId="707AAA06" wp14:editId="2CD9ABFB">
            <wp:extent cx="6340225" cy="2295144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40225" cy="22951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A0725" w:rsidRDefault="00031BFC">
      <w:pPr>
        <w:pBdr>
          <w:top w:val="nil"/>
          <w:left w:val="nil"/>
          <w:bottom w:val="nil"/>
          <w:right w:val="nil"/>
          <w:between w:val="nil"/>
        </w:pBdr>
        <w:spacing w:after="300" w:line="384" w:lineRule="auto"/>
        <w:ind w:left="600" w:right="600"/>
        <w:jc w:val="center"/>
        <w:rPr>
          <w:i/>
          <w:iCs/>
          <w:color w:val="555555"/>
          <w:sz w:val="18"/>
          <w:szCs w:val="18"/>
        </w:rPr>
      </w:pPr>
      <w:r>
        <w:rPr>
          <w:i/>
          <w:iCs/>
          <w:color w:val="555555"/>
          <w:sz w:val="18"/>
          <w:szCs w:val="18"/>
        </w:rPr>
        <w:t>Figure 5: Delay % by Month (left), Day of Week (</w:t>
      </w:r>
      <w:proofErr w:type="spellStart"/>
      <w:r>
        <w:rPr>
          <w:i/>
          <w:iCs/>
          <w:color w:val="555555"/>
          <w:sz w:val="18"/>
          <w:szCs w:val="18"/>
        </w:rPr>
        <w:t>centre</w:t>
      </w:r>
      <w:proofErr w:type="spellEnd"/>
      <w:r>
        <w:rPr>
          <w:i/>
          <w:iCs/>
          <w:color w:val="555555"/>
          <w:sz w:val="18"/>
          <w:szCs w:val="18"/>
        </w:rPr>
        <w:t>), and Hour of Day (right) — red annotations mark the top 3 peaks in each dimension</w:t>
      </w:r>
    </w:p>
    <w:p w:rsidR="00AA0725" w:rsidRDefault="00AA0725">
      <w:pPr>
        <w:pBdr>
          <w:top w:val="nil"/>
          <w:left w:val="nil"/>
          <w:bottom w:val="nil"/>
          <w:right w:val="nil"/>
          <w:between w:val="nil"/>
        </w:pBdr>
        <w:spacing w:before="210" w:after="420"/>
        <w:ind w:right="870"/>
        <w:rPr>
          <w:i/>
          <w:iCs/>
          <w:color w:val="555555"/>
          <w:sz w:val="18"/>
          <w:szCs w:val="18"/>
        </w:rPr>
      </w:pPr>
    </w:p>
    <w:p w:rsidR="00AA0725" w:rsidRDefault="00AA0725">
      <w:pPr>
        <w:pBdr>
          <w:top w:val="nil"/>
          <w:left w:val="nil"/>
          <w:bottom w:val="nil"/>
          <w:right w:val="nil"/>
          <w:between w:val="nil"/>
        </w:pBdr>
        <w:spacing w:before="210" w:after="420"/>
        <w:ind w:right="870"/>
        <w:rPr>
          <w:i/>
          <w:iCs/>
          <w:color w:val="555555"/>
          <w:sz w:val="18"/>
          <w:szCs w:val="18"/>
        </w:rPr>
      </w:pPr>
    </w:p>
    <w:p w:rsidR="00AA0725" w:rsidRDefault="00AA0725">
      <w:pPr>
        <w:pBdr>
          <w:top w:val="nil"/>
          <w:left w:val="nil"/>
          <w:bottom w:val="nil"/>
          <w:right w:val="nil"/>
          <w:between w:val="nil"/>
        </w:pBdr>
        <w:spacing w:before="210" w:after="420"/>
        <w:ind w:right="870"/>
        <w:rPr>
          <w:i/>
          <w:iCs/>
          <w:color w:val="555555"/>
          <w:sz w:val="18"/>
          <w:szCs w:val="18"/>
        </w:rPr>
      </w:pPr>
    </w:p>
    <w:p w:rsidR="00AA0725" w:rsidRDefault="00AA0725">
      <w:pPr>
        <w:pBdr>
          <w:top w:val="nil"/>
          <w:left w:val="nil"/>
          <w:bottom w:val="nil"/>
          <w:right w:val="nil"/>
          <w:between w:val="nil"/>
        </w:pBdr>
        <w:spacing w:before="210" w:after="420"/>
        <w:ind w:right="870"/>
        <w:rPr>
          <w:i/>
          <w:iCs/>
          <w:color w:val="555555"/>
          <w:sz w:val="18"/>
          <w:szCs w:val="18"/>
        </w:rPr>
      </w:pPr>
    </w:p>
    <w:p w:rsidR="00AA0725" w:rsidRDefault="00AA0725">
      <w:pPr>
        <w:pBdr>
          <w:top w:val="nil"/>
          <w:left w:val="nil"/>
          <w:bottom w:val="nil"/>
          <w:right w:val="nil"/>
          <w:between w:val="nil"/>
        </w:pBdr>
        <w:spacing w:before="210" w:after="420"/>
        <w:ind w:right="870"/>
        <w:rPr>
          <w:color w:val="000000"/>
          <w:sz w:val="18"/>
          <w:szCs w:val="18"/>
        </w:rPr>
      </w:pPr>
    </w:p>
    <w:tbl>
      <w:tblPr>
        <w:tblStyle w:val="af"/>
        <w:tblW w:w="9360" w:type="dxa"/>
        <w:tblInd w:w="0" w:type="dxa"/>
        <w:tblBorders>
          <w:top w:val="single" w:sz="8" w:space="0" w:color="2E8B7A"/>
          <w:left w:val="single" w:sz="8" w:space="0" w:color="2E8B7A"/>
          <w:bottom w:val="single" w:sz="8" w:space="0" w:color="2E8B7A"/>
          <w:right w:val="single" w:sz="8" w:space="0" w:color="2E8B7A"/>
          <w:insideH w:val="single" w:sz="8" w:space="0" w:color="2E8B7A"/>
          <w:insideV w:val="single" w:sz="8" w:space="0" w:color="2E8B7A"/>
        </w:tblBorders>
        <w:tblLayout w:type="fixed"/>
        <w:tblLook w:val="0600" w:firstRow="0" w:lastRow="0" w:firstColumn="0" w:lastColumn="0" w:noHBand="1" w:noVBand="1"/>
      </w:tblPr>
      <w:tblGrid>
        <w:gridCol w:w="2475"/>
        <w:gridCol w:w="6885"/>
      </w:tblGrid>
      <w:tr w:rsidR="00AA0725">
        <w:trPr>
          <w:trHeight w:val="870"/>
        </w:trPr>
        <w:tc>
          <w:tcPr>
            <w:tcW w:w="2475" w:type="dxa"/>
            <w:tcBorders>
              <w:top w:val="single" w:sz="12" w:space="0" w:color="2E8B7A"/>
              <w:left w:val="single" w:sz="18" w:space="0" w:color="2E8B7A"/>
              <w:bottom w:val="single" w:sz="12" w:space="0" w:color="2E8B7A"/>
              <w:right w:val="single" w:sz="12" w:space="0" w:color="2E8B7A"/>
            </w:tcBorders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0725" w:rsidRDefault="00031B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● Peak Delay Months: August &amp; September (55.4%) and December (55.2%) </w:t>
            </w:r>
          </w:p>
        </w:tc>
        <w:tc>
          <w:tcPr>
            <w:tcW w:w="6885" w:type="dxa"/>
            <w:tcBorders>
              <w:top w:val="single" w:sz="12" w:space="0" w:color="2E8B7A"/>
              <w:left w:val="single" w:sz="12" w:space="0" w:color="2E8B7A"/>
              <w:bottom w:val="single" w:sz="12" w:space="0" w:color="2E8B7A"/>
              <w:right w:val="single" w:sz="12" w:space="0" w:color="2E8B7A"/>
            </w:tcBorders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0725" w:rsidRDefault="00031B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sz w:val="21"/>
                <w:szCs w:val="21"/>
              </w:rPr>
              <w:t>August and September are the highest months</w:t>
            </w:r>
            <w:r>
              <w:rPr>
                <w:sz w:val="21"/>
                <w:szCs w:val="21"/>
              </w:rPr>
              <w:t xml:space="preserve"> at 55.4%, with December close behind. These reflect mid-year promotions and Q4 holiday surge overwhelming fulfillment</w:t>
            </w:r>
            <w:r>
              <w:rPr>
                <w:sz w:val="21"/>
                <w:szCs w:val="21"/>
              </w:rPr>
              <w:t xml:space="preserve"> capacity. July represents a notable low-point (~53.75%), confirming seasonal variation is plannable. </w:t>
            </w:r>
          </w:p>
        </w:tc>
      </w:tr>
    </w:tbl>
    <w:p w:rsidR="00AA0725" w:rsidRDefault="00AA0725">
      <w:pPr>
        <w:spacing w:before="210" w:after="420"/>
        <w:ind w:right="870"/>
        <w:rPr>
          <w:color w:val="000000"/>
          <w:sz w:val="18"/>
          <w:szCs w:val="18"/>
        </w:rPr>
      </w:pPr>
    </w:p>
    <w:tbl>
      <w:tblPr>
        <w:tblStyle w:val="af0"/>
        <w:tblW w:w="9360" w:type="dxa"/>
        <w:tblInd w:w="0" w:type="dxa"/>
        <w:tblBorders>
          <w:top w:val="single" w:sz="8" w:space="0" w:color="2E8B7A"/>
          <w:left w:val="single" w:sz="8" w:space="0" w:color="2E8B7A"/>
          <w:bottom w:val="single" w:sz="8" w:space="0" w:color="2E8B7A"/>
          <w:right w:val="single" w:sz="8" w:space="0" w:color="2E8B7A"/>
          <w:insideH w:val="single" w:sz="8" w:space="0" w:color="2E8B7A"/>
          <w:insideV w:val="single" w:sz="8" w:space="0" w:color="2E8B7A"/>
        </w:tblBorders>
        <w:tblLayout w:type="fixed"/>
        <w:tblLook w:val="0600" w:firstRow="0" w:lastRow="0" w:firstColumn="0" w:lastColumn="0" w:noHBand="1" w:noVBand="1"/>
      </w:tblPr>
      <w:tblGrid>
        <w:gridCol w:w="2460"/>
        <w:gridCol w:w="6900"/>
      </w:tblGrid>
      <w:tr w:rsidR="00AA0725">
        <w:trPr>
          <w:trHeight w:val="1110"/>
        </w:trPr>
        <w:tc>
          <w:tcPr>
            <w:tcW w:w="2460" w:type="dxa"/>
            <w:tcBorders>
              <w:top w:val="single" w:sz="12" w:space="0" w:color="2E8B7A"/>
              <w:left w:val="single" w:sz="18" w:space="0" w:color="2E8B7A"/>
              <w:bottom w:val="single" w:sz="12" w:space="0" w:color="2E8B7A"/>
              <w:right w:val="single" w:sz="12" w:space="0" w:color="2E8B7A"/>
            </w:tcBorders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0725" w:rsidRDefault="00031BFC">
            <w:pPr>
              <w:rPr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● Day-of-Week Variance is Minimal </w:t>
            </w:r>
          </w:p>
        </w:tc>
        <w:tc>
          <w:tcPr>
            <w:tcW w:w="6900" w:type="dxa"/>
            <w:tcBorders>
              <w:top w:val="single" w:sz="12" w:space="0" w:color="2E8B7A"/>
              <w:left w:val="single" w:sz="12" w:space="0" w:color="2E8B7A"/>
              <w:bottom w:val="single" w:sz="12" w:space="0" w:color="2E8B7A"/>
              <w:right w:val="single" w:sz="12" w:space="0" w:color="2E8B7A"/>
            </w:tcBorders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0725" w:rsidRDefault="00031BFC">
            <w:pPr>
              <w:rPr>
                <w:color w:val="000000"/>
                <w:sz w:val="18"/>
                <w:szCs w:val="18"/>
              </w:rPr>
            </w:pPr>
            <w:r>
              <w:rPr>
                <w:sz w:val="21"/>
                <w:szCs w:val="21"/>
              </w:rPr>
              <w:t xml:space="preserve">Monday (55.5%) and Sunday (55.2%) are the peak days, but the spread across the week is less than 1 percentage point. Day-of-week is not a meaningful lever for operational intervention. </w:t>
            </w:r>
          </w:p>
        </w:tc>
      </w:tr>
    </w:tbl>
    <w:p w:rsidR="00AA0725" w:rsidRDefault="00AA0725">
      <w:pPr>
        <w:spacing w:before="210" w:after="420"/>
        <w:ind w:right="870"/>
        <w:rPr>
          <w:color w:val="000000"/>
          <w:sz w:val="18"/>
          <w:szCs w:val="18"/>
        </w:rPr>
      </w:pPr>
    </w:p>
    <w:tbl>
      <w:tblPr>
        <w:tblStyle w:val="af1"/>
        <w:tblW w:w="9360" w:type="dxa"/>
        <w:tblInd w:w="0" w:type="dxa"/>
        <w:tblBorders>
          <w:top w:val="single" w:sz="8" w:space="0" w:color="2E8B7A"/>
          <w:left w:val="single" w:sz="8" w:space="0" w:color="2E8B7A"/>
          <w:bottom w:val="single" w:sz="8" w:space="0" w:color="2E8B7A"/>
          <w:right w:val="single" w:sz="8" w:space="0" w:color="2E8B7A"/>
          <w:insideH w:val="single" w:sz="8" w:space="0" w:color="2E8B7A"/>
          <w:insideV w:val="single" w:sz="8" w:space="0" w:color="2E8B7A"/>
        </w:tblBorders>
        <w:tblLayout w:type="fixed"/>
        <w:tblLook w:val="0600" w:firstRow="0" w:lastRow="0" w:firstColumn="0" w:lastColumn="0" w:noHBand="1" w:noVBand="1"/>
      </w:tblPr>
      <w:tblGrid>
        <w:gridCol w:w="2460"/>
        <w:gridCol w:w="6900"/>
      </w:tblGrid>
      <w:tr w:rsidR="00AA0725">
        <w:trPr>
          <w:trHeight w:val="900"/>
        </w:trPr>
        <w:tc>
          <w:tcPr>
            <w:tcW w:w="2460" w:type="dxa"/>
            <w:tcBorders>
              <w:top w:val="single" w:sz="12" w:space="0" w:color="2E8B7A"/>
              <w:left w:val="single" w:sz="18" w:space="0" w:color="2E8B7A"/>
              <w:bottom w:val="single" w:sz="12" w:space="0" w:color="2E8B7A"/>
              <w:right w:val="single" w:sz="12" w:space="0" w:color="2E8B7A"/>
            </w:tcBorders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0725" w:rsidRDefault="00031BFC">
            <w:pPr>
              <w:rPr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 xml:space="preserve">● Intra-Day Peaks: Hour 21 (57.1%), Hour 11 (56.7%), Hour 12 (56.0%) </w:t>
            </w:r>
          </w:p>
        </w:tc>
        <w:tc>
          <w:tcPr>
            <w:tcW w:w="6900" w:type="dxa"/>
            <w:tcBorders>
              <w:top w:val="single" w:sz="12" w:space="0" w:color="2E8B7A"/>
              <w:left w:val="single" w:sz="12" w:space="0" w:color="2E8B7A"/>
              <w:bottom w:val="single" w:sz="12" w:space="0" w:color="2E8B7A"/>
              <w:right w:val="single" w:sz="12" w:space="0" w:color="2E8B7A"/>
            </w:tcBorders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0725" w:rsidRDefault="00031BFC">
            <w:pPr>
              <w:rPr>
                <w:color w:val="000000"/>
                <w:sz w:val="18"/>
                <w:szCs w:val="18"/>
              </w:rPr>
            </w:pPr>
            <w:r>
              <w:rPr>
                <w:sz w:val="21"/>
                <w:szCs w:val="21"/>
              </w:rPr>
              <w:t xml:space="preserve">Late-evening orders (hour 21) have the highest delay rate at 57.1%, likely reflecting processing cutoff windows. Midday peaks suggest bottlenecks during peak-volume hours. </w:t>
            </w:r>
          </w:p>
        </w:tc>
      </w:tr>
    </w:tbl>
    <w:p w:rsidR="00AA0725" w:rsidRDefault="00AA0725">
      <w:pPr>
        <w:pStyle w:val="Heading2"/>
        <w:spacing w:before="0" w:after="600"/>
        <w:ind w:right="600"/>
        <w:rPr>
          <w:sz w:val="20"/>
          <w:szCs w:val="20"/>
        </w:rPr>
      </w:pPr>
    </w:p>
    <w:p w:rsidR="00AA0725" w:rsidRDefault="00AA0725">
      <w:pPr>
        <w:rPr>
          <w:color w:val="0F1B2D"/>
        </w:rPr>
      </w:pPr>
    </w:p>
    <w:tbl>
      <w:tblPr>
        <w:tblStyle w:val="af2"/>
        <w:tblW w:w="1000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05"/>
      </w:tblGrid>
      <w:tr w:rsidR="00AA0725">
        <w:trPr>
          <w:trHeight w:val="330"/>
        </w:trPr>
        <w:tc>
          <w:tcPr>
            <w:tcW w:w="10005" w:type="dxa"/>
            <w:shd w:val="clear" w:color="auto" w:fill="0C343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0725" w:rsidRDefault="00AA0725">
            <w:pPr>
              <w:rPr>
                <w:color w:val="0F1B2D"/>
              </w:rPr>
            </w:pPr>
          </w:p>
        </w:tc>
      </w:tr>
    </w:tbl>
    <w:p w:rsidR="00AA0725" w:rsidRDefault="00AA0725"/>
    <w:p w:rsidR="00AA0725" w:rsidRDefault="00031BFC">
      <w:pPr>
        <w:pBdr>
          <w:top w:val="nil"/>
          <w:left w:val="nil"/>
          <w:bottom w:val="nil"/>
          <w:right w:val="nil"/>
          <w:between w:val="nil"/>
        </w:pBdr>
        <w:spacing w:before="225" w:after="330"/>
        <w:ind w:right="600"/>
        <w:rPr>
          <w:sz w:val="20"/>
          <w:szCs w:val="20"/>
        </w:rPr>
      </w:pPr>
      <w:r>
        <w:rPr>
          <w:b/>
          <w:bCs/>
          <w:color w:val="0C343D"/>
          <w:sz w:val="38"/>
          <w:szCs w:val="38"/>
        </w:rPr>
        <w:t>9. Strategic Recommendations</w:t>
      </w:r>
      <w:r>
        <w:pict>
          <v:rect id="_x0000_i1033" style="width:0;height:1.5pt" o:hralign="center" o:hrstd="t" o:hr="t" fillcolor="#a0a0a0" stroked="f"/>
        </w:pict>
      </w:r>
      <w:r>
        <w:rPr>
          <w:sz w:val="20"/>
          <w:szCs w:val="20"/>
        </w:rPr>
        <w:t xml:space="preserve">Based on the findings across all analytical dimensions, the following </w:t>
      </w:r>
      <w:proofErr w:type="spellStart"/>
      <w:r>
        <w:rPr>
          <w:sz w:val="20"/>
          <w:szCs w:val="20"/>
        </w:rPr>
        <w:t>prioritised</w:t>
      </w:r>
      <w:proofErr w:type="spellEnd"/>
      <w:r>
        <w:rPr>
          <w:sz w:val="20"/>
          <w:szCs w:val="20"/>
        </w:rPr>
        <w:t xml:space="preserve"> actions are recommended:</w:t>
      </w:r>
    </w:p>
    <w:tbl>
      <w:tblPr>
        <w:tblStyle w:val="af3"/>
        <w:tblW w:w="9690" w:type="dxa"/>
        <w:tblInd w:w="0" w:type="dxa"/>
        <w:tblBorders>
          <w:top w:val="single" w:sz="8" w:space="0" w:color="E0E0E0"/>
          <w:left w:val="single" w:sz="8" w:space="0" w:color="E0E0E0"/>
          <w:bottom w:val="single" w:sz="8" w:space="0" w:color="E0E0E0"/>
          <w:right w:val="single" w:sz="8" w:space="0" w:color="E0E0E0"/>
          <w:insideH w:val="single" w:sz="8" w:space="0" w:color="E0E0E0"/>
          <w:insideV w:val="single" w:sz="8" w:space="0" w:color="E0E0E0"/>
        </w:tblBorders>
        <w:tblLayout w:type="fixed"/>
        <w:tblLook w:val="0600" w:firstRow="0" w:lastRow="0" w:firstColumn="0" w:lastColumn="0" w:noHBand="1" w:noVBand="1"/>
      </w:tblPr>
      <w:tblGrid>
        <w:gridCol w:w="1905"/>
        <w:gridCol w:w="7785"/>
      </w:tblGrid>
      <w:tr w:rsidR="00AA0725">
        <w:trPr>
          <w:trHeight w:val="1380"/>
        </w:trPr>
        <w:tc>
          <w:tcPr>
            <w:tcW w:w="1905" w:type="dxa"/>
            <w:shd w:val="clear" w:color="auto" w:fill="B45F0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0725" w:rsidRDefault="00AA0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bCs/>
                <w:color w:val="FFFFFF"/>
                <w:sz w:val="19"/>
                <w:szCs w:val="19"/>
              </w:rPr>
            </w:pPr>
          </w:p>
          <w:p w:rsidR="00AA0725" w:rsidRDefault="00AA0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bCs/>
                <w:color w:val="FFFFFF"/>
                <w:sz w:val="19"/>
                <w:szCs w:val="19"/>
              </w:rPr>
            </w:pPr>
          </w:p>
          <w:p w:rsidR="00AA0725" w:rsidRDefault="00AA0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bCs/>
                <w:color w:val="FFFFFF"/>
                <w:sz w:val="19"/>
                <w:szCs w:val="19"/>
              </w:rPr>
            </w:pPr>
          </w:p>
          <w:p w:rsidR="00AA0725" w:rsidRDefault="00031B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CRITICAL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7785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0725" w:rsidRDefault="00031BFC">
            <w:pPr>
              <w:spacing w:after="80"/>
              <w:rPr>
                <w:b/>
                <w:bCs/>
                <w:color w:val="0F1B2D"/>
                <w:sz w:val="21"/>
                <w:szCs w:val="21"/>
              </w:rPr>
            </w:pPr>
            <w:r>
              <w:rPr>
                <w:b/>
                <w:bCs/>
                <w:color w:val="0F1B2D"/>
                <w:sz w:val="21"/>
                <w:szCs w:val="21"/>
              </w:rPr>
              <w:t>1. Immediately Audit First Class &amp; Second Class Shipping Capacity</w:t>
            </w:r>
          </w:p>
          <w:p w:rsidR="00AA0725" w:rsidRDefault="00031BFC">
            <w:pPr>
              <w:spacing w:line="372" w:lineRule="auto"/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 xml:space="preserve">First Class shipping has a 100% delay rate and Second Class 79.8%. These modes operate in complete contradiction to their brand promise. Conduct an immediate carrier SLA audit. Until resolved, consider suspending First Class or </w:t>
            </w:r>
            <w:proofErr w:type="spellStart"/>
            <w:r>
              <w:rPr>
                <w:color w:val="333333"/>
                <w:sz w:val="20"/>
                <w:szCs w:val="20"/>
              </w:rPr>
              <w:t>repricing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to reflect actual </w:t>
            </w:r>
            <w:r>
              <w:rPr>
                <w:color w:val="333333"/>
                <w:sz w:val="20"/>
                <w:szCs w:val="20"/>
              </w:rPr>
              <w:t>performance.</w:t>
            </w:r>
          </w:p>
        </w:tc>
      </w:tr>
    </w:tbl>
    <w:p w:rsidR="00AA0725" w:rsidRDefault="00AA0725">
      <w:pPr>
        <w:spacing w:before="225" w:after="330"/>
        <w:ind w:right="600"/>
        <w:rPr>
          <w:sz w:val="20"/>
          <w:szCs w:val="20"/>
        </w:rPr>
      </w:pPr>
    </w:p>
    <w:tbl>
      <w:tblPr>
        <w:tblStyle w:val="af4"/>
        <w:tblW w:w="9690" w:type="dxa"/>
        <w:tblInd w:w="0" w:type="dxa"/>
        <w:tblBorders>
          <w:top w:val="single" w:sz="8" w:space="0" w:color="E0E0E0"/>
          <w:left w:val="single" w:sz="8" w:space="0" w:color="E0E0E0"/>
          <w:bottom w:val="single" w:sz="8" w:space="0" w:color="E0E0E0"/>
          <w:right w:val="single" w:sz="8" w:space="0" w:color="E0E0E0"/>
          <w:insideH w:val="single" w:sz="8" w:space="0" w:color="E0E0E0"/>
          <w:insideV w:val="single" w:sz="8" w:space="0" w:color="E0E0E0"/>
        </w:tblBorders>
        <w:tblLayout w:type="fixed"/>
        <w:tblLook w:val="0600" w:firstRow="0" w:lastRow="0" w:firstColumn="0" w:lastColumn="0" w:noHBand="1" w:noVBand="1"/>
      </w:tblPr>
      <w:tblGrid>
        <w:gridCol w:w="2025"/>
        <w:gridCol w:w="7665"/>
      </w:tblGrid>
      <w:tr w:rsidR="00AA0725">
        <w:trPr>
          <w:trHeight w:val="870"/>
        </w:trPr>
        <w:tc>
          <w:tcPr>
            <w:tcW w:w="2025" w:type="dxa"/>
            <w:shd w:val="clear" w:color="auto" w:fill="8B000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0725" w:rsidRDefault="00AA0725">
            <w:pPr>
              <w:rPr>
                <w:b/>
                <w:bCs/>
                <w:color w:val="FFFFFF"/>
                <w:sz w:val="19"/>
                <w:szCs w:val="19"/>
              </w:rPr>
            </w:pPr>
          </w:p>
          <w:p w:rsidR="00AA0725" w:rsidRDefault="00AA0725">
            <w:pPr>
              <w:rPr>
                <w:b/>
                <w:bCs/>
                <w:color w:val="FFFFFF"/>
                <w:sz w:val="19"/>
                <w:szCs w:val="19"/>
              </w:rPr>
            </w:pPr>
          </w:p>
          <w:p w:rsidR="00AA0725" w:rsidRDefault="00AA0725">
            <w:pPr>
              <w:rPr>
                <w:b/>
                <w:bCs/>
                <w:color w:val="FFFFFF"/>
                <w:sz w:val="19"/>
                <w:szCs w:val="19"/>
              </w:rPr>
            </w:pPr>
          </w:p>
          <w:p w:rsidR="00AA0725" w:rsidRDefault="00031BFC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HIGH </w:t>
            </w:r>
          </w:p>
        </w:tc>
        <w:tc>
          <w:tcPr>
            <w:tcW w:w="7665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0725" w:rsidRDefault="00031BFC">
            <w:pPr>
              <w:spacing w:after="80"/>
              <w:rPr>
                <w:b/>
                <w:bCs/>
                <w:color w:val="0F1B2D"/>
                <w:sz w:val="21"/>
                <w:szCs w:val="21"/>
              </w:rPr>
            </w:pPr>
            <w:r>
              <w:rPr>
                <w:b/>
                <w:bCs/>
                <w:color w:val="0F1B2D"/>
                <w:sz w:val="21"/>
                <w:szCs w:val="21"/>
              </w:rPr>
              <w:t>3. Resolve Payment Processing Bottlenecks</w:t>
            </w:r>
          </w:p>
          <w:p w:rsidR="00AA0725" w:rsidRDefault="00031BFC">
            <w:pPr>
              <w:spacing w:line="372" w:lineRule="auto"/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Orders in PAYMENT_REVIEW (55.3% overall; 80.0% in Central Africa) and PENDING_PAYMENT (55.0%) have significantly elevated delay rates. Introduce automated escalation for stalled payment reviews exceeding 2 hours.</w:t>
            </w:r>
          </w:p>
        </w:tc>
      </w:tr>
    </w:tbl>
    <w:p w:rsidR="00AA0725" w:rsidRDefault="00AA0725">
      <w:pPr>
        <w:spacing w:before="225" w:after="330"/>
        <w:ind w:right="600"/>
        <w:rPr>
          <w:sz w:val="20"/>
          <w:szCs w:val="20"/>
        </w:rPr>
      </w:pPr>
    </w:p>
    <w:tbl>
      <w:tblPr>
        <w:tblStyle w:val="af5"/>
        <w:tblW w:w="9495" w:type="dxa"/>
        <w:tblInd w:w="0" w:type="dxa"/>
        <w:tblBorders>
          <w:top w:val="single" w:sz="8" w:space="0" w:color="E0E0E0"/>
          <w:left w:val="single" w:sz="8" w:space="0" w:color="E0E0E0"/>
          <w:bottom w:val="single" w:sz="8" w:space="0" w:color="E0E0E0"/>
          <w:right w:val="single" w:sz="8" w:space="0" w:color="E0E0E0"/>
          <w:insideH w:val="single" w:sz="8" w:space="0" w:color="E0E0E0"/>
          <w:insideV w:val="single" w:sz="8" w:space="0" w:color="E0E0E0"/>
        </w:tblBorders>
        <w:tblLayout w:type="fixed"/>
        <w:tblLook w:val="0600" w:firstRow="0" w:lastRow="0" w:firstColumn="0" w:lastColumn="0" w:noHBand="1" w:noVBand="1"/>
      </w:tblPr>
      <w:tblGrid>
        <w:gridCol w:w="2025"/>
        <w:gridCol w:w="7470"/>
      </w:tblGrid>
      <w:tr w:rsidR="00AA0725">
        <w:trPr>
          <w:trHeight w:val="870"/>
        </w:trPr>
        <w:tc>
          <w:tcPr>
            <w:tcW w:w="2025" w:type="dxa"/>
            <w:shd w:val="clear" w:color="auto" w:fill="2E8B7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0725" w:rsidRDefault="00AA0725">
            <w:pPr>
              <w:rPr>
                <w:b/>
                <w:bCs/>
                <w:color w:val="FFFFFF"/>
                <w:sz w:val="19"/>
                <w:szCs w:val="19"/>
              </w:rPr>
            </w:pPr>
          </w:p>
          <w:p w:rsidR="00AA0725" w:rsidRDefault="00AA0725">
            <w:pPr>
              <w:rPr>
                <w:b/>
                <w:bCs/>
                <w:color w:val="FFFFFF"/>
                <w:sz w:val="19"/>
                <w:szCs w:val="19"/>
              </w:rPr>
            </w:pPr>
          </w:p>
          <w:p w:rsidR="00AA0725" w:rsidRDefault="00AA0725">
            <w:pPr>
              <w:rPr>
                <w:b/>
                <w:bCs/>
                <w:color w:val="FFFFFF"/>
                <w:sz w:val="19"/>
                <w:szCs w:val="19"/>
              </w:rPr>
            </w:pPr>
          </w:p>
          <w:p w:rsidR="00AA0725" w:rsidRDefault="00031BFC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MEDIUM </w:t>
            </w:r>
          </w:p>
        </w:tc>
        <w:tc>
          <w:tcPr>
            <w:tcW w:w="7470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0725" w:rsidRDefault="00031BFC">
            <w:pPr>
              <w:spacing w:after="80"/>
              <w:rPr>
                <w:b/>
                <w:bCs/>
                <w:color w:val="0F1B2D"/>
                <w:sz w:val="21"/>
                <w:szCs w:val="21"/>
              </w:rPr>
            </w:pPr>
            <w:r>
              <w:rPr>
                <w:b/>
                <w:bCs/>
                <w:color w:val="0F1B2D"/>
                <w:sz w:val="21"/>
                <w:szCs w:val="21"/>
              </w:rPr>
              <w:t>4. Develop Seasonal Surge Capacity Plans</w:t>
            </w:r>
          </w:p>
          <w:p w:rsidR="00AA0725" w:rsidRDefault="00031BFC">
            <w:pPr>
              <w:spacing w:line="372" w:lineRule="auto"/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August, October (55.4%), and December (55.2%) are peak delay months. Build pre-season capacity plans including temporary logistics partnerships, inventory pre-positioning, and adjusted delivery promise windows.</w:t>
            </w:r>
          </w:p>
        </w:tc>
      </w:tr>
    </w:tbl>
    <w:p w:rsidR="00AA0725" w:rsidRDefault="00AA0725">
      <w:pPr>
        <w:spacing w:before="225" w:after="330"/>
        <w:ind w:right="600"/>
        <w:rPr>
          <w:sz w:val="20"/>
          <w:szCs w:val="20"/>
        </w:rPr>
      </w:pPr>
    </w:p>
    <w:p w:rsidR="00AA0725" w:rsidRDefault="00AA0725">
      <w:pPr>
        <w:spacing w:before="225" w:after="330"/>
        <w:ind w:right="600"/>
        <w:rPr>
          <w:sz w:val="20"/>
          <w:szCs w:val="20"/>
        </w:rPr>
      </w:pPr>
    </w:p>
    <w:tbl>
      <w:tblPr>
        <w:tblStyle w:val="af6"/>
        <w:tblW w:w="9510" w:type="dxa"/>
        <w:tblInd w:w="0" w:type="dxa"/>
        <w:tblBorders>
          <w:top w:val="single" w:sz="8" w:space="0" w:color="E0E0E0"/>
          <w:left w:val="single" w:sz="8" w:space="0" w:color="E0E0E0"/>
          <w:bottom w:val="single" w:sz="8" w:space="0" w:color="E0E0E0"/>
          <w:right w:val="single" w:sz="8" w:space="0" w:color="E0E0E0"/>
          <w:insideH w:val="single" w:sz="8" w:space="0" w:color="E0E0E0"/>
          <w:insideV w:val="single" w:sz="8" w:space="0" w:color="E0E0E0"/>
        </w:tblBorders>
        <w:tblLayout w:type="fixed"/>
        <w:tblLook w:val="0600" w:firstRow="0" w:lastRow="0" w:firstColumn="0" w:lastColumn="0" w:noHBand="1" w:noVBand="1"/>
      </w:tblPr>
      <w:tblGrid>
        <w:gridCol w:w="2025"/>
        <w:gridCol w:w="7485"/>
      </w:tblGrid>
      <w:tr w:rsidR="00AA0725">
        <w:trPr>
          <w:trHeight w:val="870"/>
        </w:trPr>
        <w:tc>
          <w:tcPr>
            <w:tcW w:w="2025" w:type="dxa"/>
            <w:shd w:val="clear" w:color="auto" w:fill="2E8B7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0725" w:rsidRDefault="00AA0725">
            <w:pPr>
              <w:rPr>
                <w:b/>
                <w:bCs/>
                <w:color w:val="FFFFFF"/>
                <w:sz w:val="19"/>
                <w:szCs w:val="19"/>
              </w:rPr>
            </w:pPr>
          </w:p>
          <w:p w:rsidR="00AA0725" w:rsidRDefault="00AA0725">
            <w:pPr>
              <w:rPr>
                <w:b/>
                <w:bCs/>
                <w:color w:val="FFFFFF"/>
                <w:sz w:val="19"/>
                <w:szCs w:val="19"/>
              </w:rPr>
            </w:pPr>
          </w:p>
          <w:p w:rsidR="00AA0725" w:rsidRDefault="00AA0725">
            <w:pPr>
              <w:rPr>
                <w:b/>
                <w:bCs/>
                <w:color w:val="FFFFFF"/>
                <w:sz w:val="19"/>
                <w:szCs w:val="19"/>
              </w:rPr>
            </w:pPr>
          </w:p>
          <w:p w:rsidR="00AA0725" w:rsidRDefault="00031BFC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MEDIUM </w:t>
            </w:r>
          </w:p>
        </w:tc>
        <w:tc>
          <w:tcPr>
            <w:tcW w:w="7485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0725" w:rsidRDefault="00031BFC">
            <w:pPr>
              <w:spacing w:after="80"/>
              <w:rPr>
                <w:b/>
                <w:bCs/>
                <w:color w:val="0F1B2D"/>
                <w:sz w:val="21"/>
                <w:szCs w:val="21"/>
              </w:rPr>
            </w:pPr>
            <w:r>
              <w:rPr>
                <w:b/>
                <w:bCs/>
                <w:color w:val="0F1B2D"/>
                <w:sz w:val="21"/>
                <w:szCs w:val="21"/>
              </w:rPr>
              <w:t>5. Default to Standard Class for Eligible Orders</w:t>
            </w:r>
          </w:p>
          <w:p w:rsidR="00AA0725" w:rsidRDefault="00031BFC">
            <w:pPr>
              <w:spacing w:line="372" w:lineRule="auto"/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Standard Class achieves a 39.8% delay rate — far superior to First and Second Class. Re-evaluate shipping mode assignment logic to default eligible orders to Standard Class, particularly in regions</w:t>
            </w:r>
            <w:r>
              <w:rPr>
                <w:color w:val="333333"/>
                <w:sz w:val="20"/>
                <w:szCs w:val="20"/>
              </w:rPr>
              <w:t xml:space="preserve"> and departments with poor premium mode performance.</w:t>
            </w:r>
          </w:p>
        </w:tc>
      </w:tr>
    </w:tbl>
    <w:p w:rsidR="00AA0725" w:rsidRDefault="00AA0725">
      <w:pPr>
        <w:spacing w:before="225" w:after="330"/>
        <w:ind w:right="600"/>
        <w:rPr>
          <w:sz w:val="20"/>
          <w:szCs w:val="20"/>
        </w:rPr>
      </w:pPr>
    </w:p>
    <w:tbl>
      <w:tblPr>
        <w:tblStyle w:val="af7"/>
        <w:tblW w:w="9495" w:type="dxa"/>
        <w:tblInd w:w="0" w:type="dxa"/>
        <w:tblBorders>
          <w:top w:val="single" w:sz="8" w:space="0" w:color="E0E0E0"/>
          <w:left w:val="single" w:sz="8" w:space="0" w:color="E0E0E0"/>
          <w:bottom w:val="single" w:sz="8" w:space="0" w:color="E0E0E0"/>
          <w:right w:val="single" w:sz="8" w:space="0" w:color="E0E0E0"/>
          <w:insideH w:val="single" w:sz="8" w:space="0" w:color="E0E0E0"/>
          <w:insideV w:val="single" w:sz="8" w:space="0" w:color="E0E0E0"/>
        </w:tblBorders>
        <w:tblLayout w:type="fixed"/>
        <w:tblLook w:val="0600" w:firstRow="0" w:lastRow="0" w:firstColumn="0" w:lastColumn="0" w:noHBand="1" w:noVBand="1"/>
      </w:tblPr>
      <w:tblGrid>
        <w:gridCol w:w="2025"/>
        <w:gridCol w:w="7470"/>
      </w:tblGrid>
      <w:tr w:rsidR="00AA0725">
        <w:trPr>
          <w:trHeight w:val="870"/>
        </w:trPr>
        <w:tc>
          <w:tcPr>
            <w:tcW w:w="2025" w:type="dxa"/>
            <w:shd w:val="clear" w:color="auto" w:fill="2E8B7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0725" w:rsidRDefault="00AA0725">
            <w:pPr>
              <w:rPr>
                <w:b/>
                <w:bCs/>
                <w:color w:val="FFFFFF"/>
                <w:sz w:val="19"/>
                <w:szCs w:val="19"/>
              </w:rPr>
            </w:pPr>
          </w:p>
          <w:p w:rsidR="00AA0725" w:rsidRDefault="00AA0725">
            <w:pPr>
              <w:rPr>
                <w:b/>
                <w:bCs/>
                <w:color w:val="FFFFFF"/>
                <w:sz w:val="19"/>
                <w:szCs w:val="19"/>
              </w:rPr>
            </w:pPr>
          </w:p>
          <w:p w:rsidR="00AA0725" w:rsidRDefault="00AA0725">
            <w:pPr>
              <w:rPr>
                <w:b/>
                <w:bCs/>
                <w:color w:val="FFFFFF"/>
                <w:sz w:val="19"/>
                <w:szCs w:val="19"/>
              </w:rPr>
            </w:pPr>
          </w:p>
          <w:p w:rsidR="00AA0725" w:rsidRDefault="00031BFC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MEDIUM </w:t>
            </w:r>
          </w:p>
        </w:tc>
        <w:tc>
          <w:tcPr>
            <w:tcW w:w="7470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0725" w:rsidRDefault="00031BFC">
            <w:pPr>
              <w:spacing w:after="80"/>
              <w:rPr>
                <w:b/>
                <w:bCs/>
                <w:color w:val="0F1B2D"/>
                <w:sz w:val="21"/>
                <w:szCs w:val="21"/>
              </w:rPr>
            </w:pPr>
            <w:r>
              <w:rPr>
                <w:b/>
                <w:bCs/>
                <w:color w:val="0F1B2D"/>
                <w:sz w:val="21"/>
                <w:szCs w:val="21"/>
              </w:rPr>
              <w:t>6. Investigate High-Delay Departments in Africa</w:t>
            </w:r>
          </w:p>
          <w:p w:rsidR="00AA0725" w:rsidRDefault="00031BFC">
            <w:pPr>
              <w:spacing w:line="372" w:lineRule="auto"/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Outdoors (61.3%) and Golf (60.8%) in Central Africa show significantly elevated delay rates. Conduct a warehouse-level audit of stock availability, pick-and-pack times, and carrier assignment for these product categories.</w:t>
            </w:r>
          </w:p>
        </w:tc>
      </w:tr>
    </w:tbl>
    <w:p w:rsidR="00AA0725" w:rsidRDefault="00AA0725">
      <w:pPr>
        <w:spacing w:before="225" w:after="330"/>
        <w:ind w:right="600"/>
        <w:rPr>
          <w:sz w:val="20"/>
          <w:szCs w:val="20"/>
        </w:rPr>
      </w:pPr>
    </w:p>
    <w:tbl>
      <w:tblPr>
        <w:tblStyle w:val="af8"/>
        <w:tblW w:w="9480" w:type="dxa"/>
        <w:tblInd w:w="0" w:type="dxa"/>
        <w:tblBorders>
          <w:top w:val="single" w:sz="8" w:space="0" w:color="E0E0E0"/>
          <w:left w:val="single" w:sz="8" w:space="0" w:color="E0E0E0"/>
          <w:bottom w:val="single" w:sz="8" w:space="0" w:color="E0E0E0"/>
          <w:right w:val="single" w:sz="8" w:space="0" w:color="E0E0E0"/>
          <w:insideH w:val="single" w:sz="8" w:space="0" w:color="E0E0E0"/>
          <w:insideV w:val="single" w:sz="8" w:space="0" w:color="E0E0E0"/>
        </w:tblBorders>
        <w:tblLayout w:type="fixed"/>
        <w:tblLook w:val="0600" w:firstRow="0" w:lastRow="0" w:firstColumn="0" w:lastColumn="0" w:noHBand="1" w:noVBand="1"/>
      </w:tblPr>
      <w:tblGrid>
        <w:gridCol w:w="2025"/>
        <w:gridCol w:w="7455"/>
      </w:tblGrid>
      <w:tr w:rsidR="00AA0725">
        <w:trPr>
          <w:trHeight w:val="870"/>
        </w:trPr>
        <w:tc>
          <w:tcPr>
            <w:tcW w:w="2025" w:type="dxa"/>
            <w:shd w:val="clear" w:color="auto" w:fill="0F1B2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0725" w:rsidRDefault="00AA0725">
            <w:pPr>
              <w:rPr>
                <w:b/>
                <w:bCs/>
                <w:color w:val="FFFFFF"/>
                <w:sz w:val="19"/>
                <w:szCs w:val="19"/>
              </w:rPr>
            </w:pPr>
          </w:p>
          <w:p w:rsidR="00AA0725" w:rsidRDefault="00AA0725">
            <w:pPr>
              <w:rPr>
                <w:b/>
                <w:bCs/>
                <w:color w:val="FFFFFF"/>
                <w:sz w:val="19"/>
                <w:szCs w:val="19"/>
              </w:rPr>
            </w:pPr>
          </w:p>
          <w:p w:rsidR="00AA0725" w:rsidRDefault="00AA0725">
            <w:pPr>
              <w:rPr>
                <w:b/>
                <w:bCs/>
                <w:color w:val="FFFFFF"/>
                <w:sz w:val="19"/>
                <w:szCs w:val="19"/>
              </w:rPr>
            </w:pPr>
          </w:p>
          <w:p w:rsidR="00AA0725" w:rsidRDefault="00031BFC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>LOW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7455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0725" w:rsidRDefault="00031BFC">
            <w:pPr>
              <w:spacing w:after="80"/>
              <w:rPr>
                <w:b/>
                <w:bCs/>
                <w:color w:val="0F1B2D"/>
                <w:sz w:val="21"/>
                <w:szCs w:val="21"/>
              </w:rPr>
            </w:pPr>
            <w:r>
              <w:rPr>
                <w:b/>
                <w:bCs/>
                <w:color w:val="0F1B2D"/>
                <w:sz w:val="21"/>
                <w:szCs w:val="21"/>
              </w:rPr>
              <w:t>7. Reduce Loss-Making Order Share (18.7%)</w:t>
            </w:r>
          </w:p>
          <w:p w:rsidR="00AA0725" w:rsidRDefault="00031BFC">
            <w:pPr>
              <w:spacing w:line="372" w:lineRule="auto"/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The 18.7% loss-making order share warrants a separate pricing and discount review. Combine with delay analysis to identify whether discounted orders are disproportionately late, creating a compounded margin problem</w:t>
            </w:r>
            <w:r>
              <w:rPr>
                <w:color w:val="333333"/>
                <w:sz w:val="20"/>
                <w:szCs w:val="20"/>
              </w:rPr>
              <w:t>.</w:t>
            </w:r>
          </w:p>
        </w:tc>
      </w:tr>
    </w:tbl>
    <w:p w:rsidR="00AA0725" w:rsidRDefault="00AA0725">
      <w:pPr>
        <w:pStyle w:val="Heading2"/>
        <w:spacing w:before="0" w:after="600"/>
        <w:ind w:right="600"/>
        <w:rPr>
          <w:color w:val="333333"/>
          <w:sz w:val="20"/>
          <w:szCs w:val="20"/>
          <w:shd w:val="clear" w:color="auto" w:fill="F9FAFC"/>
        </w:rPr>
      </w:pPr>
    </w:p>
    <w:p w:rsidR="00AA0725" w:rsidRDefault="00AA0725">
      <w:pPr>
        <w:rPr>
          <w:color w:val="0F1B2D"/>
        </w:rPr>
      </w:pPr>
    </w:p>
    <w:tbl>
      <w:tblPr>
        <w:tblStyle w:val="af9"/>
        <w:tblW w:w="1000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05"/>
      </w:tblGrid>
      <w:tr w:rsidR="00AA0725">
        <w:trPr>
          <w:trHeight w:val="330"/>
        </w:trPr>
        <w:tc>
          <w:tcPr>
            <w:tcW w:w="10005" w:type="dxa"/>
            <w:shd w:val="clear" w:color="auto" w:fill="0C343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0725" w:rsidRDefault="00AA0725">
            <w:pPr>
              <w:rPr>
                <w:color w:val="0F1B2D"/>
              </w:rPr>
            </w:pPr>
          </w:p>
        </w:tc>
      </w:tr>
    </w:tbl>
    <w:p w:rsidR="00AA0725" w:rsidRDefault="00AA0725">
      <w:pPr>
        <w:pBdr>
          <w:top w:val="nil"/>
          <w:left w:val="nil"/>
          <w:bottom w:val="nil"/>
          <w:right w:val="nil"/>
          <w:between w:val="nil"/>
        </w:pBdr>
        <w:spacing w:before="225" w:after="330"/>
        <w:ind w:right="600"/>
        <w:rPr>
          <w:color w:val="0F1B2D"/>
        </w:rPr>
      </w:pPr>
    </w:p>
    <w:p w:rsidR="00AA0725" w:rsidRDefault="00031BFC">
      <w:pPr>
        <w:pBdr>
          <w:top w:val="nil"/>
          <w:left w:val="nil"/>
          <w:bottom w:val="nil"/>
          <w:right w:val="nil"/>
          <w:between w:val="nil"/>
        </w:pBdr>
        <w:spacing w:before="225" w:after="330"/>
        <w:ind w:right="600"/>
        <w:rPr>
          <w:sz w:val="20"/>
          <w:szCs w:val="20"/>
        </w:rPr>
      </w:pPr>
      <w:r>
        <w:rPr>
          <w:b/>
          <w:bCs/>
          <w:color w:val="0C343D"/>
          <w:sz w:val="38"/>
          <w:szCs w:val="38"/>
        </w:rPr>
        <w:t>10. Conclusion</w:t>
      </w:r>
      <w:r>
        <w:pict>
          <v:rect id="_x0000_i1034" style="width:0;height:1.5pt" o:hralign="center" o:hrstd="t" o:hr="t" fillcolor="#a0a0a0" stroked="f"/>
        </w:pict>
      </w:r>
      <w:r>
        <w:rPr>
          <w:sz w:val="20"/>
          <w:szCs w:val="20"/>
        </w:rPr>
        <w:t>This analysis has surfaced a clear and urgent picture: a global e-commerce operation where the majority of orders (54.71%) fail to meet their promised delivery windows, costing $2.1M in at-risk profit and undermining customer trust at scale.</w:t>
      </w:r>
    </w:p>
    <w:p w:rsidR="00AA0725" w:rsidRDefault="00031BFC">
      <w:pPr>
        <w:pBdr>
          <w:top w:val="nil"/>
          <w:left w:val="nil"/>
          <w:bottom w:val="nil"/>
          <w:right w:val="nil"/>
          <w:between w:val="nil"/>
        </w:pBdr>
        <w:spacing w:after="180" w:line="384" w:lineRule="auto"/>
        <w:ind w:right="600"/>
        <w:rPr>
          <w:sz w:val="20"/>
          <w:szCs w:val="20"/>
        </w:rPr>
      </w:pPr>
      <w:r>
        <w:rPr>
          <w:sz w:val="20"/>
          <w:szCs w:val="20"/>
        </w:rPr>
        <w:t>The root cause</w:t>
      </w:r>
      <w:r>
        <w:rPr>
          <w:sz w:val="20"/>
          <w:szCs w:val="20"/>
        </w:rPr>
        <w:t xml:space="preserve">s are identifiable and addressable. Shipping mode misconfiguration (First Class at 100% late, Second Class at 79.8%) is the dominant operational failure. Payment processing friction creates a secondary bottleneck. Seasonal volume spikes are not adequately </w:t>
      </w:r>
      <w:r>
        <w:rPr>
          <w:sz w:val="20"/>
          <w:szCs w:val="20"/>
        </w:rPr>
        <w:t>planned for. And geographic disparities, while present, are secondary to the systemic company-wide pattern.</w:t>
      </w:r>
    </w:p>
    <w:tbl>
      <w:tblPr>
        <w:tblStyle w:val="afa"/>
        <w:tblW w:w="9840" w:type="dxa"/>
        <w:tblInd w:w="-330" w:type="dxa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  <w:insideH w:val="single" w:sz="6" w:space="0" w:color="E0E0E0"/>
          <w:insideV w:val="single" w:sz="6" w:space="0" w:color="E0E0E0"/>
        </w:tblBorders>
        <w:tblLayout w:type="fixed"/>
        <w:tblLook w:val="0600" w:firstRow="0" w:lastRow="0" w:firstColumn="0" w:lastColumn="0" w:noHBand="1" w:noVBand="1"/>
      </w:tblPr>
      <w:tblGrid>
        <w:gridCol w:w="3645"/>
        <w:gridCol w:w="2715"/>
        <w:gridCol w:w="3480"/>
      </w:tblGrid>
      <w:tr w:rsidR="00AA0725">
        <w:trPr>
          <w:tblHeader/>
        </w:trPr>
        <w:tc>
          <w:tcPr>
            <w:tcW w:w="3645" w:type="dxa"/>
            <w:shd w:val="clear" w:color="auto" w:fill="0F1B2D"/>
            <w:tcMar>
              <w:top w:w="150" w:type="dxa"/>
              <w:left w:w="240" w:type="dxa"/>
              <w:bottom w:w="150" w:type="dxa"/>
              <w:right w:w="240" w:type="dxa"/>
            </w:tcMar>
          </w:tcPr>
          <w:p w:rsidR="00AA0725" w:rsidRDefault="00031B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lastRenderedPageBreak/>
              <w:t>Priority Area</w:t>
            </w:r>
          </w:p>
        </w:tc>
        <w:tc>
          <w:tcPr>
            <w:tcW w:w="2715" w:type="dxa"/>
            <w:shd w:val="clear" w:color="auto" w:fill="0F1B2D"/>
            <w:tcMar>
              <w:top w:w="150" w:type="dxa"/>
              <w:left w:w="240" w:type="dxa"/>
              <w:bottom w:w="150" w:type="dxa"/>
              <w:right w:w="240" w:type="dxa"/>
            </w:tcMar>
          </w:tcPr>
          <w:p w:rsidR="00AA0725" w:rsidRDefault="00031B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Current State</w:t>
            </w:r>
          </w:p>
        </w:tc>
        <w:tc>
          <w:tcPr>
            <w:tcW w:w="3480" w:type="dxa"/>
            <w:shd w:val="clear" w:color="auto" w:fill="0F1B2D"/>
            <w:tcMar>
              <w:top w:w="150" w:type="dxa"/>
              <w:left w:w="240" w:type="dxa"/>
              <w:bottom w:w="150" w:type="dxa"/>
              <w:right w:w="240" w:type="dxa"/>
            </w:tcMar>
          </w:tcPr>
          <w:p w:rsidR="00AA0725" w:rsidRDefault="00031B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Target State</w:t>
            </w:r>
          </w:p>
          <w:p w:rsidR="00AA0725" w:rsidRDefault="00031B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00" w:right="600"/>
            </w:pPr>
            <w:r>
              <w:t xml:space="preserve"> </w:t>
            </w:r>
          </w:p>
        </w:tc>
      </w:tr>
      <w:tr w:rsidR="00AA0725">
        <w:tc>
          <w:tcPr>
            <w:tcW w:w="3645" w:type="dxa"/>
            <w:tcBorders>
              <w:bottom w:val="single" w:sz="6" w:space="0" w:color="E0E0E0"/>
            </w:tcBorders>
            <w:shd w:val="clear" w:color="auto" w:fill="FFFFFF"/>
            <w:tcMar>
              <w:top w:w="135" w:type="dxa"/>
              <w:left w:w="240" w:type="dxa"/>
              <w:bottom w:w="135" w:type="dxa"/>
              <w:right w:w="240" w:type="dxa"/>
            </w:tcMar>
          </w:tcPr>
          <w:p w:rsidR="00AA0725" w:rsidRDefault="00031B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 w:after="13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Late Delivery Rate</w:t>
            </w:r>
          </w:p>
        </w:tc>
        <w:tc>
          <w:tcPr>
            <w:tcW w:w="2715" w:type="dxa"/>
            <w:tcBorders>
              <w:bottom w:val="single" w:sz="6" w:space="0" w:color="E0E0E0"/>
            </w:tcBorders>
            <w:shd w:val="clear" w:color="auto" w:fill="FFFFFF"/>
            <w:tcMar>
              <w:top w:w="135" w:type="dxa"/>
              <w:left w:w="240" w:type="dxa"/>
              <w:bottom w:w="135" w:type="dxa"/>
              <w:right w:w="240" w:type="dxa"/>
            </w:tcMar>
          </w:tcPr>
          <w:p w:rsidR="00AA0725" w:rsidRDefault="00031B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 w:after="13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54.71%</w:t>
            </w:r>
          </w:p>
        </w:tc>
        <w:tc>
          <w:tcPr>
            <w:tcW w:w="3480" w:type="dxa"/>
            <w:tcBorders>
              <w:bottom w:val="single" w:sz="6" w:space="0" w:color="E0E0E0"/>
            </w:tcBorders>
            <w:shd w:val="clear" w:color="auto" w:fill="FFFFFF"/>
            <w:tcMar>
              <w:top w:w="135" w:type="dxa"/>
              <w:left w:w="240" w:type="dxa"/>
              <w:bottom w:w="135" w:type="dxa"/>
              <w:right w:w="240" w:type="dxa"/>
            </w:tcMar>
          </w:tcPr>
          <w:p w:rsidR="00AA0725" w:rsidRDefault="00031B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 w:after="135"/>
              <w:rPr>
                <w:color w:val="2E8B7A"/>
                <w:sz w:val="20"/>
                <w:szCs w:val="20"/>
              </w:rPr>
            </w:pPr>
            <w:r>
              <w:rPr>
                <w:color w:val="2E8B7A"/>
                <w:sz w:val="20"/>
                <w:szCs w:val="20"/>
              </w:rPr>
              <w:t>&lt; 30% within 12 months</w:t>
            </w:r>
          </w:p>
        </w:tc>
      </w:tr>
      <w:tr w:rsidR="00AA0725">
        <w:tc>
          <w:tcPr>
            <w:tcW w:w="3645" w:type="dxa"/>
            <w:tcBorders>
              <w:bottom w:val="single" w:sz="6" w:space="0" w:color="E0E0E0"/>
            </w:tcBorders>
            <w:shd w:val="clear" w:color="auto" w:fill="FFFFFF"/>
            <w:tcMar>
              <w:top w:w="135" w:type="dxa"/>
              <w:left w:w="240" w:type="dxa"/>
              <w:bottom w:w="135" w:type="dxa"/>
              <w:right w:w="240" w:type="dxa"/>
            </w:tcMar>
          </w:tcPr>
          <w:p w:rsidR="00AA0725" w:rsidRDefault="00031B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 w:after="13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First Class On-Time Rate</w:t>
            </w:r>
          </w:p>
        </w:tc>
        <w:tc>
          <w:tcPr>
            <w:tcW w:w="2715" w:type="dxa"/>
            <w:tcBorders>
              <w:bottom w:val="single" w:sz="6" w:space="0" w:color="E0E0E0"/>
            </w:tcBorders>
            <w:shd w:val="clear" w:color="auto" w:fill="FFFFFF"/>
            <w:tcMar>
              <w:top w:w="135" w:type="dxa"/>
              <w:left w:w="240" w:type="dxa"/>
              <w:bottom w:w="135" w:type="dxa"/>
              <w:right w:w="240" w:type="dxa"/>
            </w:tcMar>
          </w:tcPr>
          <w:p w:rsidR="00AA0725" w:rsidRDefault="00031B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 w:after="13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0%</w:t>
            </w:r>
          </w:p>
        </w:tc>
        <w:tc>
          <w:tcPr>
            <w:tcW w:w="3480" w:type="dxa"/>
            <w:tcBorders>
              <w:bottom w:val="single" w:sz="6" w:space="0" w:color="E0E0E0"/>
            </w:tcBorders>
            <w:shd w:val="clear" w:color="auto" w:fill="FFFFFF"/>
            <w:tcMar>
              <w:top w:w="135" w:type="dxa"/>
              <w:left w:w="240" w:type="dxa"/>
              <w:bottom w:w="135" w:type="dxa"/>
              <w:right w:w="240" w:type="dxa"/>
            </w:tcMar>
          </w:tcPr>
          <w:p w:rsidR="00AA0725" w:rsidRDefault="00031B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 w:after="135"/>
              <w:rPr>
                <w:color w:val="2E8B7A"/>
                <w:sz w:val="20"/>
                <w:szCs w:val="20"/>
              </w:rPr>
            </w:pPr>
            <w:r>
              <w:rPr>
                <w:color w:val="2E8B7A"/>
                <w:sz w:val="20"/>
                <w:szCs w:val="20"/>
              </w:rPr>
              <w:t>&gt; 80%</w:t>
            </w:r>
          </w:p>
        </w:tc>
      </w:tr>
      <w:tr w:rsidR="00AA0725">
        <w:tc>
          <w:tcPr>
            <w:tcW w:w="3645" w:type="dxa"/>
            <w:tcBorders>
              <w:bottom w:val="single" w:sz="6" w:space="0" w:color="E0E0E0"/>
            </w:tcBorders>
            <w:shd w:val="clear" w:color="auto" w:fill="FFFFFF"/>
            <w:tcMar>
              <w:top w:w="135" w:type="dxa"/>
              <w:left w:w="240" w:type="dxa"/>
              <w:bottom w:w="135" w:type="dxa"/>
              <w:right w:w="240" w:type="dxa"/>
            </w:tcMar>
          </w:tcPr>
          <w:p w:rsidR="00AA0725" w:rsidRDefault="00031B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 w:after="13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Second Class On-Time Rate</w:t>
            </w:r>
          </w:p>
        </w:tc>
        <w:tc>
          <w:tcPr>
            <w:tcW w:w="2715" w:type="dxa"/>
            <w:tcBorders>
              <w:bottom w:val="single" w:sz="6" w:space="0" w:color="E0E0E0"/>
            </w:tcBorders>
            <w:shd w:val="clear" w:color="auto" w:fill="FFFFFF"/>
            <w:tcMar>
              <w:top w:w="135" w:type="dxa"/>
              <w:left w:w="240" w:type="dxa"/>
              <w:bottom w:w="135" w:type="dxa"/>
              <w:right w:w="240" w:type="dxa"/>
            </w:tcMar>
          </w:tcPr>
          <w:p w:rsidR="00AA0725" w:rsidRDefault="00031B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 w:after="13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20.2%</w:t>
            </w:r>
          </w:p>
        </w:tc>
        <w:tc>
          <w:tcPr>
            <w:tcW w:w="3480" w:type="dxa"/>
            <w:tcBorders>
              <w:bottom w:val="single" w:sz="6" w:space="0" w:color="E0E0E0"/>
            </w:tcBorders>
            <w:shd w:val="clear" w:color="auto" w:fill="FFFFFF"/>
            <w:tcMar>
              <w:top w:w="135" w:type="dxa"/>
              <w:left w:w="240" w:type="dxa"/>
              <w:bottom w:w="135" w:type="dxa"/>
              <w:right w:w="240" w:type="dxa"/>
            </w:tcMar>
          </w:tcPr>
          <w:p w:rsidR="00AA0725" w:rsidRDefault="00031B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 w:after="135"/>
              <w:rPr>
                <w:color w:val="2E8B7A"/>
                <w:sz w:val="20"/>
                <w:szCs w:val="20"/>
              </w:rPr>
            </w:pPr>
            <w:r>
              <w:rPr>
                <w:color w:val="2E8B7A"/>
                <w:sz w:val="20"/>
                <w:szCs w:val="20"/>
              </w:rPr>
              <w:t>&gt; 60%</w:t>
            </w:r>
          </w:p>
        </w:tc>
      </w:tr>
      <w:tr w:rsidR="00AA0725">
        <w:tc>
          <w:tcPr>
            <w:tcW w:w="3645" w:type="dxa"/>
            <w:tcBorders>
              <w:bottom w:val="single" w:sz="6" w:space="0" w:color="E0E0E0"/>
            </w:tcBorders>
            <w:shd w:val="clear" w:color="auto" w:fill="FFFFFF"/>
            <w:tcMar>
              <w:top w:w="135" w:type="dxa"/>
              <w:left w:w="240" w:type="dxa"/>
              <w:bottom w:w="135" w:type="dxa"/>
              <w:right w:w="240" w:type="dxa"/>
            </w:tcMar>
          </w:tcPr>
          <w:p w:rsidR="00AA0725" w:rsidRDefault="00031B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 w:after="13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Loss-Making Orders</w:t>
            </w:r>
          </w:p>
        </w:tc>
        <w:tc>
          <w:tcPr>
            <w:tcW w:w="2715" w:type="dxa"/>
            <w:tcBorders>
              <w:bottom w:val="single" w:sz="6" w:space="0" w:color="E0E0E0"/>
            </w:tcBorders>
            <w:shd w:val="clear" w:color="auto" w:fill="FFFFFF"/>
            <w:tcMar>
              <w:top w:w="135" w:type="dxa"/>
              <w:left w:w="240" w:type="dxa"/>
              <w:bottom w:w="135" w:type="dxa"/>
              <w:right w:w="240" w:type="dxa"/>
            </w:tcMar>
          </w:tcPr>
          <w:p w:rsidR="00AA0725" w:rsidRDefault="00031B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 w:after="13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18.7%</w:t>
            </w:r>
          </w:p>
        </w:tc>
        <w:tc>
          <w:tcPr>
            <w:tcW w:w="3480" w:type="dxa"/>
            <w:tcBorders>
              <w:bottom w:val="single" w:sz="6" w:space="0" w:color="E0E0E0"/>
            </w:tcBorders>
            <w:shd w:val="clear" w:color="auto" w:fill="FFFFFF"/>
            <w:tcMar>
              <w:top w:w="135" w:type="dxa"/>
              <w:left w:w="240" w:type="dxa"/>
              <w:bottom w:w="135" w:type="dxa"/>
              <w:right w:w="240" w:type="dxa"/>
            </w:tcMar>
          </w:tcPr>
          <w:p w:rsidR="00AA0725" w:rsidRDefault="00031B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 w:after="135"/>
              <w:rPr>
                <w:color w:val="2E8B7A"/>
                <w:sz w:val="20"/>
                <w:szCs w:val="20"/>
              </w:rPr>
            </w:pPr>
            <w:r>
              <w:rPr>
                <w:color w:val="2E8B7A"/>
                <w:sz w:val="20"/>
                <w:szCs w:val="20"/>
              </w:rPr>
              <w:t>&lt; 12%</w:t>
            </w:r>
          </w:p>
        </w:tc>
      </w:tr>
      <w:tr w:rsidR="00AA0725">
        <w:tc>
          <w:tcPr>
            <w:tcW w:w="3645" w:type="dxa"/>
            <w:tcBorders>
              <w:bottom w:val="single" w:sz="6" w:space="0" w:color="E0E0E0"/>
            </w:tcBorders>
            <w:shd w:val="clear" w:color="auto" w:fill="FFFFFF"/>
            <w:tcMar>
              <w:top w:w="135" w:type="dxa"/>
              <w:left w:w="240" w:type="dxa"/>
              <w:bottom w:w="135" w:type="dxa"/>
              <w:right w:w="240" w:type="dxa"/>
            </w:tcMar>
          </w:tcPr>
          <w:p w:rsidR="00AA0725" w:rsidRDefault="00031B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 w:after="13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Profit at Risk</w:t>
            </w:r>
          </w:p>
        </w:tc>
        <w:tc>
          <w:tcPr>
            <w:tcW w:w="2715" w:type="dxa"/>
            <w:tcBorders>
              <w:bottom w:val="single" w:sz="6" w:space="0" w:color="E0E0E0"/>
            </w:tcBorders>
            <w:shd w:val="clear" w:color="auto" w:fill="FFFFFF"/>
            <w:tcMar>
              <w:top w:w="135" w:type="dxa"/>
              <w:left w:w="240" w:type="dxa"/>
              <w:bottom w:w="135" w:type="dxa"/>
              <w:right w:w="240" w:type="dxa"/>
            </w:tcMar>
          </w:tcPr>
          <w:p w:rsidR="00AA0725" w:rsidRDefault="00031B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 w:after="13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$2.1M</w:t>
            </w:r>
          </w:p>
        </w:tc>
        <w:tc>
          <w:tcPr>
            <w:tcW w:w="3480" w:type="dxa"/>
            <w:tcBorders>
              <w:bottom w:val="single" w:sz="6" w:space="0" w:color="E0E0E0"/>
            </w:tcBorders>
            <w:shd w:val="clear" w:color="auto" w:fill="FFFFFF"/>
            <w:tcMar>
              <w:top w:w="135" w:type="dxa"/>
              <w:left w:w="240" w:type="dxa"/>
              <w:bottom w:w="135" w:type="dxa"/>
              <w:right w:w="240" w:type="dxa"/>
            </w:tcMar>
          </w:tcPr>
          <w:p w:rsidR="00AA0725" w:rsidRDefault="00031B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 w:after="135"/>
              <w:rPr>
                <w:color w:val="2E8B7A"/>
                <w:sz w:val="20"/>
                <w:szCs w:val="20"/>
              </w:rPr>
            </w:pPr>
            <w:r>
              <w:rPr>
                <w:color w:val="2E8B7A"/>
                <w:sz w:val="20"/>
                <w:szCs w:val="20"/>
              </w:rPr>
              <w:t>Reduce by 40%</w:t>
            </w:r>
          </w:p>
        </w:tc>
      </w:tr>
    </w:tbl>
    <w:p w:rsidR="00AA0725" w:rsidRDefault="00031BFC">
      <w:pPr>
        <w:pBdr>
          <w:top w:val="nil"/>
          <w:left w:val="nil"/>
          <w:bottom w:val="nil"/>
          <w:right w:val="nil"/>
          <w:between w:val="nil"/>
        </w:pBdr>
        <w:spacing w:before="300" w:after="180" w:line="408" w:lineRule="auto"/>
        <w:ind w:right="600"/>
        <w:rPr>
          <w:i/>
          <w:iCs/>
          <w:color w:val="333333"/>
          <w:sz w:val="20"/>
          <w:szCs w:val="20"/>
        </w:rPr>
      </w:pPr>
      <w:r>
        <w:rPr>
          <w:i/>
          <w:iCs/>
          <w:color w:val="333333"/>
          <w:sz w:val="20"/>
          <w:szCs w:val="20"/>
        </w:rPr>
        <w:t>With focused execution on the six recommendations in this report — starting with the critical shipping mode audit —</w:t>
      </w:r>
      <w:r>
        <w:rPr>
          <w:i/>
          <w:iCs/>
          <w:color w:val="333333"/>
          <w:sz w:val="20"/>
          <w:szCs w:val="20"/>
        </w:rPr>
        <w:t xml:space="preserve"> the business can systematically recover its delivery performance, protect its $7.5M profit base, and build the operational reliability that</w:t>
      </w:r>
      <w:r>
        <w:rPr>
          <w:i/>
          <w:iCs/>
          <w:color w:val="333333"/>
          <w:sz w:val="20"/>
          <w:szCs w:val="20"/>
        </w:rPr>
        <w:t xml:space="preserve"> sustained e-commerce growth demands.</w:t>
      </w:r>
    </w:p>
    <w:sectPr w:rsidR="00AA0725" w:rsidSect="00031BFC">
      <w:pgSz w:w="12240" w:h="15840"/>
      <w:pgMar w:top="1440" w:right="1440" w:bottom="1440" w:left="1440" w:header="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27F7D449-685F-4DAB-A3C4-CF5C9D6F1924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D64FA56A-D7F1-43A7-AAF7-6CC9C79219B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43A24F-D619-40A3-9167-66C0CB70D5A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D6FCC91-9E4B-4F67-B056-810F27883D24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13514C"/>
    <w:multiLevelType w:val="multilevel"/>
    <w:tmpl w:val="1ACA13A0"/>
    <w:lvl w:ilvl="0">
      <w:start w:val="1"/>
      <w:numFmt w:val="bullet"/>
      <w:lvlText w:val="●"/>
      <w:lvlJc w:val="left"/>
      <w:pPr>
        <w:ind w:left="93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>
    <w:nsid w:val="528907C7"/>
    <w:multiLevelType w:val="multilevel"/>
    <w:tmpl w:val="02DE5062"/>
    <w:lvl w:ilvl="0">
      <w:start w:val="1"/>
      <w:numFmt w:val="decimal"/>
      <w:lvlText w:val="%1."/>
      <w:lvlJc w:val="left"/>
      <w:pPr>
        <w:ind w:left="9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AA0725"/>
    <w:rsid w:val="00031BFC"/>
    <w:rsid w:val="00AA0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color w:val="1A1A2E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31BF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1BF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color w:val="1A1A2E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31BF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1BF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1455</Words>
  <Characters>8295</Characters>
  <Application>Microsoft Office Word</Application>
  <DocSecurity>0</DocSecurity>
  <Lines>69</Lines>
  <Paragraphs>19</Paragraphs>
  <ScaleCrop>false</ScaleCrop>
  <Company/>
  <LinksUpToDate>false</LinksUpToDate>
  <CharactersWithSpaces>9731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2026-06-05T08:15:00Z</dcterms:created>
  <dcterms:modified xsi:type="dcterms:W3CDTF">2026-06-05T08:18:00Z</dcterms:modified>
</cp:coreProperties>
</file>