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937"/>
          <w:sz w:val="56"/>
          <w:szCs w:val="56"/>
        </w:rPr>
        <w:t xml:space="preserve">HI</w:t>
      </w:r>
      <w:r>
        <w:rPr>
          <w:rFonts w:ascii="Calibri" w:cs="Calibri" w:eastAsia="Calibri" w:hAnsi="Calibri"/>
          <w:b/>
          <w:bCs/>
          <w:color w:val="E8821E"/>
          <w:sz w:val="56"/>
          <w:szCs w:val="56"/>
        </w:rPr>
        <w:t xml:space="preserve">Q</w:t>
      </w:r>
      <w:r>
        <w:rPr>
          <w:rFonts w:ascii="Calibri" w:cs="Calibri" w:eastAsia="Calibri" w:hAnsi="Calibri"/>
          <w:b/>
          <w:bCs/>
          <w:color w:val="1F2937"/>
          <w:sz w:val="56"/>
          <w:szCs w:val="56"/>
        </w:rPr>
        <w:t xml:space="preserve">M</w:t>
      </w:r>
    </w:p>
    <w:p>
      <w:pPr>
        <w:spacing w:after="40"/>
        <w:jc w:val="center"/>
      </w:pPr>
      <w:r>
        <w:rPr>
          <w:rFonts w:ascii="Calibri" w:cs="Calibri" w:eastAsia="Calibri" w:hAnsi="Calibri"/>
          <w:i/>
          <w:iCs/>
          <w:color w:val="6B7280"/>
          <w:sz w:val="24"/>
          <w:szCs w:val="24"/>
        </w:rPr>
        <w:t xml:space="preserve">HESEOS Intelligent Quotation Maker</w:t>
      </w:r>
    </w:p>
    <w:p>
      <w:pPr>
        <w:spacing w:after="300"/>
        <w:jc w:val="center"/>
      </w:pPr>
      <w:r>
        <w:rPr>
          <w:rFonts w:ascii="Calibri" w:cs="Calibri" w:eastAsia="Calibri" w:hAnsi="Calibri"/>
          <w:b/>
          <w:bCs/>
          <w:color w:val="1F2937"/>
          <w:sz w:val="22"/>
          <w:szCs w:val="22"/>
        </w:rPr>
        <w:t xml:space="preserve">Product Overview &amp; User Guide</w:t>
      </w:r>
    </w:p>
    <w:p>
      <w:pPr>
        <w:pStyle w:val="Heading1"/>
        <w:pBdr>
          <w:bottom w:val="single" w:color="E8821E" w:sz="8" w:space="4"/>
        </w:pBdr>
        <w:spacing w:after="160" w:before="340"/>
      </w:pPr>
      <w:r>
        <w:rPr>
          <w:rFonts w:ascii="Calibri" w:cs="Calibri" w:eastAsia="Calibri" w:hAnsi="Calibri"/>
          <w:b/>
          <w:bCs/>
          <w:color w:val="E8821E"/>
          <w:sz w:val="28"/>
          <w:szCs w:val="28"/>
        </w:rPr>
        <w:t xml:space="preserve">What is HIQM?</w:t>
      </w:r>
    </w:p>
    <w:p>
      <w:pPr>
        <w:spacing w:after="160"/>
      </w:pPr>
      <w:r>
        <w:rPr>
          <w:rFonts w:ascii="Calibri" w:cs="Calibri" w:eastAsia="Calibri" w:hAnsi="Calibri"/>
          <w:color w:val="1F2937"/>
          <w:sz w:val="22"/>
          <w:szCs w:val="22"/>
        </w:rPr>
        <w:t xml:space="preserve">HIQM is a multi-tenant, white-label platform that lets every partner in the HESEOS solar ecosystem — distributors, dealers, and system integrators — create, share, and close customer quotations quickly, while giving HESEOS leadership a live, drillable view of the entire pipeline.</w:t>
      </w:r>
    </w:p>
    <w:p>
      <w:pPr>
        <w:spacing w:after="160"/>
      </w:pPr>
      <w:r>
        <w:rPr>
          <w:rFonts w:ascii="Calibri" w:cs="Calibri" w:eastAsia="Calibri" w:hAnsi="Calibri"/>
          <w:color w:val="1F2937"/>
          <w:sz w:val="22"/>
          <w:szCs w:val="22"/>
        </w:rPr>
        <w:t xml:space="preserve">Each partner works inside their own branded workspace (logo, colours, bank details, terms) with zero visibility into any other partner's data. On top of that shared foundation, HIQM adds the sales intelligence a growing partner network needs: automatic discount controls, deal-health and win-probability scoring, and an AI assistant that can answer plain-English questions about the business.</w:t>
      </w:r>
    </w:p>
    <w:p>
      <w:pPr>
        <w:pStyle w:val="Heading1"/>
        <w:pBdr>
          <w:bottom w:val="single" w:color="E8821E" w:sz="8" w:space="4"/>
        </w:pBdr>
        <w:spacing w:after="160" w:before="340"/>
      </w:pPr>
      <w:r>
        <w:rPr>
          <w:rFonts w:ascii="Calibri" w:cs="Calibri" w:eastAsia="Calibri" w:hAnsi="Calibri"/>
          <w:b/>
          <w:bCs/>
          <w:color w:val="E8821E"/>
          <w:sz w:val="28"/>
          <w:szCs w:val="28"/>
        </w:rPr>
        <w:t xml:space="preserve">Key Features</w:t>
      </w:r>
    </w:p>
    <w:p>
      <w:pPr>
        <w:pStyle w:val="Heading2"/>
        <w:spacing w:after="100" w:before="220"/>
      </w:pPr>
      <w:r>
        <w:rPr>
          <w:rFonts w:ascii="Calibri" w:cs="Calibri" w:eastAsia="Calibri" w:hAnsi="Calibri"/>
          <w:b/>
          <w:bCs/>
          <w:color w:val="1F2937"/>
          <w:sz w:val="23"/>
          <w:szCs w:val="23"/>
        </w:rPr>
        <w:t xml:space="preserve">Quotation Builder</w:t>
      </w:r>
    </w:p>
    <w:p>
      <w:pPr>
        <w:pStyle w:val="ListParagraph"/>
        <w:numPr>
          <w:ilvl w:val="0"/>
          <w:numId w:val="2"/>
        </w:numPr>
        <w:spacing w:after="90"/>
      </w:pPr>
      <w:r>
        <w:rPr>
          <w:rFonts w:ascii="Calibri" w:cs="Calibri" w:eastAsia="Calibri" w:hAnsi="Calibri"/>
          <w:color w:val="1F2937"/>
          <w:sz w:val="21"/>
          <w:szCs w:val="21"/>
        </w:rPr>
        <w:t xml:space="preserve">Build a fully-costed, GST-compliant quotation in under two minutes using a catalogue of common items or custom entries.</w:t>
      </w:r>
    </w:p>
    <w:p>
      <w:pPr>
        <w:pStyle w:val="ListParagraph"/>
        <w:numPr>
          <w:ilvl w:val="0"/>
          <w:numId w:val="2"/>
        </w:numPr>
        <w:spacing w:after="90"/>
      </w:pPr>
      <w:r>
        <w:rPr>
          <w:rFonts w:ascii="Calibri" w:cs="Calibri" w:eastAsia="Calibri" w:hAnsi="Calibri"/>
          <w:color w:val="1F2937"/>
          <w:sz w:val="21"/>
          <w:szCs w:val="21"/>
        </w:rPr>
        <w:t xml:space="preserve">Tax is calculated automatically and correctly — CGST + SGST for in-state sales, IGST for inter-state — with no manual GST work.</w:t>
      </w:r>
    </w:p>
    <w:p>
      <w:pPr>
        <w:pStyle w:val="ListParagraph"/>
        <w:numPr>
          <w:ilvl w:val="0"/>
          <w:numId w:val="2"/>
        </w:numPr>
        <w:spacing w:after="90"/>
      </w:pPr>
      <w:r>
        <w:rPr>
          <w:rFonts w:ascii="Calibri" w:cs="Calibri" w:eastAsia="Calibri" w:hAnsi="Calibri"/>
          <w:color w:val="1F2937"/>
          <w:sz w:val="21"/>
          <w:szCs w:val="21"/>
        </w:rPr>
        <w:t xml:space="preserve">Every quotation gets a clean, sequential number per financial year, e.g. ACME/QT/2026-27/00042.</w:t>
      </w:r>
    </w:p>
    <w:p>
      <w:pPr>
        <w:pStyle w:val="ListParagraph"/>
        <w:numPr>
          <w:ilvl w:val="0"/>
          <w:numId w:val="2"/>
        </w:numPr>
        <w:spacing w:after="90"/>
      </w:pPr>
      <w:r>
        <w:rPr>
          <w:rFonts w:ascii="Calibri" w:cs="Calibri" w:eastAsia="Calibri" w:hAnsi="Calibri"/>
          <w:color w:val="1F2937"/>
          <w:sz w:val="21"/>
          <w:szCs w:val="21"/>
        </w:rPr>
        <w:t xml:space="preserve">Download a polished, white-labelled PDF or Excel version instantly.</w:t>
      </w:r>
    </w:p>
    <w:p>
      <w:pPr>
        <w:pStyle w:val="Heading2"/>
        <w:spacing w:after="100" w:before="220"/>
      </w:pPr>
      <w:r>
        <w:rPr>
          <w:rFonts w:ascii="Calibri" w:cs="Calibri" w:eastAsia="Calibri" w:hAnsi="Calibri"/>
          <w:b/>
          <w:bCs/>
          <w:color w:val="1F2937"/>
          <w:sz w:val="23"/>
          <w:szCs w:val="23"/>
        </w:rPr>
        <w:t xml:space="preserve">Sharing &amp; Customer Experience</w:t>
      </w:r>
    </w:p>
    <w:p>
      <w:pPr>
        <w:pStyle w:val="ListParagraph"/>
        <w:numPr>
          <w:ilvl w:val="0"/>
          <w:numId w:val="2"/>
        </w:numPr>
        <w:spacing w:after="90"/>
      </w:pPr>
      <w:r>
        <w:rPr>
          <w:rFonts w:ascii="Calibri" w:cs="Calibri" w:eastAsia="Calibri" w:hAnsi="Calibri"/>
          <w:color w:val="1F2937"/>
          <w:sz w:val="21"/>
          <w:szCs w:val="21"/>
        </w:rPr>
        <w:t xml:space="preserve">Share a quotation over WhatsApp in one tap, using a private, trackable link.</w:t>
      </w:r>
    </w:p>
    <w:p>
      <w:pPr>
        <w:pStyle w:val="ListParagraph"/>
        <w:numPr>
          <w:ilvl w:val="0"/>
          <w:numId w:val="2"/>
        </w:numPr>
        <w:spacing w:after="90"/>
      </w:pPr>
      <w:r>
        <w:rPr>
          <w:rFonts w:ascii="Calibri" w:cs="Calibri" w:eastAsia="Calibri" w:hAnsi="Calibri"/>
          <w:color w:val="1F2937"/>
          <w:sz w:val="21"/>
          <w:szCs w:val="21"/>
        </w:rPr>
        <w:t xml:space="preserve">The moment the customer opens it, the status flips to “Viewed” automatically — live, with no page refresh needed.</w:t>
      </w:r>
    </w:p>
    <w:p>
      <w:pPr>
        <w:pStyle w:val="ListParagraph"/>
        <w:numPr>
          <w:ilvl w:val="0"/>
          <w:numId w:val="2"/>
        </w:numPr>
        <w:spacing w:after="90"/>
      </w:pPr>
      <w:r>
        <w:rPr>
          <w:rFonts w:ascii="Calibri" w:cs="Calibri" w:eastAsia="Calibri" w:hAnsi="Calibri"/>
          <w:color w:val="1F2937"/>
          <w:sz w:val="21"/>
          <w:szCs w:val="21"/>
        </w:rPr>
        <w:t xml:space="preserve">Customers can accept a quotation online, with a timestamped digital acceptance recorded automatically.</w:t>
      </w:r>
    </w:p>
    <w:p>
      <w:pPr>
        <w:pStyle w:val="ListParagraph"/>
        <w:numPr>
          <w:ilvl w:val="0"/>
          <w:numId w:val="2"/>
        </w:numPr>
        <w:spacing w:after="90"/>
      </w:pPr>
      <w:r>
        <w:rPr>
          <w:rFonts w:ascii="Calibri" w:cs="Calibri" w:eastAsia="Calibri" w:hAnsi="Calibri"/>
          <w:color w:val="1F2937"/>
          <w:sz w:val="21"/>
          <w:szCs w:val="21"/>
        </w:rPr>
        <w:t xml:space="preserve">Need to change something? Create a revision — HIQM keeps every past version and shows exactly what changed and by how much.</w:t>
      </w:r>
    </w:p>
    <w:p>
      <w:pPr>
        <w:pStyle w:val="Heading2"/>
        <w:spacing w:after="100" w:before="220"/>
      </w:pPr>
      <w:r>
        <w:rPr>
          <w:rFonts w:ascii="Calibri" w:cs="Calibri" w:eastAsia="Calibri" w:hAnsi="Calibri"/>
          <w:b/>
          <w:bCs/>
          <w:color w:val="1F2937"/>
          <w:sz w:val="23"/>
          <w:szCs w:val="23"/>
        </w:rPr>
        <w:t xml:space="preserve">Deal Intelligence</w:t>
      </w:r>
    </w:p>
    <w:p>
      <w:pPr>
        <w:pStyle w:val="ListParagraph"/>
        <w:numPr>
          <w:ilvl w:val="0"/>
          <w:numId w:val="2"/>
        </w:numPr>
        <w:spacing w:after="90"/>
      </w:pPr>
      <w:r>
        <w:rPr>
          <w:rFonts w:ascii="Calibri" w:cs="Calibri" w:eastAsia="Calibri" w:hAnsi="Calibri"/>
          <w:b/>
          <w:bCs/>
          <w:color w:val="1F2937"/>
          <w:sz w:val="21"/>
          <w:szCs w:val="21"/>
        </w:rPr>
        <w:t xml:space="preserve">Win Probability —</w:t>
      </w:r>
      <w:r>
        <w:rPr>
          <w:rFonts w:ascii="Calibri" w:cs="Calibri" w:eastAsia="Calibri" w:hAnsi="Calibri"/>
          <w:color w:val="1F2937"/>
          <w:sz w:val="21"/>
          <w:szCs w:val="21"/>
        </w:rPr>
        <w:t xml:space="preserve"> estimates how likely a quotation is to close, based on real signals such as customer engagement, negotiation history, and discount depth.</w:t>
      </w:r>
    </w:p>
    <w:p>
      <w:pPr>
        <w:pStyle w:val="ListParagraph"/>
        <w:numPr>
          <w:ilvl w:val="0"/>
          <w:numId w:val="2"/>
        </w:numPr>
        <w:spacing w:after="90"/>
      </w:pPr>
      <w:r>
        <w:rPr>
          <w:rFonts w:ascii="Calibri" w:cs="Calibri" w:eastAsia="Calibri" w:hAnsi="Calibri"/>
          <w:b/>
          <w:bCs/>
          <w:color w:val="1F2937"/>
          <w:sz w:val="21"/>
          <w:szCs w:val="21"/>
        </w:rPr>
        <w:t xml:space="preserve">Quote Health Score —</w:t>
      </w:r>
      <w:r>
        <w:rPr>
          <w:rFonts w:ascii="Calibri" w:cs="Calibri" w:eastAsia="Calibri" w:hAnsi="Calibri"/>
          <w:color w:val="1F2937"/>
          <w:sz w:val="21"/>
          <w:szCs w:val="21"/>
        </w:rPr>
        <w:t xml:space="preserve"> a live, explainable 0–100 score that flags quotations that are stalling, over-discounted, or about to expire.</w:t>
      </w:r>
    </w:p>
    <w:p>
      <w:pPr>
        <w:pStyle w:val="ListParagraph"/>
        <w:numPr>
          <w:ilvl w:val="0"/>
          <w:numId w:val="2"/>
        </w:numPr>
        <w:spacing w:after="90"/>
      </w:pPr>
      <w:r>
        <w:rPr>
          <w:rFonts w:ascii="Calibri" w:cs="Calibri" w:eastAsia="Calibri" w:hAnsi="Calibri"/>
          <w:b/>
          <w:bCs/>
          <w:color w:val="1F2937"/>
          <w:sz w:val="21"/>
          <w:szCs w:val="21"/>
        </w:rPr>
        <w:t xml:space="preserve">Deal Desk —</w:t>
      </w:r>
      <w:r>
        <w:rPr>
          <w:rFonts w:ascii="Calibri" w:cs="Calibri" w:eastAsia="Calibri" w:hAnsi="Calibri"/>
          <w:color w:val="1F2937"/>
          <w:sz w:val="21"/>
          <w:szCs w:val="21"/>
        </w:rPr>
        <w:t xml:space="preserve"> quotations with a large discount or a very high value are automatically flagged and held until a manager or partner admin reviews and approves them — protecting margins without slowing down day-to-day sales.</w:t>
      </w:r>
    </w:p>
    <w:p>
      <w:pPr>
        <w:pStyle w:val="Heading2"/>
        <w:spacing w:after="100" w:before="220"/>
      </w:pPr>
      <w:r>
        <w:rPr>
          <w:rFonts w:ascii="Calibri" w:cs="Calibri" w:eastAsia="Calibri" w:hAnsi="Calibri"/>
          <w:b/>
          <w:bCs/>
          <w:color w:val="1F2937"/>
          <w:sz w:val="23"/>
          <w:szCs w:val="23"/>
        </w:rPr>
        <w:t xml:space="preserve">Full Sales Lifecycle</w:t>
      </w:r>
    </w:p>
    <w:p>
      <w:pPr>
        <w:pStyle w:val="ListParagraph"/>
        <w:numPr>
          <w:ilvl w:val="0"/>
          <w:numId w:val="2"/>
        </w:numPr>
        <w:spacing w:after="90"/>
      </w:pPr>
      <w:r>
        <w:rPr>
          <w:rFonts w:ascii="Calibri" w:cs="Calibri" w:eastAsia="Calibri" w:hAnsi="Calibri"/>
          <w:color w:val="1F2937"/>
          <w:sz w:val="21"/>
          <w:szCs w:val="21"/>
        </w:rPr>
        <w:t xml:space="preserve">Track a prospect from first contact all the way to a completed order: Lead → Site Visit → Project → Quotation → Order.</w:t>
      </w:r>
    </w:p>
    <w:p>
      <w:pPr>
        <w:pStyle w:val="ListParagraph"/>
        <w:numPr>
          <w:ilvl w:val="0"/>
          <w:numId w:val="2"/>
        </w:numPr>
        <w:spacing w:after="90"/>
      </w:pPr>
      <w:r>
        <w:rPr>
          <w:rFonts w:ascii="Calibri" w:cs="Calibri" w:eastAsia="Calibri" w:hAnsi="Calibri"/>
          <w:color w:val="1F2937"/>
          <w:sz w:val="21"/>
          <w:szCs w:val="21"/>
        </w:rPr>
        <w:t xml:space="preserve">Site visits can be scheduled and assigned to a field engineer, with outcomes logged.</w:t>
      </w:r>
    </w:p>
    <w:p>
      <w:pPr>
        <w:pStyle w:val="ListParagraph"/>
        <w:numPr>
          <w:ilvl w:val="0"/>
          <w:numId w:val="2"/>
        </w:numPr>
        <w:spacing w:after="90"/>
      </w:pPr>
      <w:r>
        <w:rPr>
          <w:rFonts w:ascii="Calibri" w:cs="Calibri" w:eastAsia="Calibri" w:hAnsi="Calibri"/>
          <w:color w:val="1F2937"/>
          <w:sz w:val="21"/>
          <w:szCs w:val="21"/>
        </w:rPr>
        <w:t xml:space="preserve">Once a quotation is approved and converted, an order is created automatically and moves through production, dispatch, installation, and completion — with advance payments tracked along the way.</w:t>
      </w:r>
    </w:p>
    <w:p>
      <w:pPr>
        <w:pStyle w:val="Heading2"/>
        <w:spacing w:after="100" w:before="220"/>
      </w:pPr>
      <w:r>
        <w:rPr>
          <w:rFonts w:ascii="Calibri" w:cs="Calibri" w:eastAsia="Calibri" w:hAnsi="Calibri"/>
          <w:b/>
          <w:bCs/>
          <w:color w:val="1F2937"/>
          <w:sz w:val="23"/>
          <w:szCs w:val="23"/>
        </w:rPr>
        <w:t xml:space="preserve">Leadership &amp; Analytics</w:t>
      </w:r>
    </w:p>
    <w:p>
      <w:pPr>
        <w:pStyle w:val="ListParagraph"/>
        <w:numPr>
          <w:ilvl w:val="0"/>
          <w:numId w:val="2"/>
        </w:numPr>
        <w:spacing w:after="90"/>
      </w:pPr>
      <w:r>
        <w:rPr>
          <w:rFonts w:ascii="Calibri" w:cs="Calibri" w:eastAsia="Calibri" w:hAnsi="Calibri"/>
          <w:color w:val="1F2937"/>
          <w:sz w:val="21"/>
          <w:szCs w:val="21"/>
        </w:rPr>
        <w:t xml:space="preserve">A Command Center dashboard for HESEOS leadership: drill down from all of India, through zone, state, and city, into a specific partner, and finally down to an individual sales rep.</w:t>
      </w:r>
    </w:p>
    <w:p>
      <w:pPr>
        <w:pStyle w:val="ListParagraph"/>
        <w:numPr>
          <w:ilvl w:val="0"/>
          <w:numId w:val="2"/>
        </w:numPr>
        <w:spacing w:after="90"/>
      </w:pPr>
      <w:r>
        <w:rPr>
          <w:rFonts w:ascii="Calibri" w:cs="Calibri" w:eastAsia="Calibri" w:hAnsi="Calibri"/>
          <w:color w:val="1F2937"/>
          <w:sz w:val="21"/>
          <w:szCs w:val="21"/>
        </w:rPr>
        <w:t xml:space="preserve">A PAN-India leaderboard shows top-performing reps across every partner — no drilling required.</w:t>
      </w:r>
    </w:p>
    <w:p>
      <w:pPr>
        <w:pStyle w:val="ListParagraph"/>
        <w:numPr>
          <w:ilvl w:val="0"/>
          <w:numId w:val="2"/>
        </w:numPr>
        <w:spacing w:after="90"/>
      </w:pPr>
      <w:r>
        <w:rPr>
          <w:rFonts w:ascii="Calibri" w:cs="Calibri" w:eastAsia="Calibri" w:hAnsi="Calibri"/>
          <w:b/>
          <w:bCs/>
          <w:color w:val="1F2937"/>
          <w:sz w:val="21"/>
          <w:szCs w:val="21"/>
        </w:rPr>
        <w:t xml:space="preserve">Ask HIQM —</w:t>
      </w:r>
      <w:r>
        <w:rPr>
          <w:rFonts w:ascii="Calibri" w:cs="Calibri" w:eastAsia="Calibri" w:hAnsi="Calibri"/>
          <w:color w:val="1F2937"/>
          <w:sz w:val="21"/>
          <w:szCs w:val="21"/>
        </w:rPr>
        <w:t xml:space="preserve"> Ask questions in plain English, such as “Why are we losing quotes?”, and get an answer grounded in the real numbers and narrated by AI. The AI never touches the actual calculations — those stay fully deterministic.</w:t>
      </w:r>
    </w:p>
    <w:p>
      <w:pPr>
        <w:pStyle w:val="ListParagraph"/>
        <w:numPr>
          <w:ilvl w:val="0"/>
          <w:numId w:val="2"/>
        </w:numPr>
        <w:spacing w:after="90"/>
      </w:pPr>
      <w:r>
        <w:rPr>
          <w:rFonts w:ascii="Calibri" w:cs="Calibri" w:eastAsia="Calibri" w:hAnsi="Calibri"/>
          <w:color w:val="1F2937"/>
          <w:sz w:val="21"/>
          <w:szCs w:val="21"/>
        </w:rPr>
        <w:t xml:space="preserve">An AI assistant can also draft a WhatsApp follow-up message for a quotation that has gone quiet.</w:t>
      </w:r>
    </w:p>
    <w:p>
      <w:pPr>
        <w:pStyle w:val="Heading2"/>
        <w:spacing w:after="100" w:before="220"/>
      </w:pPr>
      <w:r>
        <w:rPr>
          <w:rFonts w:ascii="Calibri" w:cs="Calibri" w:eastAsia="Calibri" w:hAnsi="Calibri"/>
          <w:b/>
          <w:bCs/>
          <w:color w:val="1F2937"/>
          <w:sz w:val="23"/>
          <w:szCs w:val="23"/>
        </w:rPr>
        <w:t xml:space="preserve">Operations &amp; Governance</w:t>
      </w:r>
    </w:p>
    <w:p>
      <w:pPr>
        <w:pStyle w:val="ListParagraph"/>
        <w:numPr>
          <w:ilvl w:val="0"/>
          <w:numId w:val="2"/>
        </w:numPr>
        <w:spacing w:after="90"/>
      </w:pPr>
      <w:r>
        <w:rPr>
          <w:rFonts w:ascii="Calibri" w:cs="Calibri" w:eastAsia="Calibri" w:hAnsi="Calibri"/>
          <w:color w:val="1F2937"/>
          <w:sz w:val="21"/>
          <w:szCs w:val="21"/>
        </w:rPr>
        <w:t xml:space="preserve">A notification bell keeps everyone aware of quotations going cold, deals awaiting approval, and site visits due today.</w:t>
      </w:r>
    </w:p>
    <w:p>
      <w:pPr>
        <w:pStyle w:val="ListParagraph"/>
        <w:numPr>
          <w:ilvl w:val="0"/>
          <w:numId w:val="2"/>
        </w:numPr>
        <w:spacing w:after="90"/>
      </w:pPr>
      <w:r>
        <w:rPr>
          <w:rFonts w:ascii="Calibri" w:cs="Calibri" w:eastAsia="Calibri" w:hAnsi="Calibri"/>
          <w:color w:val="1F2937"/>
          <w:sz w:val="21"/>
          <w:szCs w:val="21"/>
        </w:rPr>
        <w:t xml:space="preserve">Team management — invite teammates, assign roles, and manage access, all from within the app.</w:t>
      </w:r>
    </w:p>
    <w:p>
      <w:pPr>
        <w:pStyle w:val="ListParagraph"/>
        <w:numPr>
          <w:ilvl w:val="0"/>
          <w:numId w:val="2"/>
        </w:numPr>
        <w:spacing w:after="90"/>
      </w:pPr>
      <w:r>
        <w:rPr>
          <w:rFonts w:ascii="Calibri" w:cs="Calibri" w:eastAsia="Calibri" w:hAnsi="Calibri"/>
          <w:color w:val="1F2937"/>
          <w:sz w:val="21"/>
          <w:szCs w:val="21"/>
        </w:rPr>
        <w:t xml:space="preserve">A full audit log records every important action across the platform, for accountability and compliance.</w:t>
      </w:r>
    </w:p>
    <w:p>
      <w:pPr>
        <w:pStyle w:val="Heading2"/>
        <w:spacing w:after="100" w:before="220"/>
      </w:pPr>
      <w:r>
        <w:rPr>
          <w:rFonts w:ascii="Calibri" w:cs="Calibri" w:eastAsia="Calibri" w:hAnsi="Calibri"/>
          <w:b/>
          <w:bCs/>
          <w:color w:val="1F2937"/>
          <w:sz w:val="23"/>
          <w:szCs w:val="23"/>
        </w:rPr>
        <w:t xml:space="preserve">Security &amp; Multi-Tenancy</w:t>
      </w:r>
    </w:p>
    <w:p>
      <w:pPr>
        <w:pStyle w:val="ListParagraph"/>
        <w:numPr>
          <w:ilvl w:val="0"/>
          <w:numId w:val="2"/>
        </w:numPr>
        <w:spacing w:after="90"/>
      </w:pPr>
      <w:r>
        <w:rPr>
          <w:rFonts w:ascii="Calibri" w:cs="Calibri" w:eastAsia="Calibri" w:hAnsi="Calibri"/>
          <w:color w:val="1F2937"/>
          <w:sz w:val="21"/>
          <w:szCs w:val="21"/>
        </w:rPr>
        <w:t xml:space="preserve">Every partner's data — customers, quotations, leads, orders — is completely isolated from every other partner's, enforced at the database level, not just in the app's screens.</w:t>
      </w:r>
    </w:p>
    <w:p>
      <w:pPr>
        <w:pStyle w:val="ListParagraph"/>
        <w:numPr>
          <w:ilvl w:val="0"/>
          <w:numId w:val="2"/>
        </w:numPr>
        <w:spacing w:after="90"/>
      </w:pPr>
      <w:r>
        <w:rPr>
          <w:rFonts w:ascii="Calibri" w:cs="Calibri" w:eastAsia="Calibri" w:hAnsi="Calibri"/>
          <w:color w:val="1F2937"/>
          <w:sz w:val="21"/>
          <w:szCs w:val="21"/>
        </w:rPr>
        <w:t xml:space="preserve">Role-based access throughout: a sales rep sees only what they need, an admin sees their whole team, and HESEOS leadership sees across the entire network.</w:t>
      </w:r>
    </w:p>
    <w:p>
      <w:pPr>
        <w:pStyle w:val="Heading1"/>
        <w:pBdr>
          <w:bottom w:val="single" w:color="E8821E" w:sz="8" w:space="4"/>
        </w:pBdr>
        <w:spacing w:after="160" w:before="340"/>
      </w:pPr>
      <w:r>
        <w:rPr>
          <w:rFonts w:ascii="Calibri" w:cs="Calibri" w:eastAsia="Calibri" w:hAnsi="Calibri"/>
          <w:b/>
          <w:bCs/>
          <w:color w:val="E8821E"/>
          <w:sz w:val="28"/>
          <w:szCs w:val="28"/>
        </w:rPr>
        <w:t xml:space="preserve">Getting Started</w:t>
      </w:r>
    </w:p>
    <w:p>
      <w:pPr>
        <w:spacing w:after="120"/>
      </w:pPr>
      <w:r>
        <w:rPr>
          <w:rFonts w:ascii="Calibri" w:cs="Calibri" w:eastAsia="Calibri" w:hAnsi="Calibri"/>
          <w:b/>
          <w:bCs/>
          <w:color w:val="1F2937"/>
          <w:sz w:val="22"/>
          <w:szCs w:val="22"/>
        </w:rPr>
        <w:t xml:space="preserve">Live application:  </w:t>
      </w:r>
      <w:r>
        <w:rPr>
          <w:rFonts w:ascii="Calibri" w:cs="Calibri" w:eastAsia="Calibri" w:hAnsi="Calibri"/>
          <w:i/>
          <w:iCs/>
          <w:color w:val="E8821E"/>
          <w:sz w:val="22"/>
          <w:szCs w:val="22"/>
        </w:rPr>
        <w:t xml:space="preserve">[ insert your live Vercel URL here ]</w:t>
      </w:r>
    </w:p>
    <w:p>
      <w:pPr>
        <w:spacing w:after="160"/>
      </w:pPr>
      <w:r>
        <w:rPr>
          <w:rFonts w:ascii="Calibri" w:cs="Calibri" w:eastAsia="Calibri" w:hAnsi="Calibri"/>
          <w:color w:val="1F2937"/>
          <w:sz w:val="22"/>
          <w:szCs w:val="22"/>
        </w:rPr>
        <w:t xml:space="preserve">Log in with any of the demo accounts below to explore HIQM from a different seat every time — a dealer, a distributor, a system integrator, or HESEOS leadership itself. Every account uses the same password.</w:t>
      </w:r>
    </w:p>
    <w:p>
      <w:pPr>
        <w:spacing w:after="200"/>
      </w:pPr>
      <w:r>
        <w:rPr>
          <w:rFonts w:ascii="Calibri" w:cs="Calibri" w:eastAsia="Calibri" w:hAnsi="Calibri"/>
          <w:b/>
          <w:bCs/>
          <w:color w:val="1F2937"/>
          <w:sz w:val="22"/>
          <w:szCs w:val="22"/>
        </w:rPr>
        <w:t xml:space="preserve">Password for every demo account:  </w:t>
      </w:r>
      <w:r>
        <w:rPr>
          <w:rFonts w:ascii="Calibri" w:cs="Calibri" w:eastAsia="Calibri" w:hAnsi="Calibri"/>
          <w:color w:val="1F2937"/>
          <w:sz w:val="22"/>
          <w:szCs w:val="22"/>
        </w:rPr>
        <w:t xml:space="preserve">demo1234</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400"/>
        <w:gridCol w:w="3200"/>
      </w:tblGrid>
      <w:tr>
        <w:tc>
          <w:tcPr>
            <w:tcW w:type="dxa" w:w="1500"/>
            <w:shd w:fill="2B2320" w:val="clear"/>
            <w:tcMar>
              <w:top w:type="dxa" w:w="90"/>
              <w:left w:type="dxa" w:w="120"/>
              <w:bottom w:type="dxa" w:w="90"/>
              <w:right w:type="dxa" w:w="120"/>
            </w:tcMar>
          </w:tcPr>
          <w:p>
            <w:r>
              <w:rPr>
                <w:rFonts w:ascii="Calibri" w:cs="Calibri" w:eastAsia="Calibri" w:hAnsi="Calibri"/>
                <w:b/>
                <w:bCs/>
                <w:color w:val="FFFFFF"/>
                <w:sz w:val="20"/>
                <w:szCs w:val="20"/>
              </w:rPr>
              <w:t xml:space="preserve">Role</w:t>
            </w:r>
          </w:p>
        </w:tc>
        <w:tc>
          <w:tcPr>
            <w:tcW w:type="dxa" w:w="1700"/>
            <w:shd w:fill="2B2320" w:val="clear"/>
            <w:tcMar>
              <w:top w:type="dxa" w:w="90"/>
              <w:left w:type="dxa" w:w="120"/>
              <w:bottom w:type="dxa" w:w="90"/>
              <w:right w:type="dxa" w:w="120"/>
            </w:tcMar>
          </w:tcPr>
          <w:p>
            <w:r>
              <w:rPr>
                <w:rFonts w:ascii="Calibri" w:cs="Calibri" w:eastAsia="Calibri" w:hAnsi="Calibri"/>
                <w:b/>
                <w:bCs/>
                <w:color w:val="FFFFFF"/>
                <w:sz w:val="20"/>
                <w:szCs w:val="20"/>
              </w:rPr>
              <w:t xml:space="preserve">Name</w:t>
            </w:r>
          </w:p>
        </w:tc>
        <w:tc>
          <w:tcPr>
            <w:tcW w:type="dxa" w:w="2400"/>
            <w:shd w:fill="2B2320" w:val="clear"/>
            <w:tcMar>
              <w:top w:type="dxa" w:w="90"/>
              <w:left w:type="dxa" w:w="120"/>
              <w:bottom w:type="dxa" w:w="90"/>
              <w:right w:type="dxa" w:w="120"/>
            </w:tcMar>
          </w:tcPr>
          <w:p>
            <w:r>
              <w:rPr>
                <w:rFonts w:ascii="Calibri" w:cs="Calibri" w:eastAsia="Calibri" w:hAnsi="Calibri"/>
                <w:b/>
                <w:bCs/>
                <w:color w:val="FFFFFF"/>
                <w:sz w:val="20"/>
                <w:szCs w:val="20"/>
              </w:rPr>
              <w:t xml:space="preserve">Email</w:t>
            </w:r>
          </w:p>
        </w:tc>
        <w:tc>
          <w:tcPr>
            <w:tcW w:type="dxa" w:w="3200"/>
            <w:shd w:fill="2B2320" w:val="clear"/>
            <w:tcMar>
              <w:top w:type="dxa" w:w="90"/>
              <w:left w:type="dxa" w:w="120"/>
              <w:bottom w:type="dxa" w:w="90"/>
              <w:right w:type="dxa" w:w="120"/>
            </w:tcMar>
          </w:tcPr>
          <w:p>
            <w:r>
              <w:rPr>
                <w:rFonts w:ascii="Calibri" w:cs="Calibri" w:eastAsia="Calibri" w:hAnsi="Calibri"/>
                <w:b/>
                <w:bCs/>
                <w:color w:val="FFFFFF"/>
                <w:sz w:val="20"/>
                <w:szCs w:val="20"/>
              </w:rPr>
              <w:t xml:space="preserve">What they see</w:t>
            </w:r>
          </w:p>
        </w:tc>
      </w:tr>
      <w:tr>
        <w:tc>
          <w:tcPr>
            <w:tcW w:type="dxa" w:w="1500"/>
            <w:tcMar>
              <w:top w:type="dxa" w:w="80"/>
              <w:left w:type="dxa" w:w="120"/>
              <w:bottom w:type="dxa" w:w="80"/>
              <w:right w:type="dxa" w:w="120"/>
            </w:tcMar>
          </w:tcPr>
          <w:p>
            <w:r>
              <w:rPr>
                <w:rFonts w:ascii="Calibri" w:cs="Calibri" w:eastAsia="Calibri" w:hAnsi="Calibri"/>
                <w:b w:val="false"/>
                <w:bCs w:val="false"/>
                <w:color w:val="1F2937"/>
                <w:sz w:val="20"/>
                <w:szCs w:val="20"/>
              </w:rPr>
              <w:t xml:space="preserve">CEO (PAN-India)</w:t>
            </w:r>
          </w:p>
        </w:tc>
        <w:tc>
          <w:tcPr>
            <w:tcW w:type="dxa" w:w="1700"/>
            <w:tcMar>
              <w:top w:type="dxa" w:w="80"/>
              <w:left w:type="dxa" w:w="120"/>
              <w:bottom w:type="dxa" w:w="80"/>
              <w:right w:type="dxa" w:w="120"/>
            </w:tcMar>
          </w:tcPr>
          <w:p>
            <w:r>
              <w:rPr>
                <w:rFonts w:ascii="Calibri" w:cs="Calibri" w:eastAsia="Calibri" w:hAnsi="Calibri"/>
                <w:b w:val="false"/>
                <w:bCs w:val="false"/>
                <w:color w:val="1F2937"/>
                <w:sz w:val="20"/>
                <w:szCs w:val="20"/>
              </w:rPr>
              <w:t xml:space="preserve">Rajesh Mehta</w:t>
            </w:r>
          </w:p>
        </w:tc>
        <w:tc>
          <w:tcPr>
            <w:tcW w:type="dxa" w:w="2400"/>
            <w:tcMar>
              <w:top w:type="dxa" w:w="80"/>
              <w:left w:type="dxa" w:w="120"/>
              <w:bottom w:type="dxa" w:w="80"/>
              <w:right w:type="dxa" w:w="120"/>
            </w:tcMar>
          </w:tcPr>
          <w:p>
            <w:r>
              <w:rPr>
                <w:rFonts w:ascii="Calibri" w:cs="Calibri" w:eastAsia="Calibri" w:hAnsi="Calibri"/>
                <w:b w:val="false"/>
                <w:bCs w:val="false"/>
                <w:color w:val="1F2937"/>
                <w:sz w:val="20"/>
                <w:szCs w:val="20"/>
              </w:rPr>
              <w:t xml:space="preserve">ceo@heseos.in</w:t>
            </w:r>
          </w:p>
        </w:tc>
        <w:tc>
          <w:tcPr>
            <w:tcW w:type="dxa" w:w="3200"/>
            <w:tcMar>
              <w:top w:type="dxa" w:w="80"/>
              <w:left w:type="dxa" w:w="120"/>
              <w:bottom w:type="dxa" w:w="80"/>
              <w:right w:type="dxa" w:w="120"/>
            </w:tcMar>
          </w:tcPr>
          <w:p>
            <w:r>
              <w:rPr>
                <w:rFonts w:ascii="Calibri" w:cs="Calibri" w:eastAsia="Calibri" w:hAnsi="Calibri"/>
                <w:b w:val="false"/>
                <w:bCs w:val="false"/>
                <w:color w:val="1F2937"/>
                <w:sz w:val="20"/>
                <w:szCs w:val="20"/>
              </w:rPr>
              <w:t xml:space="preserve">Every partner, nationwide</w:t>
            </w:r>
          </w:p>
        </w:tc>
      </w:tr>
      <w:tr>
        <w:tc>
          <w:tcPr>
            <w:tcW w:type="dxa" w:w="15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Zone Manager (West)</w:t>
            </w:r>
          </w:p>
        </w:tc>
        <w:tc>
          <w:tcPr>
            <w:tcW w:type="dxa" w:w="17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Priya Kulkarni</w:t>
            </w:r>
          </w:p>
        </w:tc>
        <w:tc>
          <w:tcPr>
            <w:tcW w:type="dxa" w:w="24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west@heseos.in</w:t>
            </w:r>
          </w:p>
        </w:tc>
        <w:tc>
          <w:tcPr>
            <w:tcW w:type="dxa" w:w="32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All partners in the West zone</w:t>
            </w:r>
          </w:p>
        </w:tc>
      </w:tr>
      <w:tr>
        <w:tc>
          <w:tcPr>
            <w:tcW w:type="dxa" w:w="1500"/>
            <w:tcMar>
              <w:top w:type="dxa" w:w="80"/>
              <w:left w:type="dxa" w:w="120"/>
              <w:bottom w:type="dxa" w:w="80"/>
              <w:right w:type="dxa" w:w="120"/>
            </w:tcMar>
          </w:tcPr>
          <w:p>
            <w:r>
              <w:rPr>
                <w:rFonts w:ascii="Calibri" w:cs="Calibri" w:eastAsia="Calibri" w:hAnsi="Calibri"/>
                <w:b w:val="false"/>
                <w:bCs w:val="false"/>
                <w:color w:val="1F2937"/>
                <w:sz w:val="20"/>
                <w:szCs w:val="20"/>
              </w:rPr>
              <w:t xml:space="preserve">Dealer — Admin</w:t>
            </w:r>
          </w:p>
        </w:tc>
        <w:tc>
          <w:tcPr>
            <w:tcW w:type="dxa" w:w="1700"/>
            <w:tcMar>
              <w:top w:type="dxa" w:w="80"/>
              <w:left w:type="dxa" w:w="120"/>
              <w:bottom w:type="dxa" w:w="80"/>
              <w:right w:type="dxa" w:w="120"/>
            </w:tcMar>
          </w:tcPr>
          <w:p>
            <w:r>
              <w:rPr>
                <w:rFonts w:ascii="Calibri" w:cs="Calibri" w:eastAsia="Calibri" w:hAnsi="Calibri"/>
                <w:b w:val="false"/>
                <w:bCs w:val="false"/>
                <w:color w:val="1F2937"/>
                <w:sz w:val="20"/>
                <w:szCs w:val="20"/>
              </w:rPr>
              <w:t xml:space="preserve">Amit Deshmukh</w:t>
            </w:r>
          </w:p>
        </w:tc>
        <w:tc>
          <w:tcPr>
            <w:tcW w:type="dxa" w:w="2400"/>
            <w:tcMar>
              <w:top w:type="dxa" w:w="80"/>
              <w:left w:type="dxa" w:w="120"/>
              <w:bottom w:type="dxa" w:w="80"/>
              <w:right w:type="dxa" w:w="120"/>
            </w:tcMar>
          </w:tcPr>
          <w:p>
            <w:r>
              <w:rPr>
                <w:rFonts w:ascii="Calibri" w:cs="Calibri" w:eastAsia="Calibri" w:hAnsi="Calibri"/>
                <w:b w:val="false"/>
                <w:bCs w:val="false"/>
                <w:color w:val="1F2937"/>
                <w:sz w:val="20"/>
                <w:szCs w:val="20"/>
              </w:rPr>
              <w:t xml:space="preserve">admin@acme.in</w:t>
            </w:r>
          </w:p>
        </w:tc>
        <w:tc>
          <w:tcPr>
            <w:tcW w:type="dxa" w:w="3200"/>
            <w:tcMar>
              <w:top w:type="dxa" w:w="80"/>
              <w:left w:type="dxa" w:w="120"/>
              <w:bottom w:type="dxa" w:w="80"/>
              <w:right w:type="dxa" w:w="120"/>
            </w:tcMar>
          </w:tcPr>
          <w:p>
            <w:r>
              <w:rPr>
                <w:rFonts w:ascii="Calibri" w:cs="Calibri" w:eastAsia="Calibri" w:hAnsi="Calibri"/>
                <w:b w:val="false"/>
                <w:bCs w:val="false"/>
                <w:color w:val="1F2937"/>
                <w:sz w:val="20"/>
                <w:szCs w:val="20"/>
              </w:rPr>
              <w:t xml:space="preserve">Acme Solar Solutions — full access, incl. branding &amp; team</w:t>
            </w:r>
          </w:p>
        </w:tc>
      </w:tr>
      <w:tr>
        <w:tc>
          <w:tcPr>
            <w:tcW w:type="dxa" w:w="15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Dealer — Sales Rep</w:t>
            </w:r>
          </w:p>
        </w:tc>
        <w:tc>
          <w:tcPr>
            <w:tcW w:type="dxa" w:w="17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Sneha Patil</w:t>
            </w:r>
          </w:p>
        </w:tc>
        <w:tc>
          <w:tcPr>
            <w:tcW w:type="dxa" w:w="24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sales@acme.in</w:t>
            </w:r>
          </w:p>
        </w:tc>
        <w:tc>
          <w:tcPr>
            <w:tcW w:type="dxa" w:w="32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Acme Solar Solutions — sales access only</w:t>
            </w:r>
          </w:p>
        </w:tc>
      </w:tr>
      <w:tr>
        <w:tc>
          <w:tcPr>
            <w:tcW w:type="dxa" w:w="1500"/>
            <w:tcMar>
              <w:top w:type="dxa" w:w="80"/>
              <w:left w:type="dxa" w:w="120"/>
              <w:bottom w:type="dxa" w:w="80"/>
              <w:right w:type="dxa" w:w="120"/>
            </w:tcMar>
          </w:tcPr>
          <w:p>
            <w:r>
              <w:rPr>
                <w:rFonts w:ascii="Calibri" w:cs="Calibri" w:eastAsia="Calibri" w:hAnsi="Calibri"/>
                <w:b w:val="false"/>
                <w:bCs w:val="false"/>
                <w:color w:val="1F2937"/>
                <w:sz w:val="20"/>
                <w:szCs w:val="20"/>
              </w:rPr>
              <w:t xml:space="preserve">System Integrator — Admin</w:t>
            </w:r>
          </w:p>
        </w:tc>
        <w:tc>
          <w:tcPr>
            <w:tcW w:type="dxa" w:w="1700"/>
            <w:tcMar>
              <w:top w:type="dxa" w:w="80"/>
              <w:left w:type="dxa" w:w="120"/>
              <w:bottom w:type="dxa" w:w="80"/>
              <w:right w:type="dxa" w:w="120"/>
            </w:tcMar>
          </w:tcPr>
          <w:p>
            <w:r>
              <w:rPr>
                <w:rFonts w:ascii="Calibri" w:cs="Calibri" w:eastAsia="Calibri" w:hAnsi="Calibri"/>
                <w:b w:val="false"/>
                <w:bCs w:val="false"/>
                <w:color w:val="1F2937"/>
                <w:sz w:val="20"/>
                <w:szCs w:val="20"/>
              </w:rPr>
              <w:t xml:space="preserve">Karthik Rao</w:t>
            </w:r>
          </w:p>
        </w:tc>
        <w:tc>
          <w:tcPr>
            <w:tcW w:type="dxa" w:w="2400"/>
            <w:tcMar>
              <w:top w:type="dxa" w:w="80"/>
              <w:left w:type="dxa" w:w="120"/>
              <w:bottom w:type="dxa" w:w="80"/>
              <w:right w:type="dxa" w:w="120"/>
            </w:tcMar>
          </w:tcPr>
          <w:p>
            <w:r>
              <w:rPr>
                <w:rFonts w:ascii="Calibri" w:cs="Calibri" w:eastAsia="Calibri" w:hAnsi="Calibri"/>
                <w:b w:val="false"/>
                <w:bCs w:val="false"/>
                <w:color w:val="1F2937"/>
                <w:sz w:val="20"/>
                <w:szCs w:val="20"/>
              </w:rPr>
              <w:t xml:space="preserve">admin@voltedge.in</w:t>
            </w:r>
          </w:p>
        </w:tc>
        <w:tc>
          <w:tcPr>
            <w:tcW w:type="dxa" w:w="3200"/>
            <w:tcMar>
              <w:top w:type="dxa" w:w="80"/>
              <w:left w:type="dxa" w:w="120"/>
              <w:bottom w:type="dxa" w:w="80"/>
              <w:right w:type="dxa" w:w="120"/>
            </w:tcMar>
          </w:tcPr>
          <w:p>
            <w:r>
              <w:rPr>
                <w:rFonts w:ascii="Calibri" w:cs="Calibri" w:eastAsia="Calibri" w:hAnsi="Calibri"/>
                <w:b w:val="false"/>
                <w:bCs w:val="false"/>
                <w:color w:val="1F2937"/>
                <w:sz w:val="20"/>
                <w:szCs w:val="20"/>
              </w:rPr>
              <w:t xml:space="preserve">VoltEdge Systems — full access</w:t>
            </w:r>
          </w:p>
        </w:tc>
      </w:tr>
      <w:tr>
        <w:tc>
          <w:tcPr>
            <w:tcW w:type="dxa" w:w="15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Distributor — Admin</w:t>
            </w:r>
          </w:p>
        </w:tc>
        <w:tc>
          <w:tcPr>
            <w:tcW w:type="dxa" w:w="17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Vikram Singh</w:t>
            </w:r>
          </w:p>
        </w:tc>
        <w:tc>
          <w:tcPr>
            <w:tcW w:type="dxa" w:w="24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admin@sungrid.in</w:t>
            </w:r>
          </w:p>
        </w:tc>
        <w:tc>
          <w:tcPr>
            <w:tcW w:type="dxa" w:w="3200"/>
            <w:shd w:fill="FFF4E8"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SunGrid Distributors — full access</w:t>
            </w:r>
          </w:p>
        </w:tc>
      </w:tr>
    </w:tbl>
    <w:p>
      <w:pPr>
        <w:pStyle w:val="Heading1"/>
        <w:pBdr>
          <w:bottom w:val="single" w:color="E8821E" w:sz="8" w:space="4"/>
        </w:pBdr>
        <w:spacing w:after="160" w:before="340"/>
      </w:pPr>
      <w:r>
        <w:rPr>
          <w:rFonts w:ascii="Calibri" w:cs="Calibri" w:eastAsia="Calibri" w:hAnsi="Calibri"/>
          <w:b/>
          <w:bCs/>
          <w:color w:val="E8821E"/>
          <w:sz w:val="28"/>
          <w:szCs w:val="28"/>
        </w:rPr>
        <w:t xml:space="preserve">A Guided Tour (10 minutes)</w:t>
      </w:r>
    </w:p>
    <w:p>
      <w:pPr>
        <w:pStyle w:val="ListParagraph"/>
        <w:numPr>
          <w:ilvl w:val="0"/>
          <w:numId w:val="3"/>
        </w:numPr>
        <w:spacing w:after="130"/>
      </w:pPr>
      <w:r>
        <w:rPr>
          <w:rFonts w:ascii="Calibri" w:cs="Calibri" w:eastAsia="Calibri" w:hAnsi="Calibri"/>
          <w:color w:val="1F2937"/>
          <w:sz w:val="22"/>
          <w:szCs w:val="22"/>
        </w:rPr>
        <w:t xml:space="preserve">Log in as a Dealer Admin (admin@acme.in) to see a partner's own branded workspace.</w:t>
      </w:r>
    </w:p>
    <w:p>
      <w:pPr>
        <w:pStyle w:val="ListParagraph"/>
        <w:numPr>
          <w:ilvl w:val="0"/>
          <w:numId w:val="3"/>
        </w:numPr>
        <w:spacing w:after="130"/>
      </w:pPr>
      <w:r>
        <w:rPr>
          <w:rFonts w:ascii="Calibri" w:cs="Calibri" w:eastAsia="Calibri" w:hAnsi="Calibri"/>
          <w:color w:val="1F2937"/>
          <w:sz w:val="22"/>
          <w:szCs w:val="22"/>
        </w:rPr>
        <w:t xml:space="preserve">Add a new Lead, schedule a Site Visit for it, mark the visit complete, then convert it into a Project — this hands you straight into the quotation builder.</w:t>
      </w:r>
    </w:p>
    <w:p>
      <w:pPr>
        <w:pStyle w:val="ListParagraph"/>
        <w:numPr>
          <w:ilvl w:val="0"/>
          <w:numId w:val="3"/>
        </w:numPr>
        <w:spacing w:after="130"/>
      </w:pPr>
      <w:r>
        <w:rPr>
          <w:rFonts w:ascii="Calibri" w:cs="Calibri" w:eastAsia="Calibri" w:hAnsi="Calibri"/>
          <w:color w:val="1F2937"/>
          <w:sz w:val="22"/>
          <w:szCs w:val="22"/>
        </w:rPr>
        <w:t xml:space="preserve">Build a quotation using the catalogue chips. Notice the two-minute timer and the live GST calculation as you add items.</w:t>
      </w:r>
    </w:p>
    <w:p>
      <w:pPr>
        <w:pStyle w:val="ListParagraph"/>
        <w:numPr>
          <w:ilvl w:val="0"/>
          <w:numId w:val="3"/>
        </w:numPr>
        <w:spacing w:after="130"/>
      </w:pPr>
      <w:r>
        <w:rPr>
          <w:rFonts w:ascii="Calibri" w:cs="Calibri" w:eastAsia="Calibri" w:hAnsi="Calibri"/>
          <w:color w:val="1F2937"/>
          <w:sz w:val="22"/>
          <w:szCs w:val="22"/>
        </w:rPr>
        <w:t xml:space="preserve">Download the branded PDF, then share the quotation over WhatsApp using the tracked link.</w:t>
      </w:r>
    </w:p>
    <w:p>
      <w:pPr>
        <w:pStyle w:val="ListParagraph"/>
        <w:numPr>
          <w:ilvl w:val="0"/>
          <w:numId w:val="3"/>
        </w:numPr>
        <w:spacing w:after="130"/>
      </w:pPr>
      <w:r>
        <w:rPr>
          <w:rFonts w:ascii="Calibri" w:cs="Calibri" w:eastAsia="Calibri" w:hAnsi="Calibri"/>
          <w:color w:val="1F2937"/>
          <w:sz w:val="22"/>
          <w:szCs w:val="22"/>
        </w:rPr>
        <w:t xml:space="preserve">Open that link (e.g. on your phone) — back on your screen, the status flips to “Viewed” automatically.</w:t>
      </w:r>
    </w:p>
    <w:p>
      <w:pPr>
        <w:pStyle w:val="ListParagraph"/>
        <w:numPr>
          <w:ilvl w:val="0"/>
          <w:numId w:val="3"/>
        </w:numPr>
        <w:spacing w:after="130"/>
      </w:pPr>
      <w:r>
        <w:rPr>
          <w:rFonts w:ascii="Calibri" w:cs="Calibri" w:eastAsia="Calibri" w:hAnsi="Calibri"/>
          <w:color w:val="1F2937"/>
          <w:sz w:val="22"/>
          <w:szCs w:val="22"/>
        </w:rPr>
        <w:t xml:space="preserve">Increase the discount past 10% and save a revision — the quotation now needs Deal Desk approval. Log in as the Sales Rep (sales@acme.in) to see that they cannot approve it themselves; log back in as the Admin to clear it.</w:t>
      </w:r>
    </w:p>
    <w:p>
      <w:pPr>
        <w:pStyle w:val="ListParagraph"/>
        <w:numPr>
          <w:ilvl w:val="0"/>
          <w:numId w:val="3"/>
        </w:numPr>
        <w:spacing w:after="130"/>
      </w:pPr>
      <w:r>
        <w:rPr>
          <w:rFonts w:ascii="Calibri" w:cs="Calibri" w:eastAsia="Calibri" w:hAnsi="Calibri"/>
          <w:color w:val="1F2937"/>
          <w:sz w:val="22"/>
          <w:szCs w:val="22"/>
        </w:rPr>
        <w:t xml:space="preserve">Mark the quotation Approved, then Convert it to an Order — check the Orders page to see it appear automatically.</w:t>
      </w:r>
    </w:p>
    <w:p>
      <w:pPr>
        <w:pStyle w:val="ListParagraph"/>
        <w:numPr>
          <w:ilvl w:val="0"/>
          <w:numId w:val="3"/>
        </w:numPr>
        <w:spacing w:after="130"/>
      </w:pPr>
      <w:r>
        <w:rPr>
          <w:rFonts w:ascii="Calibri" w:cs="Calibri" w:eastAsia="Calibri" w:hAnsi="Calibri"/>
          <w:color w:val="1F2937"/>
          <w:sz w:val="22"/>
          <w:szCs w:val="22"/>
        </w:rPr>
        <w:t xml:space="preserve">Click the notification bell to see live nudges the system has raised on its own.</w:t>
      </w:r>
    </w:p>
    <w:p>
      <w:pPr>
        <w:pStyle w:val="ListParagraph"/>
        <w:numPr>
          <w:ilvl w:val="0"/>
          <w:numId w:val="3"/>
        </w:numPr>
        <w:spacing w:after="130"/>
      </w:pPr>
      <w:r>
        <w:rPr>
          <w:rFonts w:ascii="Calibri" w:cs="Calibri" w:eastAsia="Calibri" w:hAnsi="Calibri"/>
          <w:color w:val="1F2937"/>
          <w:sz w:val="22"/>
          <w:szCs w:val="22"/>
        </w:rPr>
        <w:t xml:space="preserve">Log in as the CEO (ceo@heseos.in) and open the Command Center. Drill down from India, through a zone, state, and city, into a specific partner, and finally down to that partner's own sales leaderboard.</w:t>
      </w:r>
    </w:p>
    <w:p>
      <w:pPr>
        <w:pStyle w:val="ListParagraph"/>
        <w:numPr>
          <w:ilvl w:val="0"/>
          <w:numId w:val="3"/>
        </w:numPr>
        <w:spacing w:after="130"/>
      </w:pPr>
      <w:r>
        <w:rPr>
          <w:rFonts w:ascii="Calibri" w:cs="Calibri" w:eastAsia="Calibri" w:hAnsi="Calibri"/>
          <w:color w:val="1F2937"/>
          <w:sz w:val="22"/>
          <w:szCs w:val="22"/>
        </w:rPr>
        <w:t xml:space="preserve">Try Ask HIQM with a question like “Why are we losing quotes?” for an AI-narrated, data-grounded answer.</w:t>
      </w:r>
    </w:p>
    <w:p>
      <w:pPr>
        <w:pStyle w:val="Heading1"/>
        <w:pBdr>
          <w:bottom w:val="single" w:color="E8821E" w:sz="8" w:space="4"/>
        </w:pBdr>
        <w:spacing w:after="160" w:before="340"/>
      </w:pPr>
      <w:r>
        <w:rPr>
          <w:rFonts w:ascii="Calibri" w:cs="Calibri" w:eastAsia="Calibri" w:hAnsi="Calibri"/>
          <w:b/>
          <w:bCs/>
          <w:color w:val="E8821E"/>
          <w:sz w:val="28"/>
          <w:szCs w:val="28"/>
        </w:rPr>
        <w:t xml:space="preserve">Under the Hood</w:t>
      </w:r>
    </w:p>
    <w:p>
      <w:pPr>
        <w:spacing w:after="160"/>
      </w:pPr>
      <w:r>
        <w:rPr>
          <w:rFonts w:ascii="Calibri" w:cs="Calibri" w:eastAsia="Calibri" w:hAnsi="Calibri"/>
          <w:color w:val="1F2937"/>
          <w:sz w:val="22"/>
          <w:szCs w:val="22"/>
        </w:rPr>
        <w:t xml:space="preserve">A few things worth knowing about how HIQM is built:</w:t>
      </w:r>
    </w:p>
    <w:p>
      <w:pPr>
        <w:pStyle w:val="ListParagraph"/>
        <w:numPr>
          <w:ilvl w:val="0"/>
          <w:numId w:val="2"/>
        </w:numPr>
        <w:spacing w:after="90"/>
      </w:pPr>
      <w:r>
        <w:rPr>
          <w:rFonts w:ascii="Calibri" w:cs="Calibri" w:eastAsia="Calibri" w:hAnsi="Calibri"/>
          <w:color w:val="1F2937"/>
          <w:sz w:val="21"/>
          <w:szCs w:val="21"/>
        </w:rPr>
        <w:t xml:space="preserve">Every partner's data is isolated using row-level security at the database itself — not just hidden in the interface — so one partner can never see another's information, even by guessing a web address.</w:t>
      </w:r>
    </w:p>
    <w:p>
      <w:pPr>
        <w:pStyle w:val="ListParagraph"/>
        <w:numPr>
          <w:ilvl w:val="0"/>
          <w:numId w:val="2"/>
        </w:numPr>
        <w:spacing w:after="90"/>
      </w:pPr>
      <w:r>
        <w:rPr>
          <w:rFonts w:ascii="Calibri" w:cs="Calibri" w:eastAsia="Calibri" w:hAnsi="Calibri"/>
          <w:color w:val="1F2937"/>
          <w:sz w:val="21"/>
          <w:szCs w:val="21"/>
        </w:rPr>
        <w:t xml:space="preserve">Money and tax calculations are 100% deterministic; the AI features are strictly advisory (narration, drafting, scoring) and never touch a price, a discount, or a tax figure.</w:t>
      </w:r>
    </w:p>
    <w:p>
      <w:pPr>
        <w:pStyle w:val="ListParagraph"/>
        <w:numPr>
          <w:ilvl w:val="0"/>
          <w:numId w:val="2"/>
        </w:numPr>
        <w:spacing w:after="90"/>
      </w:pPr>
      <w:r>
        <w:rPr>
          <w:rFonts w:ascii="Calibri" w:cs="Calibri" w:eastAsia="Calibri" w:hAnsi="Calibri"/>
          <w:color w:val="1F2937"/>
          <w:sz w:val="21"/>
          <w:szCs w:val="21"/>
        </w:rPr>
        <w:t xml:space="preserve">The scoring models — Quote Health and Win Probability — are transparent, rules-based, and explainable today, with a clear path to becoming learned models later without changing how the rest of the app uses them.</w:t>
      </w:r>
    </w:p>
    <w:p>
      <w:pPr>
        <w:pStyle w:val="ListParagraph"/>
        <w:numPr>
          <w:ilvl w:val="0"/>
          <w:numId w:val="2"/>
        </w:numPr>
        <w:spacing w:after="90"/>
      </w:pPr>
      <w:r>
        <w:rPr>
          <w:rFonts w:ascii="Calibri" w:cs="Calibri" w:eastAsia="Calibri" w:hAnsi="Calibri"/>
          <w:color w:val="1F2937"/>
          <w:sz w:val="21"/>
          <w:szCs w:val="21"/>
        </w:rPr>
        <w:t xml:space="preserve">Everything that happens to a quotation or an order is recorded as an event, which is what powers the live dashboards, ageing alerts, and audit log — and will train future predictive models.</w:t>
      </w:r>
    </w:p>
    <w:p>
      <w:pPr>
        <w:pBdr>
          <w:top w:val="single" w:color="D1D5DB" w:sz="4" w:space="8"/>
        </w:pBdr>
        <w:spacing w:before="300"/>
      </w:pPr>
      <w:r>
        <w:rPr>
          <w:rFonts w:ascii="Calibri" w:cs="Calibri" w:eastAsia="Calibri" w:hAnsi="Calibri"/>
          <w:i/>
          <w:iCs/>
          <w:color w:val="6B7280"/>
          <w:sz w:val="18"/>
          <w:szCs w:val="18"/>
        </w:rPr>
        <w:t xml:space="preserve">Prepared by Vaibhav</w:t>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HIQM — HESEOS Intelligent Quotation Maker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2026-07-24T14:13:48.801Z</dcterms:created>
  <dcterms:modified xsi:type="dcterms:W3CDTF">2026-07-24T14:13:48.802Z</dcterms:modified>
</cp:coreProperties>
</file>

<file path=docProps/custom.xml><?xml version="1.0" encoding="utf-8"?>
<Properties xmlns="http://schemas.openxmlformats.org/officeDocument/2006/custom-properties" xmlns:vt="http://schemas.openxmlformats.org/officeDocument/2006/docPropsVTypes"/>
</file>