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0A24" w14:textId="77777777" w:rsidR="00CA0FF8" w:rsidRDefault="00CA0FF8"/>
    <w:p w14:paraId="58DAC97E" w14:textId="77777777" w:rsidR="00E721CB" w:rsidRDefault="00E721CB"/>
    <w:p w14:paraId="70DE678F" w14:textId="77777777" w:rsidR="00E721CB" w:rsidRDefault="00E721CB"/>
    <w:p w14:paraId="3D89B3CB" w14:textId="77777777" w:rsidR="00E721CB" w:rsidRDefault="00E721CB"/>
    <w:p w14:paraId="6CF94CB0" w14:textId="77777777" w:rsidR="00E721CB" w:rsidRDefault="00E721CB"/>
    <w:p w14:paraId="2005F396" w14:textId="77777777" w:rsidR="00E721CB" w:rsidRDefault="00E721CB"/>
    <w:p w14:paraId="4BF69BB1" w14:textId="77777777" w:rsidR="00054EF5" w:rsidRPr="002B75EF" w:rsidRDefault="00054EF5">
      <w:pPr>
        <w:rPr>
          <w:b/>
          <w:bCs/>
        </w:rPr>
      </w:pPr>
    </w:p>
    <w:p w14:paraId="06EDB1EE" w14:textId="2250C6D0" w:rsidR="00E721CB" w:rsidRPr="00BA178E" w:rsidRDefault="00054EF5" w:rsidP="00054EF5">
      <w:pPr>
        <w:jc w:val="center"/>
        <w:rPr>
          <w:rFonts w:ascii="Calibri" w:hAnsi="Calibri" w:cs="Calibri"/>
          <w:b/>
          <w:bCs/>
        </w:rPr>
      </w:pPr>
      <w:r w:rsidRPr="00BA178E">
        <w:rPr>
          <w:rFonts w:ascii="Calibri" w:hAnsi="Calibri" w:cs="Calibri"/>
          <w:b/>
          <w:bCs/>
        </w:rPr>
        <w:t>Investment Thesis Report</w:t>
      </w:r>
    </w:p>
    <w:p w14:paraId="6D6C91CD" w14:textId="545F9D56" w:rsidR="00331128" w:rsidRPr="00BA178E" w:rsidRDefault="00331128" w:rsidP="004E38FE">
      <w:pPr>
        <w:jc w:val="center"/>
        <w:rPr>
          <w:rFonts w:ascii="Calibri" w:hAnsi="Calibri" w:cs="Calibri"/>
          <w:b/>
          <w:bCs/>
        </w:rPr>
      </w:pPr>
      <w:r w:rsidRPr="00BA178E">
        <w:rPr>
          <w:rFonts w:ascii="Calibri" w:hAnsi="Calibri" w:cs="Calibri"/>
          <w:b/>
          <w:bCs/>
        </w:rPr>
        <w:t xml:space="preserve">Sweetgreen, Inc. </w:t>
      </w:r>
      <w:r w:rsidR="004E38FE" w:rsidRPr="00BA178E">
        <w:rPr>
          <w:rFonts w:ascii="Calibri" w:hAnsi="Calibri" w:cs="Calibri"/>
          <w:b/>
          <w:bCs/>
        </w:rPr>
        <w:t>(NYSE: SG)</w:t>
      </w:r>
    </w:p>
    <w:p w14:paraId="728C2BCB" w14:textId="435053BB" w:rsidR="00331128" w:rsidRPr="00BA178E" w:rsidRDefault="004E38FE" w:rsidP="00E721CB">
      <w:pPr>
        <w:jc w:val="center"/>
        <w:rPr>
          <w:rFonts w:ascii="Calibri" w:hAnsi="Calibri" w:cs="Calibri"/>
          <w:b/>
          <w:bCs/>
        </w:rPr>
      </w:pPr>
      <w:r w:rsidRPr="00BA178E">
        <w:rPr>
          <w:rFonts w:ascii="Calibri" w:hAnsi="Calibri" w:cs="Calibri"/>
          <w:b/>
          <w:bCs/>
        </w:rPr>
        <w:t>Author</w:t>
      </w:r>
      <w:r w:rsidR="00C87A70" w:rsidRPr="00BA178E">
        <w:rPr>
          <w:rFonts w:ascii="Calibri" w:hAnsi="Calibri" w:cs="Calibri"/>
          <w:b/>
          <w:bCs/>
        </w:rPr>
        <w:t>: Andrew Vail</w:t>
      </w:r>
    </w:p>
    <w:p w14:paraId="25748F6C" w14:textId="4DC9CD69" w:rsidR="00C87A70" w:rsidRPr="00BA178E" w:rsidRDefault="00C87A70" w:rsidP="00E721CB">
      <w:pPr>
        <w:jc w:val="center"/>
        <w:rPr>
          <w:rFonts w:ascii="Calibri" w:hAnsi="Calibri" w:cs="Calibri"/>
          <w:b/>
          <w:bCs/>
        </w:rPr>
      </w:pPr>
      <w:r w:rsidRPr="00BA178E">
        <w:rPr>
          <w:rFonts w:ascii="Calibri" w:hAnsi="Calibri" w:cs="Calibri"/>
          <w:b/>
          <w:bCs/>
        </w:rPr>
        <w:t>July 23, 2025</w:t>
      </w:r>
    </w:p>
    <w:p w14:paraId="68CBB652" w14:textId="77777777" w:rsidR="002B75EF" w:rsidRPr="00BA178E" w:rsidRDefault="002B75EF" w:rsidP="00E721CB">
      <w:pPr>
        <w:jc w:val="center"/>
        <w:rPr>
          <w:rFonts w:ascii="Calibri" w:hAnsi="Calibri" w:cs="Calibri"/>
          <w:b/>
          <w:bCs/>
        </w:rPr>
      </w:pPr>
    </w:p>
    <w:p w14:paraId="3826EC92" w14:textId="77777777" w:rsidR="00C87A70" w:rsidRDefault="00C87A70" w:rsidP="00E721CB">
      <w:pPr>
        <w:jc w:val="center"/>
      </w:pPr>
    </w:p>
    <w:p w14:paraId="027EA695" w14:textId="77777777" w:rsidR="00C87A70" w:rsidRDefault="00C87A70" w:rsidP="00E721CB">
      <w:pPr>
        <w:jc w:val="center"/>
      </w:pPr>
    </w:p>
    <w:p w14:paraId="7930D521" w14:textId="77777777" w:rsidR="00C87A70" w:rsidRDefault="00C87A70" w:rsidP="00E721CB">
      <w:pPr>
        <w:jc w:val="center"/>
      </w:pPr>
    </w:p>
    <w:p w14:paraId="3668BB3A" w14:textId="77777777" w:rsidR="00C87A70" w:rsidRDefault="00C87A70" w:rsidP="00E721CB">
      <w:pPr>
        <w:jc w:val="center"/>
      </w:pPr>
    </w:p>
    <w:p w14:paraId="31982A89" w14:textId="77777777" w:rsidR="00C87A70" w:rsidRDefault="00C87A70" w:rsidP="00E721CB">
      <w:pPr>
        <w:jc w:val="center"/>
      </w:pPr>
    </w:p>
    <w:p w14:paraId="07C96D7C" w14:textId="77777777" w:rsidR="00C87A70" w:rsidRDefault="00C87A70" w:rsidP="00E721CB">
      <w:pPr>
        <w:jc w:val="center"/>
      </w:pPr>
    </w:p>
    <w:p w14:paraId="42404729" w14:textId="77777777" w:rsidR="00C87A70" w:rsidRDefault="00C87A70" w:rsidP="00E721CB">
      <w:pPr>
        <w:jc w:val="center"/>
      </w:pPr>
    </w:p>
    <w:p w14:paraId="322D9F6C" w14:textId="77777777" w:rsidR="00C87A70" w:rsidRDefault="00C87A70" w:rsidP="00E721CB">
      <w:pPr>
        <w:jc w:val="center"/>
      </w:pPr>
    </w:p>
    <w:p w14:paraId="76F91FA9" w14:textId="77777777" w:rsidR="00C87A70" w:rsidRDefault="00C87A70" w:rsidP="00E721CB">
      <w:pPr>
        <w:jc w:val="center"/>
      </w:pPr>
    </w:p>
    <w:p w14:paraId="1DE148B6" w14:textId="77777777" w:rsidR="00C87A70" w:rsidRDefault="00C87A70" w:rsidP="00E721CB">
      <w:pPr>
        <w:jc w:val="center"/>
      </w:pPr>
    </w:p>
    <w:p w14:paraId="6B3D8CA2" w14:textId="77777777" w:rsidR="00C87A70" w:rsidRDefault="00C87A70" w:rsidP="00E721CB">
      <w:pPr>
        <w:jc w:val="center"/>
      </w:pPr>
    </w:p>
    <w:p w14:paraId="6209A101" w14:textId="41AFD8D0" w:rsidR="0019172D" w:rsidRDefault="0019172D" w:rsidP="0019172D"/>
    <w:p w14:paraId="75234F20" w14:textId="77777777" w:rsidR="00A341B0" w:rsidRDefault="00A341B0" w:rsidP="0019172D"/>
    <w:p w14:paraId="4E47A6C1" w14:textId="77777777" w:rsidR="00370D5E" w:rsidRDefault="00370D5E" w:rsidP="009E2113">
      <w:pPr>
        <w:spacing w:line="240" w:lineRule="auto"/>
        <w:rPr>
          <w:rFonts w:ascii="Calibri" w:hAnsi="Calibri" w:cs="Calibri"/>
          <w:b/>
          <w:bCs/>
        </w:rPr>
      </w:pPr>
    </w:p>
    <w:p w14:paraId="6CA525CA" w14:textId="52602A68" w:rsidR="002B75EF" w:rsidRPr="00BA178E" w:rsidRDefault="00E92AAE" w:rsidP="009E2113">
      <w:pPr>
        <w:spacing w:line="240" w:lineRule="auto"/>
        <w:rPr>
          <w:rFonts w:ascii="Calibri" w:hAnsi="Calibri" w:cs="Calibri"/>
          <w:b/>
          <w:bCs/>
        </w:rPr>
      </w:pPr>
      <w:r w:rsidRPr="00BA178E">
        <w:rPr>
          <w:rFonts w:ascii="Calibri" w:hAnsi="Calibri" w:cs="Calibri"/>
          <w:b/>
          <w:bCs/>
        </w:rPr>
        <w:lastRenderedPageBreak/>
        <w:t>Sweetgreen, Inc (NYSE: SG) – Valuation and Investment Thesis Analysis</w:t>
      </w:r>
    </w:p>
    <w:p w14:paraId="74CA41FF" w14:textId="624F5B37" w:rsidR="00E92AAE" w:rsidRPr="00BA178E" w:rsidRDefault="00E92AAE" w:rsidP="009E2113">
      <w:pPr>
        <w:spacing w:line="240" w:lineRule="auto"/>
        <w:rPr>
          <w:rFonts w:ascii="Calibri" w:hAnsi="Calibri" w:cs="Calibri"/>
          <w:b/>
          <w:bCs/>
        </w:rPr>
      </w:pPr>
      <w:r w:rsidRPr="00BA178E">
        <w:rPr>
          <w:rFonts w:ascii="Calibri" w:hAnsi="Calibri" w:cs="Calibri"/>
          <w:b/>
          <w:bCs/>
        </w:rPr>
        <w:t>Overview</w:t>
      </w:r>
    </w:p>
    <w:p w14:paraId="43D61D3F" w14:textId="07A75072" w:rsidR="00E92AAE" w:rsidRPr="00BA178E" w:rsidRDefault="00EF58CE" w:rsidP="009E2113">
      <w:pPr>
        <w:spacing w:line="240" w:lineRule="auto"/>
        <w:rPr>
          <w:rFonts w:ascii="Calibri" w:hAnsi="Calibri" w:cs="Calibri"/>
        </w:rPr>
      </w:pPr>
      <w:r w:rsidRPr="00BA178E">
        <w:rPr>
          <w:rFonts w:ascii="Calibri" w:hAnsi="Calibri" w:cs="Calibri"/>
        </w:rPr>
        <w:t xml:space="preserve">Sweetgreen is an early-growth, fast-casual restaurant chain undergoing operational transformation </w:t>
      </w:r>
      <w:r w:rsidR="0000313A" w:rsidRPr="00BA178E">
        <w:rPr>
          <w:rFonts w:ascii="Calibri" w:hAnsi="Calibri" w:cs="Calibri"/>
        </w:rPr>
        <w:t xml:space="preserve">led by the rollout of Infinite Kitchen automation technology. This </w:t>
      </w:r>
      <w:r w:rsidR="0095114F" w:rsidRPr="00BA178E">
        <w:rPr>
          <w:rFonts w:ascii="Calibri" w:hAnsi="Calibri" w:cs="Calibri"/>
        </w:rPr>
        <w:t xml:space="preserve">new technology is designed to increase restaurant-level margins </w:t>
      </w:r>
      <w:r w:rsidR="00C26FBE" w:rsidRPr="00BA178E">
        <w:rPr>
          <w:rFonts w:ascii="Calibri" w:hAnsi="Calibri" w:cs="Calibri"/>
        </w:rPr>
        <w:t>via</w:t>
      </w:r>
      <w:r w:rsidR="0095114F" w:rsidRPr="00BA178E">
        <w:rPr>
          <w:rFonts w:ascii="Calibri" w:hAnsi="Calibri" w:cs="Calibri"/>
        </w:rPr>
        <w:t xml:space="preserve"> enhanced labor efficiency and throughput, while corporate G&amp;A intensity is expected to decline as the store base scales. </w:t>
      </w:r>
    </w:p>
    <w:p w14:paraId="4CB949E6" w14:textId="2B12933C" w:rsidR="00B06A0B" w:rsidRPr="00BA178E" w:rsidRDefault="003620DC" w:rsidP="009E211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model</w:t>
      </w:r>
      <w:r w:rsidR="00F92279" w:rsidRPr="00BA178E">
        <w:rPr>
          <w:rFonts w:ascii="Calibri" w:hAnsi="Calibri" w:cs="Calibri"/>
        </w:rPr>
        <w:t xml:space="preserve"> base case valuation estimates an intrinsic value ran</w:t>
      </w:r>
      <w:r w:rsidR="003F6982" w:rsidRPr="00BA178E">
        <w:rPr>
          <w:rFonts w:ascii="Calibri" w:hAnsi="Calibri" w:cs="Calibri"/>
        </w:rPr>
        <w:t xml:space="preserve">ge from </w:t>
      </w:r>
      <w:r w:rsidR="003F6982" w:rsidRPr="00BA178E">
        <w:rPr>
          <w:rFonts w:ascii="Calibri" w:hAnsi="Calibri" w:cs="Calibri"/>
          <w:b/>
          <w:bCs/>
        </w:rPr>
        <w:t>$10.47 per share</w:t>
      </w:r>
      <w:r w:rsidR="003F6982" w:rsidRPr="00BA178E">
        <w:rPr>
          <w:rFonts w:ascii="Calibri" w:hAnsi="Calibri" w:cs="Calibri"/>
        </w:rPr>
        <w:t xml:space="preserve"> (based on DCF) to </w:t>
      </w:r>
      <w:r w:rsidR="003F6982" w:rsidRPr="00BA178E">
        <w:rPr>
          <w:rFonts w:ascii="Calibri" w:hAnsi="Calibri" w:cs="Calibri"/>
          <w:b/>
          <w:bCs/>
        </w:rPr>
        <w:t>$34.30 per share</w:t>
      </w:r>
      <w:r w:rsidR="003F6982" w:rsidRPr="00BA178E">
        <w:rPr>
          <w:rFonts w:ascii="Calibri" w:hAnsi="Calibri" w:cs="Calibri"/>
        </w:rPr>
        <w:t xml:space="preserve"> (using 35x forward multiple on FY2029 EPS), reflecting </w:t>
      </w:r>
      <w:r w:rsidR="000962D0" w:rsidRPr="00BA178E">
        <w:rPr>
          <w:rFonts w:ascii="Calibri" w:hAnsi="Calibri" w:cs="Calibri"/>
        </w:rPr>
        <w:t xml:space="preserve">growth in store count, margin expansion driven by automation, and operational leverage. </w:t>
      </w:r>
    </w:p>
    <w:p w14:paraId="1BA30726" w14:textId="50684F5C" w:rsidR="00E92AAE" w:rsidRPr="00BA178E" w:rsidRDefault="009301F2" w:rsidP="009E2113">
      <w:pPr>
        <w:spacing w:line="240" w:lineRule="auto"/>
        <w:rPr>
          <w:rFonts w:ascii="Calibri" w:hAnsi="Calibri" w:cs="Calibri"/>
          <w:b/>
          <w:bCs/>
        </w:rPr>
      </w:pPr>
      <w:r w:rsidRPr="00BA178E">
        <w:rPr>
          <w:rFonts w:ascii="Calibri" w:hAnsi="Calibri" w:cs="Calibri"/>
          <w:b/>
          <w:bCs/>
        </w:rPr>
        <w:t>Investment Thesis</w:t>
      </w:r>
    </w:p>
    <w:p w14:paraId="6233ACE0" w14:textId="4D6E2CD0" w:rsidR="009301F2" w:rsidRPr="00BA178E" w:rsidRDefault="009301F2" w:rsidP="009E2113">
      <w:pPr>
        <w:spacing w:line="240" w:lineRule="auto"/>
        <w:rPr>
          <w:rFonts w:ascii="Calibri" w:hAnsi="Calibri" w:cs="Calibri"/>
        </w:rPr>
      </w:pPr>
      <w:r w:rsidRPr="00BA178E">
        <w:rPr>
          <w:rFonts w:ascii="Calibri" w:hAnsi="Calibri" w:cs="Calibri"/>
        </w:rPr>
        <w:t xml:space="preserve">Recommendation: </w:t>
      </w:r>
      <w:r w:rsidRPr="00BA178E">
        <w:rPr>
          <w:rFonts w:ascii="Calibri" w:hAnsi="Calibri" w:cs="Calibri"/>
          <w:b/>
          <w:bCs/>
        </w:rPr>
        <w:t xml:space="preserve">SHORT with </w:t>
      </w:r>
      <w:r w:rsidR="00977DED" w:rsidRPr="00BA178E">
        <w:rPr>
          <w:rFonts w:ascii="Calibri" w:hAnsi="Calibri" w:cs="Calibri"/>
          <w:b/>
          <w:bCs/>
        </w:rPr>
        <w:t>C</w:t>
      </w:r>
      <w:r w:rsidRPr="00BA178E">
        <w:rPr>
          <w:rFonts w:ascii="Calibri" w:hAnsi="Calibri" w:cs="Calibri"/>
          <w:b/>
          <w:bCs/>
        </w:rPr>
        <w:t xml:space="preserve">onditional </w:t>
      </w:r>
      <w:r w:rsidR="00977DED" w:rsidRPr="00BA178E">
        <w:rPr>
          <w:rFonts w:ascii="Calibri" w:hAnsi="Calibri" w:cs="Calibri"/>
          <w:b/>
          <w:bCs/>
        </w:rPr>
        <w:t>Reassessment</w:t>
      </w:r>
    </w:p>
    <w:p w14:paraId="11827C3C" w14:textId="3943F005" w:rsidR="00B11A46" w:rsidRPr="00BA178E" w:rsidRDefault="00312244" w:rsidP="009E2113">
      <w:pPr>
        <w:spacing w:line="240" w:lineRule="auto"/>
        <w:rPr>
          <w:rFonts w:ascii="Calibri" w:hAnsi="Calibri" w:cs="Calibri"/>
        </w:rPr>
      </w:pPr>
      <w:r w:rsidRPr="00BA178E">
        <w:rPr>
          <w:rFonts w:ascii="Calibri" w:hAnsi="Calibri" w:cs="Calibri"/>
        </w:rPr>
        <w:t xml:space="preserve">I recommend a </w:t>
      </w:r>
      <w:r w:rsidR="009301F2" w:rsidRPr="00BA178E">
        <w:rPr>
          <w:rFonts w:ascii="Calibri" w:hAnsi="Calibri" w:cs="Calibri"/>
        </w:rPr>
        <w:t>short</w:t>
      </w:r>
      <w:r w:rsidRPr="00BA178E">
        <w:rPr>
          <w:rFonts w:ascii="Calibri" w:hAnsi="Calibri" w:cs="Calibri"/>
        </w:rPr>
        <w:t xml:space="preserve"> position in Sweetgreen at $14.00. The price</w:t>
      </w:r>
      <w:r w:rsidR="00B25A09">
        <w:rPr>
          <w:rFonts w:ascii="Calibri" w:hAnsi="Calibri" w:cs="Calibri"/>
        </w:rPr>
        <w:t>, as of close July 21,</w:t>
      </w:r>
      <w:r w:rsidRPr="00BA178E">
        <w:rPr>
          <w:rFonts w:ascii="Calibri" w:hAnsi="Calibri" w:cs="Calibri"/>
        </w:rPr>
        <w:t xml:space="preserve"> reflects a</w:t>
      </w:r>
      <w:r w:rsidR="00243257" w:rsidRPr="00BA178E">
        <w:rPr>
          <w:rFonts w:ascii="Calibri" w:hAnsi="Calibri" w:cs="Calibri"/>
        </w:rPr>
        <w:t xml:space="preserve"> bull-case</w:t>
      </w:r>
      <w:r w:rsidRPr="00BA178E">
        <w:rPr>
          <w:rFonts w:ascii="Calibri" w:hAnsi="Calibri" w:cs="Calibri"/>
        </w:rPr>
        <w:t xml:space="preserve"> </w:t>
      </w:r>
      <w:r w:rsidR="006E6DFF" w:rsidRPr="00BA178E">
        <w:rPr>
          <w:rFonts w:ascii="Calibri" w:hAnsi="Calibri" w:cs="Calibri"/>
        </w:rPr>
        <w:t xml:space="preserve">outcome </w:t>
      </w:r>
      <w:r w:rsidRPr="00BA178E">
        <w:rPr>
          <w:rFonts w:ascii="Calibri" w:hAnsi="Calibri" w:cs="Calibri"/>
        </w:rPr>
        <w:t xml:space="preserve">not yet supported by fundamentals. Ongoing losses, G&amp;A inefficiency, and </w:t>
      </w:r>
      <w:r w:rsidR="00337CC3" w:rsidRPr="00BA178E">
        <w:rPr>
          <w:rFonts w:ascii="Calibri" w:hAnsi="Calibri" w:cs="Calibri"/>
        </w:rPr>
        <w:t>limited evidence of automation-led margin transformation constrain the near-term upside</w:t>
      </w:r>
      <w:r w:rsidRPr="00BA178E">
        <w:rPr>
          <w:rFonts w:ascii="Calibri" w:hAnsi="Calibri" w:cs="Calibri"/>
        </w:rPr>
        <w:t>.</w:t>
      </w:r>
    </w:p>
    <w:p w14:paraId="7FA37E84" w14:textId="3C096CCE" w:rsidR="00B06A0B" w:rsidRPr="00BA178E" w:rsidRDefault="00B11A46" w:rsidP="009E2113">
      <w:pPr>
        <w:spacing w:line="240" w:lineRule="auto"/>
        <w:rPr>
          <w:rFonts w:ascii="Calibri" w:hAnsi="Calibri" w:cs="Calibri"/>
        </w:rPr>
      </w:pPr>
      <w:r w:rsidRPr="00BA178E">
        <w:rPr>
          <w:rFonts w:ascii="Calibri" w:hAnsi="Calibri" w:cs="Calibri"/>
        </w:rPr>
        <w:t xml:space="preserve">The </w:t>
      </w:r>
      <w:r w:rsidR="006E6DFF" w:rsidRPr="00BA178E">
        <w:rPr>
          <w:rFonts w:ascii="Calibri" w:hAnsi="Calibri" w:cs="Calibri"/>
        </w:rPr>
        <w:t>market</w:t>
      </w:r>
      <w:r w:rsidRPr="00BA178E">
        <w:rPr>
          <w:rFonts w:ascii="Calibri" w:hAnsi="Calibri" w:cs="Calibri"/>
        </w:rPr>
        <w:t xml:space="preserve"> valuation is disconnected from the underlying fundamentals and assumes </w:t>
      </w:r>
      <w:r w:rsidR="007003AE" w:rsidRPr="00BA178E">
        <w:rPr>
          <w:rFonts w:ascii="Calibri" w:hAnsi="Calibri" w:cs="Calibri"/>
        </w:rPr>
        <w:t>best-case execution scenario</w:t>
      </w:r>
      <w:r w:rsidR="00E7593B" w:rsidRPr="00BA178E">
        <w:rPr>
          <w:rFonts w:ascii="Calibri" w:hAnsi="Calibri" w:cs="Calibri"/>
        </w:rPr>
        <w:t xml:space="preserve"> </w:t>
      </w:r>
      <w:r w:rsidR="007003AE" w:rsidRPr="00BA178E">
        <w:rPr>
          <w:rFonts w:ascii="Calibri" w:hAnsi="Calibri" w:cs="Calibri"/>
        </w:rPr>
        <w:t>across</w:t>
      </w:r>
      <w:r w:rsidR="00C14A26" w:rsidRPr="00BA178E">
        <w:rPr>
          <w:rFonts w:ascii="Calibri" w:hAnsi="Calibri" w:cs="Calibri"/>
        </w:rPr>
        <w:t xml:space="preserve"> store growth, cost discipline, and throughput gains.</w:t>
      </w:r>
      <w:r w:rsidR="00312244" w:rsidRPr="00BA178E">
        <w:rPr>
          <w:rFonts w:ascii="Calibri" w:hAnsi="Calibri" w:cs="Calibri"/>
        </w:rPr>
        <w:t xml:space="preserve"> I see material downside risk if </w:t>
      </w:r>
      <w:r w:rsidR="001015DC" w:rsidRPr="00BA178E">
        <w:rPr>
          <w:rFonts w:ascii="Calibri" w:hAnsi="Calibri" w:cs="Calibri"/>
        </w:rPr>
        <w:t xml:space="preserve">investor </w:t>
      </w:r>
      <w:r w:rsidR="00312244" w:rsidRPr="00BA178E">
        <w:rPr>
          <w:rFonts w:ascii="Calibri" w:hAnsi="Calibri" w:cs="Calibri"/>
        </w:rPr>
        <w:t xml:space="preserve">expectations </w:t>
      </w:r>
      <w:r w:rsidR="00501401" w:rsidRPr="00BA178E">
        <w:rPr>
          <w:rFonts w:ascii="Calibri" w:hAnsi="Calibri" w:cs="Calibri"/>
        </w:rPr>
        <w:t>reset</w:t>
      </w:r>
      <w:r w:rsidR="001015DC" w:rsidRPr="00BA178E">
        <w:rPr>
          <w:rFonts w:ascii="Calibri" w:hAnsi="Calibri" w:cs="Calibri"/>
        </w:rPr>
        <w:t xml:space="preserve"> towards a more realistic operating trajectory.</w:t>
      </w:r>
      <w:r w:rsidR="00501401" w:rsidRPr="00BA178E">
        <w:rPr>
          <w:rFonts w:ascii="Calibri" w:hAnsi="Calibri" w:cs="Calibri"/>
        </w:rPr>
        <w:t xml:space="preserve"> </w:t>
      </w:r>
      <w:r w:rsidR="001015DC" w:rsidRPr="00BA178E">
        <w:rPr>
          <w:rFonts w:ascii="Calibri" w:hAnsi="Calibri" w:cs="Calibri"/>
        </w:rPr>
        <w:t xml:space="preserve">I </w:t>
      </w:r>
      <w:r w:rsidR="00312244" w:rsidRPr="00BA178E">
        <w:rPr>
          <w:rFonts w:ascii="Calibri" w:hAnsi="Calibri" w:cs="Calibri"/>
        </w:rPr>
        <w:t>would revisit the long case upon evidence</w:t>
      </w:r>
      <w:r w:rsidR="001015DC" w:rsidRPr="00BA178E">
        <w:rPr>
          <w:rFonts w:ascii="Calibri" w:hAnsi="Calibri" w:cs="Calibri"/>
        </w:rPr>
        <w:t xml:space="preserve"> </w:t>
      </w:r>
      <w:r w:rsidR="006E6DFF" w:rsidRPr="00BA178E">
        <w:rPr>
          <w:rFonts w:ascii="Calibri" w:hAnsi="Calibri" w:cs="Calibri"/>
        </w:rPr>
        <w:t>of</w:t>
      </w:r>
      <w:r w:rsidR="00312244" w:rsidRPr="00BA178E">
        <w:rPr>
          <w:rFonts w:ascii="Calibri" w:hAnsi="Calibri" w:cs="Calibri"/>
        </w:rPr>
        <w:t xml:space="preserve"> sustained EPS inflection</w:t>
      </w:r>
      <w:r w:rsidR="001015DC" w:rsidRPr="00BA178E">
        <w:rPr>
          <w:rFonts w:ascii="Calibri" w:hAnsi="Calibri" w:cs="Calibri"/>
        </w:rPr>
        <w:t>, consistent margin expansion, and scalable</w:t>
      </w:r>
      <w:r w:rsidR="00BC342B" w:rsidRPr="00BA178E">
        <w:rPr>
          <w:rFonts w:ascii="Calibri" w:hAnsi="Calibri" w:cs="Calibri"/>
        </w:rPr>
        <w:t xml:space="preserve">, cost-effective deployment of </w:t>
      </w:r>
      <w:r w:rsidR="001015DC" w:rsidRPr="00BA178E">
        <w:rPr>
          <w:rFonts w:ascii="Calibri" w:hAnsi="Calibri" w:cs="Calibri"/>
        </w:rPr>
        <w:t xml:space="preserve">Infinite Kitchen. </w:t>
      </w:r>
    </w:p>
    <w:p w14:paraId="418DE097" w14:textId="58DD10DF" w:rsidR="00B06A0B" w:rsidRPr="00BA178E" w:rsidRDefault="00B06A0B" w:rsidP="009E2113">
      <w:pPr>
        <w:spacing w:line="240" w:lineRule="auto"/>
        <w:rPr>
          <w:rFonts w:ascii="Calibri" w:hAnsi="Calibri" w:cs="Calibri"/>
          <w:b/>
          <w:bCs/>
        </w:rPr>
      </w:pPr>
      <w:r w:rsidRPr="00BA178E">
        <w:rPr>
          <w:rFonts w:ascii="Calibri" w:hAnsi="Calibri" w:cs="Calibri"/>
          <w:b/>
          <w:bCs/>
        </w:rPr>
        <w:t>Key Drivers of the Thesis</w:t>
      </w:r>
    </w:p>
    <w:p w14:paraId="0B769D0C" w14:textId="6CAD60B9" w:rsidR="00DD645E" w:rsidRPr="00BA178E" w:rsidRDefault="00DD645E" w:rsidP="009E2113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BA178E">
        <w:rPr>
          <w:rFonts w:ascii="Calibri" w:hAnsi="Calibri" w:cs="Calibri"/>
          <w:b/>
          <w:bCs/>
        </w:rPr>
        <w:t xml:space="preserve">G&amp;A Leverage is </w:t>
      </w:r>
      <w:r w:rsidR="00D2082E" w:rsidRPr="00BA178E">
        <w:rPr>
          <w:rFonts w:ascii="Calibri" w:hAnsi="Calibri" w:cs="Calibri"/>
          <w:b/>
          <w:bCs/>
        </w:rPr>
        <w:t>C</w:t>
      </w:r>
      <w:r w:rsidRPr="00BA178E">
        <w:rPr>
          <w:rFonts w:ascii="Calibri" w:hAnsi="Calibri" w:cs="Calibri"/>
          <w:b/>
          <w:bCs/>
        </w:rPr>
        <w:t xml:space="preserve">ritical but </w:t>
      </w:r>
      <w:r w:rsidR="00D2082E" w:rsidRPr="00BA178E">
        <w:rPr>
          <w:rFonts w:ascii="Calibri" w:hAnsi="Calibri" w:cs="Calibri"/>
          <w:b/>
          <w:bCs/>
        </w:rPr>
        <w:t>U</w:t>
      </w:r>
      <w:r w:rsidRPr="00BA178E">
        <w:rPr>
          <w:rFonts w:ascii="Calibri" w:hAnsi="Calibri" w:cs="Calibri"/>
          <w:b/>
          <w:bCs/>
        </w:rPr>
        <w:t>nproven.</w:t>
      </w:r>
      <w:r w:rsidRPr="00BA178E">
        <w:rPr>
          <w:rFonts w:ascii="Calibri" w:hAnsi="Calibri" w:cs="Calibri"/>
        </w:rPr>
        <w:t xml:space="preserve"> </w:t>
      </w:r>
    </w:p>
    <w:p w14:paraId="5BF38024" w14:textId="28D23F5D" w:rsidR="00DD645E" w:rsidRPr="00BA178E" w:rsidRDefault="005E465F" w:rsidP="009E2113">
      <w:pPr>
        <w:spacing w:line="240" w:lineRule="auto"/>
        <w:ind w:left="360"/>
        <w:rPr>
          <w:rFonts w:ascii="Calibri" w:hAnsi="Calibri" w:cs="Calibri"/>
        </w:rPr>
      </w:pPr>
      <w:r w:rsidRPr="00BA178E">
        <w:rPr>
          <w:rFonts w:ascii="Calibri" w:hAnsi="Calibri" w:cs="Calibri"/>
        </w:rPr>
        <w:t xml:space="preserve">Sweetgreen’s </w:t>
      </w:r>
      <w:r w:rsidR="00A36C9F" w:rsidRPr="00BA178E">
        <w:rPr>
          <w:rFonts w:ascii="Calibri" w:hAnsi="Calibri" w:cs="Calibri"/>
        </w:rPr>
        <w:t>G&amp;A</w:t>
      </w:r>
      <w:r w:rsidR="00406D41">
        <w:rPr>
          <w:rFonts w:ascii="Calibri" w:hAnsi="Calibri" w:cs="Calibri"/>
        </w:rPr>
        <w:t xml:space="preserve"> expense</w:t>
      </w:r>
      <w:r w:rsidR="00A36C9F" w:rsidRPr="00BA178E">
        <w:rPr>
          <w:rFonts w:ascii="Calibri" w:hAnsi="Calibri" w:cs="Calibri"/>
        </w:rPr>
        <w:t xml:space="preserve"> was 21% of revenue in FY2024</w:t>
      </w:r>
      <w:r w:rsidR="00424EF5" w:rsidRPr="00BA178E">
        <w:rPr>
          <w:rFonts w:ascii="Calibri" w:hAnsi="Calibri" w:cs="Calibri"/>
        </w:rPr>
        <w:t xml:space="preserve">, and historically over 20% for the last 8 quarters. G&amp;A must decline to 13% </w:t>
      </w:r>
      <w:r w:rsidR="00EA5034" w:rsidRPr="00BA178E">
        <w:rPr>
          <w:rFonts w:ascii="Calibri" w:hAnsi="Calibri" w:cs="Calibri"/>
        </w:rPr>
        <w:t xml:space="preserve">of revenue </w:t>
      </w:r>
      <w:r w:rsidR="00424EF5" w:rsidRPr="00BA178E">
        <w:rPr>
          <w:rFonts w:ascii="Calibri" w:hAnsi="Calibri" w:cs="Calibri"/>
        </w:rPr>
        <w:t>by FY2029</w:t>
      </w:r>
      <w:r w:rsidRPr="00BA178E">
        <w:rPr>
          <w:rFonts w:ascii="Calibri" w:hAnsi="Calibri" w:cs="Calibri"/>
        </w:rPr>
        <w:t xml:space="preserve"> to support </w:t>
      </w:r>
      <w:r w:rsidR="00381000" w:rsidRPr="00BA178E">
        <w:rPr>
          <w:rFonts w:ascii="Calibri" w:hAnsi="Calibri" w:cs="Calibri"/>
        </w:rPr>
        <w:t>earnings expansion but</w:t>
      </w:r>
      <w:r w:rsidRPr="00BA178E">
        <w:rPr>
          <w:rFonts w:ascii="Calibri" w:hAnsi="Calibri" w:cs="Calibri"/>
        </w:rPr>
        <w:t xml:space="preserve"> has yet to be demonstrated in practice. </w:t>
      </w:r>
      <w:r w:rsidR="006441CC" w:rsidRPr="00BA178E">
        <w:rPr>
          <w:rFonts w:ascii="Calibri" w:hAnsi="Calibri" w:cs="Calibri"/>
        </w:rPr>
        <w:t>By comparison, peers such as Cava (~12%) and Chipotle (&lt;10%) already operate with more efficient cost structures at larger scale</w:t>
      </w:r>
      <w:r w:rsidR="00071815" w:rsidRPr="00BA178E">
        <w:rPr>
          <w:rFonts w:ascii="Calibri" w:hAnsi="Calibri" w:cs="Calibri"/>
        </w:rPr>
        <w:t xml:space="preserve"> (</w:t>
      </w:r>
      <w:proofErr w:type="spellStart"/>
      <w:r w:rsidR="00071815" w:rsidRPr="00BA178E">
        <w:rPr>
          <w:rFonts w:ascii="Calibri" w:hAnsi="Calibri" w:cs="Calibri"/>
        </w:rPr>
        <w:t>MacroTrends</w:t>
      </w:r>
      <w:proofErr w:type="spellEnd"/>
      <w:r w:rsidR="00071815" w:rsidRPr="00BA178E">
        <w:rPr>
          <w:rFonts w:ascii="Calibri" w:hAnsi="Calibri" w:cs="Calibri"/>
        </w:rPr>
        <w:t>, 2025)</w:t>
      </w:r>
      <w:r w:rsidR="006441CC" w:rsidRPr="00BA178E">
        <w:rPr>
          <w:rFonts w:ascii="Calibri" w:hAnsi="Calibri" w:cs="Calibri"/>
        </w:rPr>
        <w:t xml:space="preserve">. Sweetgreen must show significant operating leverage to </w:t>
      </w:r>
      <w:r w:rsidR="00EA5034" w:rsidRPr="00BA178E">
        <w:rPr>
          <w:rFonts w:ascii="Calibri" w:hAnsi="Calibri" w:cs="Calibri"/>
        </w:rPr>
        <w:t>match peer efficiency</w:t>
      </w:r>
      <w:r w:rsidR="006441CC" w:rsidRPr="00BA178E">
        <w:rPr>
          <w:rFonts w:ascii="Calibri" w:hAnsi="Calibri" w:cs="Calibri"/>
        </w:rPr>
        <w:t>, which introduces substantial execution risk.</w:t>
      </w:r>
    </w:p>
    <w:p w14:paraId="69F77A26" w14:textId="0220192A" w:rsidR="00D2082E" w:rsidRPr="00BA178E" w:rsidRDefault="00D2082E" w:rsidP="009E2113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BA178E">
        <w:rPr>
          <w:rFonts w:ascii="Calibri" w:hAnsi="Calibri" w:cs="Calibri"/>
          <w:b/>
          <w:bCs/>
        </w:rPr>
        <w:t>Restaurant-Level Margin Expansion via Automation</w:t>
      </w:r>
    </w:p>
    <w:p w14:paraId="21CE15CB" w14:textId="7576D472" w:rsidR="00367333" w:rsidRPr="00BA178E" w:rsidRDefault="00367333" w:rsidP="009E2113">
      <w:pPr>
        <w:spacing w:line="240" w:lineRule="auto"/>
        <w:ind w:left="360"/>
        <w:rPr>
          <w:rFonts w:ascii="Calibri" w:hAnsi="Calibri" w:cs="Calibri"/>
        </w:rPr>
      </w:pPr>
      <w:r w:rsidRPr="00BA178E">
        <w:rPr>
          <w:rFonts w:ascii="Calibri" w:hAnsi="Calibri" w:cs="Calibri"/>
        </w:rPr>
        <w:t>Infinite Kitchen rollout is modeled to drive RLM from 17.9% to 34.</w:t>
      </w:r>
      <w:r w:rsidR="00201428" w:rsidRPr="00BA178E">
        <w:rPr>
          <w:rFonts w:ascii="Calibri" w:hAnsi="Calibri" w:cs="Calibri"/>
        </w:rPr>
        <w:t xml:space="preserve">48% by FY2029. </w:t>
      </w:r>
      <w:r w:rsidR="00C113DA" w:rsidRPr="00BA178E">
        <w:rPr>
          <w:rFonts w:ascii="Calibri" w:hAnsi="Calibri" w:cs="Calibri"/>
        </w:rPr>
        <w:t xml:space="preserve">This margin lift is supported by pilot data showing up to an </w:t>
      </w:r>
      <w:proofErr w:type="gramStart"/>
      <w:r w:rsidR="00C113DA" w:rsidRPr="00BA178E">
        <w:rPr>
          <w:rFonts w:ascii="Calibri" w:hAnsi="Calibri" w:cs="Calibri"/>
        </w:rPr>
        <w:t>800 basis</w:t>
      </w:r>
      <w:proofErr w:type="gramEnd"/>
      <w:r w:rsidR="00C113DA" w:rsidRPr="00BA178E">
        <w:rPr>
          <w:rFonts w:ascii="Calibri" w:hAnsi="Calibri" w:cs="Calibri"/>
        </w:rPr>
        <w:t xml:space="preserve"> point improvement in stores equipped with Infinite Kitchen compared to traditional stores (</w:t>
      </w:r>
      <w:proofErr w:type="spellStart"/>
      <w:r w:rsidR="00C113DA" w:rsidRPr="00BA178E">
        <w:rPr>
          <w:rFonts w:ascii="Calibri" w:hAnsi="Calibri" w:cs="Calibri"/>
        </w:rPr>
        <w:t>Ainvest</w:t>
      </w:r>
      <w:proofErr w:type="spellEnd"/>
      <w:r w:rsidR="00C113DA" w:rsidRPr="00BA178E">
        <w:rPr>
          <w:rFonts w:ascii="Calibri" w:hAnsi="Calibri" w:cs="Calibri"/>
        </w:rPr>
        <w:t xml:space="preserve">, 2024). However, </w:t>
      </w:r>
      <w:r w:rsidR="00B8789E" w:rsidRPr="00BA178E">
        <w:rPr>
          <w:rFonts w:ascii="Calibri" w:hAnsi="Calibri" w:cs="Calibri"/>
        </w:rPr>
        <w:t xml:space="preserve">these gains are unproven </w:t>
      </w:r>
      <w:proofErr w:type="gramStart"/>
      <w:r w:rsidR="00B8789E" w:rsidRPr="00BA178E">
        <w:rPr>
          <w:rFonts w:ascii="Calibri" w:hAnsi="Calibri" w:cs="Calibri"/>
        </w:rPr>
        <w:t>at scale</w:t>
      </w:r>
      <w:proofErr w:type="gramEnd"/>
      <w:r w:rsidR="00B8789E" w:rsidRPr="00BA178E">
        <w:rPr>
          <w:rFonts w:ascii="Calibri" w:hAnsi="Calibri" w:cs="Calibri"/>
        </w:rPr>
        <w:t>.</w:t>
      </w:r>
      <w:r w:rsidR="00C113DA" w:rsidRPr="00BA178E">
        <w:rPr>
          <w:rFonts w:ascii="Calibri" w:hAnsi="Calibri" w:cs="Calibri"/>
        </w:rPr>
        <w:t xml:space="preserve"> </w:t>
      </w:r>
      <w:r w:rsidR="00B8789E" w:rsidRPr="00BA178E">
        <w:rPr>
          <w:rFonts w:ascii="Calibri" w:hAnsi="Calibri" w:cs="Calibri"/>
        </w:rPr>
        <w:t>I</w:t>
      </w:r>
      <w:r w:rsidR="00C113DA" w:rsidRPr="00BA178E">
        <w:rPr>
          <w:rFonts w:ascii="Calibri" w:hAnsi="Calibri" w:cs="Calibri"/>
        </w:rPr>
        <w:t xml:space="preserve">f Infinite Kitchen fails to deliver consistent </w:t>
      </w:r>
      <w:r w:rsidR="00B8789E" w:rsidRPr="00BA178E">
        <w:rPr>
          <w:rFonts w:ascii="Calibri" w:hAnsi="Calibri" w:cs="Calibri"/>
        </w:rPr>
        <w:t>throughput and labor efficienc</w:t>
      </w:r>
      <w:r w:rsidR="00FF067E" w:rsidRPr="00BA178E">
        <w:rPr>
          <w:rFonts w:ascii="Calibri" w:hAnsi="Calibri" w:cs="Calibri"/>
        </w:rPr>
        <w:t>y across diverse markets, the margin expansion breaks down</w:t>
      </w:r>
      <w:r w:rsidR="00C113DA" w:rsidRPr="00BA178E">
        <w:rPr>
          <w:rFonts w:ascii="Calibri" w:hAnsi="Calibri" w:cs="Calibri"/>
        </w:rPr>
        <w:t xml:space="preserve">. </w:t>
      </w:r>
    </w:p>
    <w:p w14:paraId="0CD43384" w14:textId="156485AD" w:rsidR="00C113DA" w:rsidRPr="00BA178E" w:rsidRDefault="00C001A4" w:rsidP="009E2113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BA178E">
        <w:rPr>
          <w:rFonts w:ascii="Calibri" w:hAnsi="Calibri" w:cs="Calibri"/>
          <w:b/>
          <w:bCs/>
        </w:rPr>
        <w:t>AUV and Same-Store Sales Growth</w:t>
      </w:r>
    </w:p>
    <w:p w14:paraId="702458A6" w14:textId="5FA4A8E9" w:rsidR="00C001A4" w:rsidRPr="00BA178E" w:rsidRDefault="00F065E3" w:rsidP="009E2113">
      <w:pPr>
        <w:spacing w:line="240" w:lineRule="auto"/>
        <w:ind w:left="360"/>
        <w:rPr>
          <w:rFonts w:ascii="Calibri" w:hAnsi="Calibri" w:cs="Calibri"/>
        </w:rPr>
      </w:pPr>
      <w:r w:rsidRPr="00BA178E">
        <w:rPr>
          <w:rFonts w:ascii="Calibri" w:hAnsi="Calibri" w:cs="Calibri"/>
        </w:rPr>
        <w:t>The model</w:t>
      </w:r>
      <w:r w:rsidR="00AE23B9" w:rsidRPr="00BA178E">
        <w:rPr>
          <w:rFonts w:ascii="Calibri" w:hAnsi="Calibri" w:cs="Calibri"/>
        </w:rPr>
        <w:t xml:space="preserve"> base case assumes </w:t>
      </w:r>
      <w:r w:rsidR="00191D4B" w:rsidRPr="00BA178E">
        <w:rPr>
          <w:rFonts w:ascii="Calibri" w:hAnsi="Calibri" w:cs="Calibri"/>
        </w:rPr>
        <w:t xml:space="preserve">0.25% quarterly AUV growth starting FY2025, </w:t>
      </w:r>
      <w:r w:rsidR="0061181E" w:rsidRPr="00BA178E">
        <w:rPr>
          <w:rFonts w:ascii="Calibri" w:hAnsi="Calibri" w:cs="Calibri"/>
        </w:rPr>
        <w:t>reflecting</w:t>
      </w:r>
      <w:r w:rsidR="00191D4B" w:rsidRPr="00BA178E">
        <w:rPr>
          <w:rFonts w:ascii="Calibri" w:hAnsi="Calibri" w:cs="Calibri"/>
        </w:rPr>
        <w:t xml:space="preserve"> </w:t>
      </w:r>
      <w:r w:rsidR="004B64C6" w:rsidRPr="00BA178E">
        <w:rPr>
          <w:rFonts w:ascii="Calibri" w:hAnsi="Calibri" w:cs="Calibri"/>
        </w:rPr>
        <w:t xml:space="preserve">modest SSS recovery. This is essential to drive operating leverage and margin to scale. </w:t>
      </w:r>
      <w:r w:rsidR="00A96D29" w:rsidRPr="00BA178E">
        <w:rPr>
          <w:rFonts w:ascii="Calibri" w:hAnsi="Calibri" w:cs="Calibri"/>
        </w:rPr>
        <w:lastRenderedPageBreak/>
        <w:t xml:space="preserve">However, recent performance </w:t>
      </w:r>
      <w:r w:rsidRPr="00BA178E">
        <w:rPr>
          <w:rFonts w:ascii="Calibri" w:hAnsi="Calibri" w:cs="Calibri"/>
        </w:rPr>
        <w:t>showed headwind</w:t>
      </w:r>
      <w:r w:rsidR="003764A8">
        <w:rPr>
          <w:rFonts w:ascii="Calibri" w:hAnsi="Calibri" w:cs="Calibri"/>
        </w:rPr>
        <w:t>s</w:t>
      </w:r>
      <w:r w:rsidR="00850C40">
        <w:rPr>
          <w:rFonts w:ascii="Calibri" w:hAnsi="Calibri" w:cs="Calibri"/>
        </w:rPr>
        <w:t xml:space="preserve">: </w:t>
      </w:r>
      <w:r w:rsidR="000965C7">
        <w:rPr>
          <w:rFonts w:ascii="Calibri" w:hAnsi="Calibri" w:cs="Calibri"/>
        </w:rPr>
        <w:t>declining consumer traffic, urban market weakness, and consumer sensitivity to higher prices.</w:t>
      </w:r>
      <w:r w:rsidRPr="00BA178E">
        <w:rPr>
          <w:rFonts w:ascii="Calibri" w:hAnsi="Calibri" w:cs="Calibri"/>
        </w:rPr>
        <w:t xml:space="preserve"> </w:t>
      </w:r>
      <w:r w:rsidR="00850C40">
        <w:rPr>
          <w:rFonts w:ascii="Calibri" w:hAnsi="Calibri" w:cs="Calibri"/>
        </w:rPr>
        <w:t>M</w:t>
      </w:r>
      <w:r w:rsidR="00B213BD" w:rsidRPr="00BA178E">
        <w:rPr>
          <w:rFonts w:ascii="Calibri" w:hAnsi="Calibri" w:cs="Calibri"/>
        </w:rPr>
        <w:t xml:space="preserve">anagement guided Q1 2025 SSS to be “approximately flat” for the full year </w:t>
      </w:r>
      <w:r w:rsidRPr="00BA178E">
        <w:rPr>
          <w:rFonts w:ascii="Calibri" w:hAnsi="Calibri" w:cs="Calibri"/>
        </w:rPr>
        <w:t>following</w:t>
      </w:r>
      <w:r w:rsidR="00B213BD" w:rsidRPr="00BA178E">
        <w:rPr>
          <w:rFonts w:ascii="Calibri" w:hAnsi="Calibri" w:cs="Calibri"/>
        </w:rPr>
        <w:t xml:space="preserve"> a 3.1% decline </w:t>
      </w:r>
      <w:r w:rsidR="005D612F" w:rsidRPr="00BA178E">
        <w:rPr>
          <w:rFonts w:ascii="Calibri" w:hAnsi="Calibri" w:cs="Calibri"/>
        </w:rPr>
        <w:t>Year-over-Year in Q1</w:t>
      </w:r>
      <w:r w:rsidR="00B656DD" w:rsidRPr="00BA178E">
        <w:rPr>
          <w:rFonts w:ascii="Calibri" w:hAnsi="Calibri" w:cs="Calibri"/>
        </w:rPr>
        <w:t xml:space="preserve"> (</w:t>
      </w:r>
      <w:proofErr w:type="spellStart"/>
      <w:r w:rsidR="00B656DD" w:rsidRPr="00BA178E">
        <w:rPr>
          <w:rFonts w:ascii="Calibri" w:hAnsi="Calibri" w:cs="Calibri"/>
        </w:rPr>
        <w:t>RestaurantDive</w:t>
      </w:r>
      <w:proofErr w:type="spellEnd"/>
      <w:r w:rsidR="00B656DD" w:rsidRPr="00BA178E">
        <w:rPr>
          <w:rFonts w:ascii="Calibri" w:hAnsi="Calibri" w:cs="Calibri"/>
        </w:rPr>
        <w:t xml:space="preserve">, </w:t>
      </w:r>
      <w:r w:rsidR="007B2C6D" w:rsidRPr="00BA178E">
        <w:rPr>
          <w:rFonts w:ascii="Calibri" w:hAnsi="Calibri" w:cs="Calibri"/>
        </w:rPr>
        <w:t>2025)</w:t>
      </w:r>
      <w:r w:rsidR="005D612F" w:rsidRPr="00BA178E">
        <w:rPr>
          <w:rFonts w:ascii="Calibri" w:hAnsi="Calibri" w:cs="Calibri"/>
        </w:rPr>
        <w:t>.</w:t>
      </w:r>
      <w:r w:rsidR="004B64C6" w:rsidRPr="00BA178E">
        <w:rPr>
          <w:rFonts w:ascii="Calibri" w:hAnsi="Calibri" w:cs="Calibri"/>
        </w:rPr>
        <w:t xml:space="preserve"> </w:t>
      </w:r>
      <w:r w:rsidR="005D612F" w:rsidRPr="00BA178E">
        <w:rPr>
          <w:rFonts w:ascii="Calibri" w:hAnsi="Calibri" w:cs="Calibri"/>
        </w:rPr>
        <w:t xml:space="preserve">With </w:t>
      </w:r>
      <w:r w:rsidR="00225C9A" w:rsidRPr="00BA178E">
        <w:rPr>
          <w:rFonts w:ascii="Calibri" w:hAnsi="Calibri" w:cs="Calibri"/>
        </w:rPr>
        <w:t xml:space="preserve">flat comps now forecast, the AUV must rebound to represent this </w:t>
      </w:r>
      <w:r w:rsidR="00250742" w:rsidRPr="00BA178E">
        <w:rPr>
          <w:rFonts w:ascii="Calibri" w:hAnsi="Calibri" w:cs="Calibri"/>
        </w:rPr>
        <w:t xml:space="preserve">essential growth. If traffic does not </w:t>
      </w:r>
      <w:r w:rsidR="0081456D">
        <w:rPr>
          <w:rFonts w:ascii="Calibri" w:hAnsi="Calibri" w:cs="Calibri"/>
        </w:rPr>
        <w:t>increase</w:t>
      </w:r>
      <w:r w:rsidR="00250742" w:rsidRPr="00BA178E">
        <w:rPr>
          <w:rFonts w:ascii="Calibri" w:hAnsi="Calibri" w:cs="Calibri"/>
        </w:rPr>
        <w:t xml:space="preserve"> this introduces execution risk. </w:t>
      </w:r>
    </w:p>
    <w:p w14:paraId="03FDF4E7" w14:textId="5D729C35" w:rsidR="007B2C6D" w:rsidRPr="00BA178E" w:rsidRDefault="00245034" w:rsidP="009E2113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BA178E">
        <w:rPr>
          <w:rFonts w:ascii="Calibri" w:hAnsi="Calibri" w:cs="Calibri"/>
          <w:b/>
          <w:bCs/>
        </w:rPr>
        <w:t>Delayed ROIC Inflection and Capital Efficiency Risk</w:t>
      </w:r>
    </w:p>
    <w:p w14:paraId="6BCE1883" w14:textId="1EC9C884" w:rsidR="00245034" w:rsidRPr="00BA178E" w:rsidRDefault="00245034" w:rsidP="009E2113">
      <w:pPr>
        <w:spacing w:line="240" w:lineRule="auto"/>
        <w:ind w:left="360"/>
        <w:rPr>
          <w:rFonts w:ascii="Calibri" w:hAnsi="Calibri" w:cs="Calibri"/>
        </w:rPr>
      </w:pPr>
      <w:r w:rsidRPr="00BA178E">
        <w:rPr>
          <w:rFonts w:ascii="Calibri" w:hAnsi="Calibri" w:cs="Calibri"/>
        </w:rPr>
        <w:t>While Sweetgreen’s Infinite Kitchen rollout supports long-term margin upside, its’ capital intensity remains high through FY2026-</w:t>
      </w:r>
      <w:r w:rsidR="008605FF" w:rsidRPr="00BA178E">
        <w:rPr>
          <w:rFonts w:ascii="Calibri" w:hAnsi="Calibri" w:cs="Calibri"/>
        </w:rPr>
        <w:t xml:space="preserve">27. Despite NOPAT improvement, ROIC </w:t>
      </w:r>
      <w:r w:rsidR="0081283B" w:rsidRPr="00BA178E">
        <w:rPr>
          <w:rFonts w:ascii="Calibri" w:hAnsi="Calibri" w:cs="Calibri"/>
        </w:rPr>
        <w:t xml:space="preserve">in </w:t>
      </w:r>
      <w:r w:rsidR="00F065E3" w:rsidRPr="00BA178E">
        <w:rPr>
          <w:rFonts w:ascii="Calibri" w:hAnsi="Calibri" w:cs="Calibri"/>
        </w:rPr>
        <w:t>the</w:t>
      </w:r>
      <w:r w:rsidR="008605FF" w:rsidRPr="00BA178E">
        <w:rPr>
          <w:rFonts w:ascii="Calibri" w:hAnsi="Calibri" w:cs="Calibri"/>
        </w:rPr>
        <w:t xml:space="preserve"> model </w:t>
      </w:r>
      <w:r w:rsidR="0081283B" w:rsidRPr="00BA178E">
        <w:rPr>
          <w:rFonts w:ascii="Calibri" w:hAnsi="Calibri" w:cs="Calibri"/>
        </w:rPr>
        <w:t xml:space="preserve">remains negative through FY2026, only inflecting above WACC in FY2027 and beyond. Capital </w:t>
      </w:r>
      <w:r w:rsidR="003663E5" w:rsidRPr="00BA178E">
        <w:rPr>
          <w:rFonts w:ascii="Calibri" w:hAnsi="Calibri" w:cs="Calibri"/>
        </w:rPr>
        <w:t>returns are</w:t>
      </w:r>
      <w:r w:rsidR="0081283B" w:rsidRPr="00BA178E">
        <w:rPr>
          <w:rFonts w:ascii="Calibri" w:hAnsi="Calibri" w:cs="Calibri"/>
        </w:rPr>
        <w:t xml:space="preserve"> delayed due to continued store expansion, automation investments, and limited same-store sales leverage. </w:t>
      </w:r>
    </w:p>
    <w:p w14:paraId="461D5508" w14:textId="2DA33F90" w:rsidR="00B60450" w:rsidRPr="00BA178E" w:rsidRDefault="006C6660" w:rsidP="009E2113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BA178E">
        <w:rPr>
          <w:rFonts w:ascii="Calibri" w:hAnsi="Calibri" w:cs="Calibri"/>
          <w:b/>
          <w:bCs/>
        </w:rPr>
        <w:t>Limited Dilution, but EPS Leverage Required</w:t>
      </w:r>
    </w:p>
    <w:p w14:paraId="6A8785A7" w14:textId="0CF4E573" w:rsidR="006C6660" w:rsidRPr="00BA178E" w:rsidRDefault="004E4424" w:rsidP="009E2113">
      <w:pPr>
        <w:spacing w:line="240" w:lineRule="auto"/>
        <w:ind w:left="360"/>
        <w:rPr>
          <w:rFonts w:ascii="Calibri" w:hAnsi="Calibri" w:cs="Calibri"/>
        </w:rPr>
      </w:pPr>
      <w:r w:rsidRPr="00BA178E">
        <w:rPr>
          <w:rFonts w:ascii="Calibri" w:hAnsi="Calibri" w:cs="Calibri"/>
        </w:rPr>
        <w:t xml:space="preserve">Sweetgreen’s share count is projected to grow at a modest 0.5% annually based on historical issuance patterns. </w:t>
      </w:r>
      <w:r w:rsidR="00964564" w:rsidRPr="00BA178E">
        <w:rPr>
          <w:rFonts w:ascii="Calibri" w:hAnsi="Calibri" w:cs="Calibri"/>
        </w:rPr>
        <w:t>While t</w:t>
      </w:r>
      <w:r w:rsidR="007234B6" w:rsidRPr="00BA178E">
        <w:rPr>
          <w:rFonts w:ascii="Calibri" w:hAnsi="Calibri" w:cs="Calibri"/>
        </w:rPr>
        <w:t>his dil</w:t>
      </w:r>
      <w:r w:rsidR="00964564" w:rsidRPr="00BA178E">
        <w:rPr>
          <w:rFonts w:ascii="Calibri" w:hAnsi="Calibri" w:cs="Calibri"/>
        </w:rPr>
        <w:t xml:space="preserve">ution is relatively low in comparison to other early-stage growth companies, it places pressure on </w:t>
      </w:r>
      <w:r w:rsidR="00BF1C11" w:rsidRPr="00BA178E">
        <w:rPr>
          <w:rFonts w:ascii="Calibri" w:hAnsi="Calibri" w:cs="Calibri"/>
        </w:rPr>
        <w:t>achieving Earnings Per Share (EPS) leverage. In my base case, FY2029 EPS reaches $0.98, supported by scaling down G&amp;A as a percentage of revenue and margin expansion. Share count increases could dilute any future upside if unit-level profitability does not grow consi</w:t>
      </w:r>
      <w:r w:rsidR="00D257AA" w:rsidRPr="00BA178E">
        <w:rPr>
          <w:rFonts w:ascii="Calibri" w:hAnsi="Calibri" w:cs="Calibri"/>
        </w:rPr>
        <w:t xml:space="preserve">stently. The stock’s current valuation assumes significant EPS </w:t>
      </w:r>
      <w:r w:rsidR="00C21E12" w:rsidRPr="00BA178E">
        <w:rPr>
          <w:rFonts w:ascii="Calibri" w:hAnsi="Calibri" w:cs="Calibri"/>
        </w:rPr>
        <w:t xml:space="preserve">scaling; underperformance could challenge the viability of upside. </w:t>
      </w:r>
    </w:p>
    <w:p w14:paraId="71419C0A" w14:textId="01A4C70F" w:rsidR="00C21E12" w:rsidRPr="00BA178E" w:rsidRDefault="000A34BC" w:rsidP="009E2113">
      <w:pPr>
        <w:spacing w:line="240" w:lineRule="auto"/>
        <w:rPr>
          <w:rFonts w:ascii="Calibri" w:hAnsi="Calibri" w:cs="Calibri"/>
          <w:b/>
          <w:bCs/>
        </w:rPr>
      </w:pPr>
      <w:r w:rsidRPr="00BA178E">
        <w:rPr>
          <w:rFonts w:ascii="Calibri" w:hAnsi="Calibri" w:cs="Calibri"/>
          <w:b/>
          <w:bCs/>
        </w:rPr>
        <w:t>Valuation</w:t>
      </w:r>
    </w:p>
    <w:p w14:paraId="2CB6E94B" w14:textId="259C8506" w:rsidR="00BA178E" w:rsidRDefault="005A0BA8" w:rsidP="009E211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model valued Sweetgreen using a five-year DCF model and an EPS-based forward multiple </w:t>
      </w:r>
      <w:proofErr w:type="gramStart"/>
      <w:r>
        <w:rPr>
          <w:rFonts w:ascii="Calibri" w:hAnsi="Calibri" w:cs="Calibri"/>
        </w:rPr>
        <w:t>framework</w:t>
      </w:r>
      <w:proofErr w:type="gramEnd"/>
      <w:r>
        <w:rPr>
          <w:rFonts w:ascii="Calibri" w:hAnsi="Calibri" w:cs="Calibri"/>
        </w:rPr>
        <w:t xml:space="preserve"> to triangulate the company’s intrinsic value.</w:t>
      </w:r>
      <w:r w:rsidR="00F3396C">
        <w:rPr>
          <w:rFonts w:ascii="Calibri" w:hAnsi="Calibri" w:cs="Calibri"/>
        </w:rPr>
        <w:t xml:space="preserve"> Both approaches reflect the </w:t>
      </w:r>
      <w:r w:rsidR="004C6BBA">
        <w:rPr>
          <w:rFonts w:ascii="Calibri" w:hAnsi="Calibri" w:cs="Calibri"/>
        </w:rPr>
        <w:t>impact of margin expansion, operating leverage, and unit growth</w:t>
      </w:r>
      <w:r w:rsidR="002A1B05">
        <w:rPr>
          <w:rFonts w:ascii="Calibri" w:hAnsi="Calibri" w:cs="Calibri"/>
        </w:rPr>
        <w:t xml:space="preserve">. The model suggests the current price reflects an </w:t>
      </w:r>
      <w:r w:rsidR="008E6198">
        <w:rPr>
          <w:rFonts w:ascii="Calibri" w:hAnsi="Calibri" w:cs="Calibri"/>
        </w:rPr>
        <w:t xml:space="preserve">aggressive execution case. </w:t>
      </w:r>
    </w:p>
    <w:p w14:paraId="45EA74CE" w14:textId="54E6E078" w:rsidR="008E6198" w:rsidRDefault="008E6198" w:rsidP="009E211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DCF Summary</w:t>
      </w:r>
    </w:p>
    <w:p w14:paraId="48915298" w14:textId="6F0E361F" w:rsidR="008E6198" w:rsidRDefault="008E6198" w:rsidP="009E211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model base case DCF yields and </w:t>
      </w:r>
      <w:r w:rsidRPr="00BF4925">
        <w:rPr>
          <w:rFonts w:ascii="Calibri" w:hAnsi="Calibri" w:cs="Calibri"/>
          <w:b/>
          <w:bCs/>
        </w:rPr>
        <w:t>implied share price of $10.47</w:t>
      </w:r>
      <w:r>
        <w:rPr>
          <w:rFonts w:ascii="Calibri" w:hAnsi="Calibri" w:cs="Calibri"/>
        </w:rPr>
        <w:t xml:space="preserve"> using:</w:t>
      </w:r>
    </w:p>
    <w:p w14:paraId="05D0233A" w14:textId="408E35E6" w:rsidR="008E6198" w:rsidRDefault="008E6198" w:rsidP="009E2113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</w:rPr>
      </w:pPr>
      <w:r w:rsidRPr="00BF4925">
        <w:rPr>
          <w:rFonts w:ascii="Calibri" w:hAnsi="Calibri" w:cs="Calibri"/>
          <w:b/>
          <w:bCs/>
        </w:rPr>
        <w:t>WACC: 15.8%</w:t>
      </w:r>
      <w:r>
        <w:rPr>
          <w:rFonts w:ascii="Calibri" w:hAnsi="Calibri" w:cs="Calibri"/>
        </w:rPr>
        <w:t xml:space="preserve"> (based on CAPM with high beta</w:t>
      </w:r>
      <w:r w:rsidR="00FA4F70">
        <w:rPr>
          <w:rFonts w:ascii="Calibri" w:hAnsi="Calibri" w:cs="Calibri"/>
        </w:rPr>
        <w:t xml:space="preserve"> of 2.07)</w:t>
      </w:r>
    </w:p>
    <w:p w14:paraId="37DECC97" w14:textId="42DE1BD0" w:rsidR="00FA4F70" w:rsidRDefault="00FA4F70" w:rsidP="009E2113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</w:rPr>
      </w:pPr>
      <w:r w:rsidRPr="00BF4925">
        <w:rPr>
          <w:rFonts w:ascii="Calibri" w:hAnsi="Calibri" w:cs="Calibri"/>
          <w:b/>
          <w:bCs/>
        </w:rPr>
        <w:t>Terminal growth rate (g): 2.5%,</w:t>
      </w:r>
      <w:r>
        <w:rPr>
          <w:rFonts w:ascii="Calibri" w:hAnsi="Calibri" w:cs="Calibri"/>
        </w:rPr>
        <w:t xml:space="preserve"> </w:t>
      </w:r>
      <w:r w:rsidR="00CF1B53">
        <w:rPr>
          <w:rFonts w:ascii="Calibri" w:hAnsi="Calibri" w:cs="Calibri"/>
        </w:rPr>
        <w:t>matching long-term Nominal GDP growth</w:t>
      </w:r>
    </w:p>
    <w:p w14:paraId="271CA77D" w14:textId="4D701067" w:rsidR="00A2739D" w:rsidRDefault="00A2739D" w:rsidP="009E2113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</w:rPr>
      </w:pPr>
      <w:r w:rsidRPr="00BF4925">
        <w:rPr>
          <w:rFonts w:ascii="Calibri" w:hAnsi="Calibri" w:cs="Calibri"/>
          <w:b/>
          <w:bCs/>
        </w:rPr>
        <w:t>FCF Inflection: FY2026</w:t>
      </w:r>
      <w:r>
        <w:rPr>
          <w:rFonts w:ascii="Calibri" w:hAnsi="Calibri" w:cs="Calibri"/>
        </w:rPr>
        <w:t xml:space="preserve">, with terminal value driven by RLM expansion and stabilized </w:t>
      </w:r>
      <w:r w:rsidR="00806607">
        <w:rPr>
          <w:rFonts w:ascii="Calibri" w:hAnsi="Calibri" w:cs="Calibri"/>
        </w:rPr>
        <w:t>c</w:t>
      </w:r>
      <w:r>
        <w:rPr>
          <w:rFonts w:ascii="Calibri" w:hAnsi="Calibri" w:cs="Calibri"/>
        </w:rPr>
        <w:t>ap</w:t>
      </w:r>
      <w:r w:rsidR="00806607">
        <w:rPr>
          <w:rFonts w:ascii="Calibri" w:hAnsi="Calibri" w:cs="Calibri"/>
        </w:rPr>
        <w:t>e</w:t>
      </w:r>
      <w:r>
        <w:rPr>
          <w:rFonts w:ascii="Calibri" w:hAnsi="Calibri" w:cs="Calibri"/>
        </w:rPr>
        <w:t>x/store</w:t>
      </w:r>
    </w:p>
    <w:p w14:paraId="65E5D8F5" w14:textId="773BE9E0" w:rsidR="00A2739D" w:rsidRDefault="00A2739D" w:rsidP="009E211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Downside and Upside scenarios were modeled by flexing WACC and g:</w:t>
      </w:r>
    </w:p>
    <w:p w14:paraId="139A296A" w14:textId="7B04E226" w:rsidR="00A2739D" w:rsidRDefault="00BF4925" w:rsidP="009E2113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</w:rPr>
      </w:pPr>
      <w:r w:rsidRPr="00EA5062">
        <w:rPr>
          <w:rFonts w:ascii="Calibri" w:hAnsi="Calibri" w:cs="Calibri"/>
          <w:b/>
          <w:bCs/>
        </w:rPr>
        <w:t>Bear Case: $8.97</w:t>
      </w:r>
      <w:r w:rsidR="00EA5062">
        <w:rPr>
          <w:rFonts w:ascii="Calibri" w:hAnsi="Calibri" w:cs="Calibri"/>
        </w:rPr>
        <w:t xml:space="preserve"> per share (17% WACC, 1.5% g)</w:t>
      </w:r>
    </w:p>
    <w:p w14:paraId="06C25CC0" w14:textId="0DE8E70E" w:rsidR="00EA5062" w:rsidRDefault="00EA5062" w:rsidP="009E2113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</w:rPr>
      </w:pPr>
      <w:r w:rsidRPr="00EA5062">
        <w:rPr>
          <w:rFonts w:ascii="Calibri" w:hAnsi="Calibri" w:cs="Calibri"/>
          <w:b/>
          <w:bCs/>
        </w:rPr>
        <w:t>Bull Case: $14.35</w:t>
      </w:r>
      <w:r>
        <w:rPr>
          <w:rFonts w:ascii="Calibri" w:hAnsi="Calibri" w:cs="Calibri"/>
        </w:rPr>
        <w:t xml:space="preserve"> per share (13% WACC, 3.0%g)</w:t>
      </w:r>
    </w:p>
    <w:p w14:paraId="08C3A0E1" w14:textId="46B224CA" w:rsidR="0043228B" w:rsidRDefault="0043228B" w:rsidP="009E211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These outputs suggest that the </w:t>
      </w:r>
      <w:r w:rsidRPr="0043228B">
        <w:rPr>
          <w:rFonts w:ascii="Calibri" w:hAnsi="Calibri" w:cs="Calibri"/>
          <w:b/>
          <w:bCs/>
        </w:rPr>
        <w:t>current price of $14.00 already reflects bullish assumptions on automation and G&amp;A leverage</w:t>
      </w:r>
      <w:r>
        <w:rPr>
          <w:rFonts w:ascii="Calibri" w:hAnsi="Calibri" w:cs="Calibri"/>
        </w:rPr>
        <w:t xml:space="preserve">. </w:t>
      </w:r>
    </w:p>
    <w:p w14:paraId="6EEF1ECC" w14:textId="173C6F53" w:rsidR="007A7E51" w:rsidRDefault="007A7E51" w:rsidP="009E2113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EPS-Based Valuation</w:t>
      </w:r>
    </w:p>
    <w:p w14:paraId="5F262A65" w14:textId="5EB98063" w:rsidR="007A7E51" w:rsidRDefault="007A7E51" w:rsidP="009E211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To cross-check, the model applied forward </w:t>
      </w:r>
      <w:r w:rsidR="00BF5F1B">
        <w:rPr>
          <w:rFonts w:ascii="Calibri" w:hAnsi="Calibri" w:cs="Calibri"/>
        </w:rPr>
        <w:t>P/E multiples to FY2029 EPS, and these were the outputs:</w:t>
      </w:r>
    </w:p>
    <w:p w14:paraId="64A454A2" w14:textId="521420D4" w:rsidR="00BF5F1B" w:rsidRPr="008061D9" w:rsidRDefault="00BF5F1B" w:rsidP="009E2113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8061D9">
        <w:rPr>
          <w:rFonts w:ascii="Calibri" w:hAnsi="Calibri" w:cs="Calibri"/>
          <w:b/>
          <w:bCs/>
        </w:rPr>
        <w:t>Base Case EPS</w:t>
      </w:r>
      <w:r w:rsidRPr="00193BA4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$0.98 </w:t>
      </w:r>
      <w:r w:rsidR="008061D9">
        <w:rPr>
          <w:rFonts w:ascii="Calibri" w:hAnsi="Calibri" w:cs="Calibri"/>
        </w:rPr>
        <w:t xml:space="preserve">- </w:t>
      </w:r>
      <w:r w:rsidR="008061D9" w:rsidRPr="008061D9">
        <w:rPr>
          <w:rFonts w:ascii="Calibri" w:hAnsi="Calibri" w:cs="Calibri"/>
          <w:b/>
          <w:bCs/>
        </w:rPr>
        <w:t>$34.30 at 35x multiple</w:t>
      </w:r>
    </w:p>
    <w:p w14:paraId="499FCE12" w14:textId="282E8DB1" w:rsidR="008061D9" w:rsidRPr="00D3197A" w:rsidRDefault="008061D9" w:rsidP="009E2113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Bear Case EP</w:t>
      </w:r>
      <w:r w:rsidRPr="00193BA4">
        <w:rPr>
          <w:rFonts w:ascii="Calibri" w:hAnsi="Calibri" w:cs="Calibri"/>
          <w:b/>
          <w:bCs/>
        </w:rPr>
        <w:t>S:</w:t>
      </w:r>
      <w:r>
        <w:rPr>
          <w:rFonts w:ascii="Calibri" w:hAnsi="Calibri" w:cs="Calibri"/>
        </w:rPr>
        <w:t xml:space="preserve"> </w:t>
      </w:r>
      <w:r w:rsidR="00193BA4">
        <w:rPr>
          <w:rFonts w:ascii="Calibri" w:hAnsi="Calibri" w:cs="Calibri"/>
        </w:rPr>
        <w:t xml:space="preserve">$0.64 - </w:t>
      </w:r>
      <w:r w:rsidR="00193BA4">
        <w:rPr>
          <w:rFonts w:ascii="Calibri" w:hAnsi="Calibri" w:cs="Calibri"/>
          <w:b/>
          <w:bCs/>
        </w:rPr>
        <w:t>$16.00 at 25x multiple</w:t>
      </w:r>
    </w:p>
    <w:p w14:paraId="1CE836C0" w14:textId="784DF2A9" w:rsidR="00D3197A" w:rsidRPr="00D3197A" w:rsidRDefault="00D3197A" w:rsidP="009E2113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Bull Case EPS: </w:t>
      </w:r>
      <w:r>
        <w:rPr>
          <w:rFonts w:ascii="Calibri" w:hAnsi="Calibri" w:cs="Calibri"/>
        </w:rPr>
        <w:t xml:space="preserve">$1.15 - </w:t>
      </w:r>
      <w:r>
        <w:rPr>
          <w:rFonts w:ascii="Calibri" w:hAnsi="Calibri" w:cs="Calibri"/>
          <w:b/>
          <w:bCs/>
        </w:rPr>
        <w:t>$51.75 at 45x multiple</w:t>
      </w:r>
    </w:p>
    <w:p w14:paraId="34EEC2F9" w14:textId="5C6E5C1E" w:rsidR="00D3197A" w:rsidRDefault="00D3197A" w:rsidP="009E211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While the upside in the bull scenario is meaningful, it </w:t>
      </w:r>
      <w:r w:rsidRPr="00617DB9">
        <w:rPr>
          <w:rFonts w:ascii="Calibri" w:hAnsi="Calibri" w:cs="Calibri"/>
          <w:b/>
          <w:bCs/>
        </w:rPr>
        <w:t>requires perfect execution</w:t>
      </w:r>
      <w:r>
        <w:rPr>
          <w:rFonts w:ascii="Calibri" w:hAnsi="Calibri" w:cs="Calibri"/>
        </w:rPr>
        <w:t xml:space="preserve"> on comps, margin, and cost control</w:t>
      </w:r>
      <w:r w:rsidR="00595B30">
        <w:rPr>
          <w:rFonts w:ascii="Calibri" w:hAnsi="Calibri" w:cs="Calibri"/>
        </w:rPr>
        <w:t xml:space="preserve">, none of which has been proven to date. The market is already pricing in mid-to-upper range outcomes in the current share price of $14.00. </w:t>
      </w:r>
    </w:p>
    <w:p w14:paraId="7F699C39" w14:textId="671A5490" w:rsidR="00033B93" w:rsidRDefault="003F553C" w:rsidP="009E2113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Valuation Table</w:t>
      </w:r>
      <w:r w:rsidR="00BD4541">
        <w:rPr>
          <w:rFonts w:ascii="Calibri" w:hAnsi="Calibri" w:cs="Calibri"/>
          <w:b/>
          <w:bCs/>
        </w:rPr>
        <w:t>s</w:t>
      </w:r>
      <w:r w:rsidR="00566109">
        <w:rPr>
          <w:rFonts w:ascii="Calibri" w:hAnsi="Calibri" w:cs="Calibri"/>
          <w:b/>
          <w:bCs/>
        </w:rPr>
        <w:t xml:space="preserve"> </w:t>
      </w:r>
      <w:r w:rsidR="00566109">
        <w:rPr>
          <w:rFonts w:ascii="Calibri" w:hAnsi="Calibri" w:cs="Calibri"/>
        </w:rPr>
        <w:t>(Model: Summary Tab)</w:t>
      </w:r>
      <w:r>
        <w:rPr>
          <w:rFonts w:ascii="Calibri" w:hAnsi="Calibri" w:cs="Calibri"/>
          <w:b/>
          <w:bCs/>
        </w:rPr>
        <w:t>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275"/>
        <w:gridCol w:w="3421"/>
        <w:gridCol w:w="3182"/>
      </w:tblGrid>
      <w:tr w:rsidR="00791559" w:rsidRPr="00BD4541" w14:paraId="1107559C" w14:textId="77777777" w:rsidTr="00597F84">
        <w:trPr>
          <w:trHeight w:val="144"/>
          <w:tblHeader/>
          <w:tblCellSpacing w:w="15" w:type="dxa"/>
        </w:trPr>
        <w:tc>
          <w:tcPr>
            <w:tcW w:w="1438" w:type="pct"/>
            <w:gridSpan w:val="2"/>
            <w:vAlign w:val="center"/>
          </w:tcPr>
          <w:p w14:paraId="19C7EE97" w14:textId="5C60C9AB" w:rsidR="00791559" w:rsidRPr="00BD4541" w:rsidRDefault="00791559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DCF-Based Valuation</w:t>
            </w:r>
          </w:p>
        </w:tc>
        <w:tc>
          <w:tcPr>
            <w:tcW w:w="1810" w:type="pct"/>
            <w:vAlign w:val="center"/>
          </w:tcPr>
          <w:p w14:paraId="2618DCD7" w14:textId="77777777" w:rsidR="00791559" w:rsidRPr="00BD4541" w:rsidRDefault="00791559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89" w:type="pct"/>
            <w:vAlign w:val="center"/>
          </w:tcPr>
          <w:p w14:paraId="22DCF09C" w14:textId="77777777" w:rsidR="00791559" w:rsidRPr="00BD4541" w:rsidRDefault="00791559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</w:p>
        </w:tc>
      </w:tr>
      <w:tr w:rsidR="005B759D" w:rsidRPr="00BD4541" w14:paraId="22664DF1" w14:textId="77777777" w:rsidTr="00597F84">
        <w:trPr>
          <w:trHeight w:val="144"/>
          <w:tblHeader/>
          <w:tblCellSpacing w:w="15" w:type="dxa"/>
        </w:trPr>
        <w:tc>
          <w:tcPr>
            <w:tcW w:w="768" w:type="pct"/>
            <w:vAlign w:val="center"/>
            <w:hideMark/>
          </w:tcPr>
          <w:p w14:paraId="3D9D931D" w14:textId="77777777" w:rsidR="00BD4541" w:rsidRPr="00BD4541" w:rsidRDefault="00BD4541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BD4541">
              <w:rPr>
                <w:rFonts w:ascii="Calibri" w:hAnsi="Calibri" w:cs="Calibri"/>
                <w:b/>
                <w:bCs/>
              </w:rPr>
              <w:t>Scenario</w:t>
            </w:r>
          </w:p>
        </w:tc>
        <w:tc>
          <w:tcPr>
            <w:tcW w:w="654" w:type="pct"/>
            <w:vAlign w:val="center"/>
            <w:hideMark/>
          </w:tcPr>
          <w:p w14:paraId="6121A091" w14:textId="77777777" w:rsidR="00BD4541" w:rsidRPr="00BD4541" w:rsidRDefault="00BD4541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BD4541">
              <w:rPr>
                <w:rFonts w:ascii="Calibri" w:hAnsi="Calibri" w:cs="Calibri"/>
                <w:b/>
                <w:bCs/>
              </w:rPr>
              <w:t>WACC</w:t>
            </w:r>
          </w:p>
        </w:tc>
        <w:tc>
          <w:tcPr>
            <w:tcW w:w="1810" w:type="pct"/>
            <w:vAlign w:val="center"/>
            <w:hideMark/>
          </w:tcPr>
          <w:p w14:paraId="6219BD21" w14:textId="77777777" w:rsidR="00BD4541" w:rsidRPr="00BD4541" w:rsidRDefault="00BD4541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BD4541">
              <w:rPr>
                <w:rFonts w:ascii="Calibri" w:hAnsi="Calibri" w:cs="Calibri"/>
                <w:b/>
                <w:bCs/>
              </w:rPr>
              <w:t>Terminal Growth (g)</w:t>
            </w:r>
          </w:p>
        </w:tc>
        <w:tc>
          <w:tcPr>
            <w:tcW w:w="1689" w:type="pct"/>
            <w:vAlign w:val="center"/>
            <w:hideMark/>
          </w:tcPr>
          <w:p w14:paraId="10798EC1" w14:textId="77777777" w:rsidR="00BD4541" w:rsidRPr="00BD4541" w:rsidRDefault="00BD4541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BD4541">
              <w:rPr>
                <w:rFonts w:ascii="Calibri" w:hAnsi="Calibri" w:cs="Calibri"/>
                <w:b/>
                <w:bCs/>
              </w:rPr>
              <w:t>Implied Share Price</w:t>
            </w:r>
          </w:p>
        </w:tc>
      </w:tr>
      <w:tr w:rsidR="005B759D" w:rsidRPr="00BD4541" w14:paraId="72CB6663" w14:textId="77777777" w:rsidTr="00597F84">
        <w:trPr>
          <w:trHeight w:val="144"/>
          <w:tblCellSpacing w:w="15" w:type="dxa"/>
        </w:trPr>
        <w:tc>
          <w:tcPr>
            <w:tcW w:w="768" w:type="pct"/>
            <w:vAlign w:val="center"/>
            <w:hideMark/>
          </w:tcPr>
          <w:p w14:paraId="49C8E97F" w14:textId="77777777" w:rsidR="00BD4541" w:rsidRPr="00BD4541" w:rsidRDefault="00BD4541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BD4541">
              <w:rPr>
                <w:rFonts w:ascii="Calibri" w:hAnsi="Calibri" w:cs="Calibri"/>
                <w:b/>
                <w:bCs/>
              </w:rPr>
              <w:t>Bear</w:t>
            </w:r>
          </w:p>
        </w:tc>
        <w:tc>
          <w:tcPr>
            <w:tcW w:w="654" w:type="pct"/>
            <w:vAlign w:val="center"/>
            <w:hideMark/>
          </w:tcPr>
          <w:p w14:paraId="3BB289E6" w14:textId="77777777" w:rsidR="00BD4541" w:rsidRPr="00BD4541" w:rsidRDefault="00BD4541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BD4541">
              <w:rPr>
                <w:rFonts w:ascii="Calibri" w:hAnsi="Calibri" w:cs="Calibri"/>
                <w:b/>
                <w:bCs/>
              </w:rPr>
              <w:t>17.0%</w:t>
            </w:r>
          </w:p>
        </w:tc>
        <w:tc>
          <w:tcPr>
            <w:tcW w:w="1810" w:type="pct"/>
            <w:vAlign w:val="center"/>
            <w:hideMark/>
          </w:tcPr>
          <w:p w14:paraId="4B611173" w14:textId="77777777" w:rsidR="00BD4541" w:rsidRPr="00BD4541" w:rsidRDefault="00BD4541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BD4541">
              <w:rPr>
                <w:rFonts w:ascii="Calibri" w:hAnsi="Calibri" w:cs="Calibri"/>
                <w:b/>
                <w:bCs/>
              </w:rPr>
              <w:t>1.5%</w:t>
            </w:r>
          </w:p>
        </w:tc>
        <w:tc>
          <w:tcPr>
            <w:tcW w:w="1689" w:type="pct"/>
            <w:vAlign w:val="center"/>
            <w:hideMark/>
          </w:tcPr>
          <w:p w14:paraId="65E73AE6" w14:textId="77777777" w:rsidR="00BD4541" w:rsidRPr="00BD4541" w:rsidRDefault="00BD4541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BD4541">
              <w:rPr>
                <w:rFonts w:ascii="Calibri" w:hAnsi="Calibri" w:cs="Calibri"/>
                <w:b/>
                <w:bCs/>
              </w:rPr>
              <w:t>$8.97</w:t>
            </w:r>
          </w:p>
        </w:tc>
      </w:tr>
      <w:tr w:rsidR="005B759D" w:rsidRPr="00BD4541" w14:paraId="0D062158" w14:textId="77777777" w:rsidTr="00597F84">
        <w:trPr>
          <w:trHeight w:val="144"/>
          <w:tblCellSpacing w:w="15" w:type="dxa"/>
        </w:trPr>
        <w:tc>
          <w:tcPr>
            <w:tcW w:w="768" w:type="pct"/>
            <w:vAlign w:val="center"/>
            <w:hideMark/>
          </w:tcPr>
          <w:p w14:paraId="0023E632" w14:textId="77777777" w:rsidR="00BD4541" w:rsidRPr="00BD4541" w:rsidRDefault="00BD4541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BD4541">
              <w:rPr>
                <w:rFonts w:ascii="Calibri" w:hAnsi="Calibri" w:cs="Calibri"/>
                <w:b/>
                <w:bCs/>
              </w:rPr>
              <w:t>Base</w:t>
            </w:r>
          </w:p>
        </w:tc>
        <w:tc>
          <w:tcPr>
            <w:tcW w:w="654" w:type="pct"/>
            <w:vAlign w:val="center"/>
            <w:hideMark/>
          </w:tcPr>
          <w:p w14:paraId="7C42B3F3" w14:textId="77777777" w:rsidR="00BD4541" w:rsidRPr="00BD4541" w:rsidRDefault="00BD4541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BD4541">
              <w:rPr>
                <w:rFonts w:ascii="Calibri" w:hAnsi="Calibri" w:cs="Calibri"/>
                <w:b/>
                <w:bCs/>
              </w:rPr>
              <w:t>15.8%</w:t>
            </w:r>
          </w:p>
        </w:tc>
        <w:tc>
          <w:tcPr>
            <w:tcW w:w="1810" w:type="pct"/>
            <w:vAlign w:val="center"/>
            <w:hideMark/>
          </w:tcPr>
          <w:p w14:paraId="25FE5C6E" w14:textId="77777777" w:rsidR="00BD4541" w:rsidRPr="00BD4541" w:rsidRDefault="00BD4541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BD4541">
              <w:rPr>
                <w:rFonts w:ascii="Calibri" w:hAnsi="Calibri" w:cs="Calibri"/>
                <w:b/>
                <w:bCs/>
              </w:rPr>
              <w:t>2.5%</w:t>
            </w:r>
          </w:p>
        </w:tc>
        <w:tc>
          <w:tcPr>
            <w:tcW w:w="1689" w:type="pct"/>
            <w:vAlign w:val="center"/>
            <w:hideMark/>
          </w:tcPr>
          <w:p w14:paraId="2A2CA015" w14:textId="77777777" w:rsidR="00BD4541" w:rsidRPr="00BD4541" w:rsidRDefault="00BD4541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BD4541">
              <w:rPr>
                <w:rFonts w:ascii="Calibri" w:hAnsi="Calibri" w:cs="Calibri"/>
                <w:b/>
                <w:bCs/>
              </w:rPr>
              <w:t>$10.47</w:t>
            </w:r>
          </w:p>
        </w:tc>
      </w:tr>
      <w:tr w:rsidR="005B759D" w:rsidRPr="00BD4541" w14:paraId="58AFBFC2" w14:textId="77777777" w:rsidTr="00597F84">
        <w:trPr>
          <w:trHeight w:val="144"/>
          <w:tblCellSpacing w:w="15" w:type="dxa"/>
        </w:trPr>
        <w:tc>
          <w:tcPr>
            <w:tcW w:w="768" w:type="pct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3F39ED08" w14:textId="77777777" w:rsidR="00BD4541" w:rsidRPr="00BD4541" w:rsidRDefault="00BD4541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BD4541">
              <w:rPr>
                <w:rFonts w:ascii="Calibri" w:hAnsi="Calibri" w:cs="Calibri"/>
                <w:b/>
                <w:bCs/>
              </w:rPr>
              <w:t>Bull</w:t>
            </w:r>
          </w:p>
        </w:tc>
        <w:tc>
          <w:tcPr>
            <w:tcW w:w="654" w:type="pct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2C47315C" w14:textId="77777777" w:rsidR="00BD4541" w:rsidRPr="00BD4541" w:rsidRDefault="00BD4541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BD4541">
              <w:rPr>
                <w:rFonts w:ascii="Calibri" w:hAnsi="Calibri" w:cs="Calibri"/>
                <w:b/>
                <w:bCs/>
              </w:rPr>
              <w:t>13.0%</w:t>
            </w:r>
          </w:p>
        </w:tc>
        <w:tc>
          <w:tcPr>
            <w:tcW w:w="1810" w:type="pct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423D6E03" w14:textId="77777777" w:rsidR="00BD4541" w:rsidRPr="00BD4541" w:rsidRDefault="00BD4541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BD4541">
              <w:rPr>
                <w:rFonts w:ascii="Calibri" w:hAnsi="Calibri" w:cs="Calibri"/>
                <w:b/>
                <w:bCs/>
              </w:rPr>
              <w:t>3.0%</w:t>
            </w:r>
          </w:p>
        </w:tc>
        <w:tc>
          <w:tcPr>
            <w:tcW w:w="1689" w:type="pct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49B24FE4" w14:textId="77777777" w:rsidR="00BD4541" w:rsidRPr="00BD4541" w:rsidRDefault="00BD4541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BD4541">
              <w:rPr>
                <w:rFonts w:ascii="Calibri" w:hAnsi="Calibri" w:cs="Calibri"/>
                <w:b/>
                <w:bCs/>
              </w:rPr>
              <w:t>$14.35</w:t>
            </w:r>
          </w:p>
        </w:tc>
      </w:tr>
      <w:tr w:rsidR="00791559" w:rsidRPr="00033B93" w14:paraId="21446E29" w14:textId="77777777" w:rsidTr="00597F84">
        <w:trPr>
          <w:trHeight w:val="144"/>
          <w:tblCellSpacing w:w="15" w:type="dxa"/>
        </w:trPr>
        <w:tc>
          <w:tcPr>
            <w:tcW w:w="3263" w:type="pct"/>
            <w:gridSpan w:val="3"/>
            <w:vAlign w:val="center"/>
          </w:tcPr>
          <w:p w14:paraId="4CB81342" w14:textId="7DF5F7DA" w:rsidR="00791559" w:rsidRPr="00033B93" w:rsidRDefault="00791559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EPS-Based Valuation (FY2029)</w:t>
            </w:r>
          </w:p>
        </w:tc>
        <w:tc>
          <w:tcPr>
            <w:tcW w:w="1689" w:type="pct"/>
            <w:vAlign w:val="center"/>
          </w:tcPr>
          <w:p w14:paraId="4CC79FA5" w14:textId="77777777" w:rsidR="00791559" w:rsidRPr="00033B93" w:rsidRDefault="00791559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</w:p>
        </w:tc>
      </w:tr>
      <w:tr w:rsidR="005B759D" w:rsidRPr="00033B93" w14:paraId="1BD05C82" w14:textId="77777777" w:rsidTr="00597F84">
        <w:trPr>
          <w:trHeight w:val="144"/>
          <w:tblCellSpacing w:w="15" w:type="dxa"/>
        </w:trPr>
        <w:tc>
          <w:tcPr>
            <w:tcW w:w="768" w:type="pct"/>
            <w:vAlign w:val="center"/>
            <w:hideMark/>
          </w:tcPr>
          <w:p w14:paraId="79A15A21" w14:textId="77777777" w:rsidR="00033B93" w:rsidRPr="00033B93" w:rsidRDefault="00033B93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033B93">
              <w:rPr>
                <w:rFonts w:ascii="Calibri" w:hAnsi="Calibri" w:cs="Calibri"/>
                <w:b/>
                <w:bCs/>
              </w:rPr>
              <w:t>Scenario</w:t>
            </w:r>
          </w:p>
        </w:tc>
        <w:tc>
          <w:tcPr>
            <w:tcW w:w="654" w:type="pct"/>
            <w:vAlign w:val="center"/>
            <w:hideMark/>
          </w:tcPr>
          <w:p w14:paraId="3E0B986D" w14:textId="77777777" w:rsidR="00033B93" w:rsidRPr="00033B93" w:rsidRDefault="00033B93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033B93">
              <w:rPr>
                <w:rFonts w:ascii="Calibri" w:hAnsi="Calibri" w:cs="Calibri"/>
                <w:b/>
                <w:bCs/>
              </w:rPr>
              <w:t>EPS</w:t>
            </w:r>
          </w:p>
        </w:tc>
        <w:tc>
          <w:tcPr>
            <w:tcW w:w="1810" w:type="pct"/>
            <w:vAlign w:val="center"/>
            <w:hideMark/>
          </w:tcPr>
          <w:p w14:paraId="5DE371ED" w14:textId="77777777" w:rsidR="00033B93" w:rsidRPr="00033B93" w:rsidRDefault="00033B93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033B93">
              <w:rPr>
                <w:rFonts w:ascii="Calibri" w:hAnsi="Calibri" w:cs="Calibri"/>
                <w:b/>
                <w:bCs/>
              </w:rPr>
              <w:t>P/E Multiple</w:t>
            </w:r>
          </w:p>
        </w:tc>
        <w:tc>
          <w:tcPr>
            <w:tcW w:w="1689" w:type="pct"/>
            <w:vAlign w:val="center"/>
            <w:hideMark/>
          </w:tcPr>
          <w:p w14:paraId="79967340" w14:textId="77777777" w:rsidR="00033B93" w:rsidRPr="00033B93" w:rsidRDefault="00033B93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033B93">
              <w:rPr>
                <w:rFonts w:ascii="Calibri" w:hAnsi="Calibri" w:cs="Calibri"/>
                <w:b/>
                <w:bCs/>
              </w:rPr>
              <w:t>Implied Share Price</w:t>
            </w:r>
          </w:p>
        </w:tc>
      </w:tr>
      <w:tr w:rsidR="005B759D" w:rsidRPr="00033B93" w14:paraId="75B6A232" w14:textId="77777777" w:rsidTr="00597F84">
        <w:trPr>
          <w:trHeight w:val="144"/>
          <w:tblCellSpacing w:w="15" w:type="dxa"/>
        </w:trPr>
        <w:tc>
          <w:tcPr>
            <w:tcW w:w="768" w:type="pct"/>
            <w:vAlign w:val="center"/>
            <w:hideMark/>
          </w:tcPr>
          <w:p w14:paraId="23799D40" w14:textId="77777777" w:rsidR="00033B93" w:rsidRPr="00033B93" w:rsidRDefault="00033B93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033B93">
              <w:rPr>
                <w:rFonts w:ascii="Calibri" w:hAnsi="Calibri" w:cs="Calibri"/>
                <w:b/>
                <w:bCs/>
              </w:rPr>
              <w:t>Bear</w:t>
            </w:r>
          </w:p>
        </w:tc>
        <w:tc>
          <w:tcPr>
            <w:tcW w:w="654" w:type="pct"/>
            <w:vAlign w:val="center"/>
            <w:hideMark/>
          </w:tcPr>
          <w:p w14:paraId="0B9278AB" w14:textId="77777777" w:rsidR="00033B93" w:rsidRPr="00033B93" w:rsidRDefault="00033B93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033B93">
              <w:rPr>
                <w:rFonts w:ascii="Calibri" w:hAnsi="Calibri" w:cs="Calibri"/>
                <w:b/>
                <w:bCs/>
              </w:rPr>
              <w:t>$0.64</w:t>
            </w:r>
          </w:p>
        </w:tc>
        <w:tc>
          <w:tcPr>
            <w:tcW w:w="1810" w:type="pct"/>
            <w:vAlign w:val="center"/>
            <w:hideMark/>
          </w:tcPr>
          <w:p w14:paraId="0D2BF87D" w14:textId="77777777" w:rsidR="00033B93" w:rsidRPr="00033B93" w:rsidRDefault="00033B93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033B93">
              <w:rPr>
                <w:rFonts w:ascii="Calibri" w:hAnsi="Calibri" w:cs="Calibri"/>
                <w:b/>
                <w:bCs/>
              </w:rPr>
              <w:t>25x</w:t>
            </w:r>
          </w:p>
        </w:tc>
        <w:tc>
          <w:tcPr>
            <w:tcW w:w="1689" w:type="pct"/>
            <w:vAlign w:val="center"/>
            <w:hideMark/>
          </w:tcPr>
          <w:p w14:paraId="6AE88802" w14:textId="77777777" w:rsidR="00033B93" w:rsidRPr="00033B93" w:rsidRDefault="00033B93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033B93">
              <w:rPr>
                <w:rFonts w:ascii="Calibri" w:hAnsi="Calibri" w:cs="Calibri"/>
                <w:b/>
                <w:bCs/>
              </w:rPr>
              <w:t>$16.00</w:t>
            </w:r>
          </w:p>
        </w:tc>
      </w:tr>
      <w:tr w:rsidR="005B759D" w:rsidRPr="00033B93" w14:paraId="307A7832" w14:textId="77777777" w:rsidTr="00597F84">
        <w:trPr>
          <w:trHeight w:val="144"/>
          <w:tblCellSpacing w:w="15" w:type="dxa"/>
        </w:trPr>
        <w:tc>
          <w:tcPr>
            <w:tcW w:w="768" w:type="pct"/>
            <w:vAlign w:val="center"/>
            <w:hideMark/>
          </w:tcPr>
          <w:p w14:paraId="7A794089" w14:textId="77777777" w:rsidR="00033B93" w:rsidRPr="00033B93" w:rsidRDefault="00033B93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033B93">
              <w:rPr>
                <w:rFonts w:ascii="Calibri" w:hAnsi="Calibri" w:cs="Calibri"/>
                <w:b/>
                <w:bCs/>
              </w:rPr>
              <w:t>Base</w:t>
            </w:r>
          </w:p>
        </w:tc>
        <w:tc>
          <w:tcPr>
            <w:tcW w:w="654" w:type="pct"/>
            <w:vAlign w:val="center"/>
            <w:hideMark/>
          </w:tcPr>
          <w:p w14:paraId="18ADC906" w14:textId="77777777" w:rsidR="00033B93" w:rsidRPr="00033B93" w:rsidRDefault="00033B93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033B93">
              <w:rPr>
                <w:rFonts w:ascii="Calibri" w:hAnsi="Calibri" w:cs="Calibri"/>
                <w:b/>
                <w:bCs/>
              </w:rPr>
              <w:t>$0.98</w:t>
            </w:r>
          </w:p>
        </w:tc>
        <w:tc>
          <w:tcPr>
            <w:tcW w:w="1810" w:type="pct"/>
            <w:vAlign w:val="center"/>
            <w:hideMark/>
          </w:tcPr>
          <w:p w14:paraId="5E05AB64" w14:textId="77777777" w:rsidR="00033B93" w:rsidRPr="00033B93" w:rsidRDefault="00033B93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033B93">
              <w:rPr>
                <w:rFonts w:ascii="Calibri" w:hAnsi="Calibri" w:cs="Calibri"/>
                <w:b/>
                <w:bCs/>
              </w:rPr>
              <w:t>35x</w:t>
            </w:r>
          </w:p>
        </w:tc>
        <w:tc>
          <w:tcPr>
            <w:tcW w:w="1689" w:type="pct"/>
            <w:vAlign w:val="center"/>
            <w:hideMark/>
          </w:tcPr>
          <w:p w14:paraId="1A8D0EB8" w14:textId="77777777" w:rsidR="00033B93" w:rsidRPr="00033B93" w:rsidRDefault="00033B93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033B93">
              <w:rPr>
                <w:rFonts w:ascii="Calibri" w:hAnsi="Calibri" w:cs="Calibri"/>
                <w:b/>
                <w:bCs/>
              </w:rPr>
              <w:t>$34.30</w:t>
            </w:r>
          </w:p>
        </w:tc>
      </w:tr>
      <w:tr w:rsidR="005B759D" w:rsidRPr="00033B93" w14:paraId="60C4DE1D" w14:textId="77777777" w:rsidTr="00597F84">
        <w:trPr>
          <w:trHeight w:val="144"/>
          <w:tblCellSpacing w:w="15" w:type="dxa"/>
        </w:trPr>
        <w:tc>
          <w:tcPr>
            <w:tcW w:w="768" w:type="pct"/>
            <w:vAlign w:val="center"/>
            <w:hideMark/>
          </w:tcPr>
          <w:p w14:paraId="6561D75A" w14:textId="77777777" w:rsidR="00033B93" w:rsidRPr="00033B93" w:rsidRDefault="00033B93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033B93">
              <w:rPr>
                <w:rFonts w:ascii="Calibri" w:hAnsi="Calibri" w:cs="Calibri"/>
                <w:b/>
                <w:bCs/>
              </w:rPr>
              <w:t>Bull</w:t>
            </w:r>
          </w:p>
        </w:tc>
        <w:tc>
          <w:tcPr>
            <w:tcW w:w="654" w:type="pct"/>
            <w:vAlign w:val="center"/>
            <w:hideMark/>
          </w:tcPr>
          <w:p w14:paraId="758F7295" w14:textId="77777777" w:rsidR="00033B93" w:rsidRPr="00033B93" w:rsidRDefault="00033B93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033B93">
              <w:rPr>
                <w:rFonts w:ascii="Calibri" w:hAnsi="Calibri" w:cs="Calibri"/>
                <w:b/>
                <w:bCs/>
              </w:rPr>
              <w:t>$1.15</w:t>
            </w:r>
          </w:p>
        </w:tc>
        <w:tc>
          <w:tcPr>
            <w:tcW w:w="1810" w:type="pct"/>
            <w:vAlign w:val="center"/>
            <w:hideMark/>
          </w:tcPr>
          <w:p w14:paraId="1B2BA4A2" w14:textId="77777777" w:rsidR="00033B93" w:rsidRPr="00033B93" w:rsidRDefault="00033B93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033B93">
              <w:rPr>
                <w:rFonts w:ascii="Calibri" w:hAnsi="Calibri" w:cs="Calibri"/>
                <w:b/>
                <w:bCs/>
              </w:rPr>
              <w:t>45x</w:t>
            </w:r>
          </w:p>
        </w:tc>
        <w:tc>
          <w:tcPr>
            <w:tcW w:w="1689" w:type="pct"/>
            <w:vAlign w:val="center"/>
            <w:hideMark/>
          </w:tcPr>
          <w:p w14:paraId="7457A0E8" w14:textId="77777777" w:rsidR="00033B93" w:rsidRPr="00033B93" w:rsidRDefault="00033B93" w:rsidP="009E2113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033B93">
              <w:rPr>
                <w:rFonts w:ascii="Calibri" w:hAnsi="Calibri" w:cs="Calibri"/>
                <w:b/>
                <w:bCs/>
              </w:rPr>
              <w:t>$51.75</w:t>
            </w:r>
          </w:p>
        </w:tc>
      </w:tr>
    </w:tbl>
    <w:p w14:paraId="58A504CD" w14:textId="77777777" w:rsidR="000F0EFF" w:rsidRDefault="000F0EFF" w:rsidP="009E2113">
      <w:pPr>
        <w:spacing w:line="240" w:lineRule="auto"/>
        <w:rPr>
          <w:rFonts w:ascii="Calibri" w:hAnsi="Calibri" w:cs="Calibri"/>
          <w:b/>
          <w:bCs/>
        </w:rPr>
      </w:pPr>
    </w:p>
    <w:p w14:paraId="0838F7BD" w14:textId="0BC9D2B4" w:rsidR="004E2C41" w:rsidRDefault="00977A05" w:rsidP="009E2113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Bull &amp; Bear Case Analysis</w:t>
      </w:r>
    </w:p>
    <w:p w14:paraId="4C8E5E61" w14:textId="2A24414C" w:rsidR="00977A05" w:rsidRDefault="00977A05" w:rsidP="009E211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model </w:t>
      </w:r>
      <w:r w:rsidR="002066D7">
        <w:rPr>
          <w:rFonts w:ascii="Calibri" w:hAnsi="Calibri" w:cs="Calibri"/>
        </w:rPr>
        <w:t>scenario analysis flexes the G&amp;A % of revenue scaling path, the most sensitive and uncertain driver of Sweetgreen’s earnings potential. While restaurant-level margins increase at a constant rate across cases</w:t>
      </w:r>
      <w:r w:rsidR="00B80D0B">
        <w:rPr>
          <w:rFonts w:ascii="Calibri" w:hAnsi="Calibri" w:cs="Calibri"/>
        </w:rPr>
        <w:t>, G&amp;A scaling materially shifts the company’s operating leverage and FY2029 EPS.</w:t>
      </w:r>
      <w:r w:rsidR="00047896">
        <w:rPr>
          <w:rFonts w:ascii="Calibri" w:hAnsi="Calibri" w:cs="Calibri"/>
        </w:rPr>
        <w:t xml:space="preserve"> </w:t>
      </w:r>
    </w:p>
    <w:p w14:paraId="69F0646D" w14:textId="7BDD046B" w:rsidR="00047896" w:rsidRDefault="00047896" w:rsidP="009E2113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Bear Case</w:t>
      </w:r>
    </w:p>
    <w:p w14:paraId="2B40414E" w14:textId="51CA54A1" w:rsidR="00047896" w:rsidRPr="002B77E5" w:rsidRDefault="00B80D0B" w:rsidP="009E2113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G&amp;A Path: </w:t>
      </w:r>
      <w:r>
        <w:rPr>
          <w:rFonts w:ascii="Calibri" w:hAnsi="Calibri" w:cs="Calibri"/>
        </w:rPr>
        <w:t xml:space="preserve">21% </w:t>
      </w:r>
      <w:r w:rsidR="002B77E5">
        <w:rPr>
          <w:rFonts w:ascii="Aptos Narrow" w:hAnsi="Aptos Narrow" w:cs="Calibri"/>
        </w:rPr>
        <w:t xml:space="preserve">→ </w:t>
      </w:r>
      <w:r w:rsidR="002B77E5">
        <w:rPr>
          <w:rFonts w:ascii="Calibri" w:hAnsi="Calibri" w:cs="Calibri"/>
        </w:rPr>
        <w:t xml:space="preserve">20% </w:t>
      </w:r>
      <w:r w:rsidR="002B77E5">
        <w:rPr>
          <w:rFonts w:ascii="Aptos Narrow" w:hAnsi="Aptos Narrow" w:cs="Calibri"/>
        </w:rPr>
        <w:t>→ 19% → 18% → 17%</w:t>
      </w:r>
    </w:p>
    <w:p w14:paraId="51514820" w14:textId="77777777" w:rsidR="00F22B45" w:rsidRDefault="002B77E5" w:rsidP="009E2113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Assumptions: </w:t>
      </w:r>
      <w:r w:rsidR="00F22B45">
        <w:rPr>
          <w:rFonts w:ascii="Calibri" w:hAnsi="Calibri" w:cs="Calibri"/>
        </w:rPr>
        <w:t>Sl</w:t>
      </w:r>
      <w:r>
        <w:rPr>
          <w:rFonts w:ascii="Calibri" w:hAnsi="Calibri" w:cs="Calibri"/>
        </w:rPr>
        <w:t>ower cost leverage</w:t>
      </w:r>
      <w:r w:rsidR="00F22B45">
        <w:rPr>
          <w:rFonts w:ascii="Calibri" w:hAnsi="Calibri" w:cs="Calibri"/>
        </w:rPr>
        <w:t>, centralized expenses do not scale with revenue.</w:t>
      </w:r>
    </w:p>
    <w:p w14:paraId="36D7E175" w14:textId="51B000D4" w:rsidR="002B77E5" w:rsidRDefault="00F22B45" w:rsidP="009E2113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EPS (FY2029):</w:t>
      </w:r>
      <w:r w:rsidR="002B77E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$0.64</w:t>
      </w:r>
    </w:p>
    <w:p w14:paraId="11ABD919" w14:textId="2F71096E" w:rsidR="003002C8" w:rsidRPr="003002C8" w:rsidRDefault="003002C8" w:rsidP="009E2113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Valuation</w:t>
      </w:r>
    </w:p>
    <w:p w14:paraId="37CE338E" w14:textId="30EC7C77" w:rsidR="003002C8" w:rsidRDefault="00A92CAA" w:rsidP="009E2113">
      <w:pPr>
        <w:pStyle w:val="ListParagraph"/>
        <w:numPr>
          <w:ilvl w:val="1"/>
          <w:numId w:val="5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$16.00 (25x EPS)</w:t>
      </w:r>
    </w:p>
    <w:p w14:paraId="0557B685" w14:textId="4F2F33EF" w:rsidR="00A92CAA" w:rsidRDefault="00A92CAA" w:rsidP="009E2113">
      <w:pPr>
        <w:pStyle w:val="ListParagraph"/>
        <w:numPr>
          <w:ilvl w:val="1"/>
          <w:numId w:val="5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$8.97 (DCF)</w:t>
      </w:r>
    </w:p>
    <w:p w14:paraId="56BF23F5" w14:textId="389E38F2" w:rsidR="003C6AA7" w:rsidRDefault="003C6AA7" w:rsidP="009E2113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Takeaway: </w:t>
      </w:r>
      <w:r>
        <w:rPr>
          <w:rFonts w:ascii="Calibri" w:hAnsi="Calibri" w:cs="Calibri"/>
        </w:rPr>
        <w:t>Modest G&amp;A improvements strain valuation and limit EPS upside.</w:t>
      </w:r>
    </w:p>
    <w:p w14:paraId="50CD766B" w14:textId="536198B6" w:rsidR="003909C8" w:rsidRDefault="00F36459" w:rsidP="009E2113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Base Case</w:t>
      </w:r>
    </w:p>
    <w:p w14:paraId="41790949" w14:textId="3B3EB422" w:rsidR="00F5645F" w:rsidRPr="00F5645F" w:rsidRDefault="00F5645F" w:rsidP="009E2113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G&amp;A Path: </w:t>
      </w:r>
      <w:r>
        <w:rPr>
          <w:rFonts w:ascii="Calibri" w:hAnsi="Calibri" w:cs="Calibri"/>
        </w:rPr>
        <w:t xml:space="preserve">21% </w:t>
      </w:r>
      <w:r>
        <w:rPr>
          <w:rFonts w:ascii="Aptos Narrow" w:hAnsi="Aptos Narrow" w:cs="Calibri"/>
        </w:rPr>
        <w:t xml:space="preserve">→ </w:t>
      </w:r>
      <w:r>
        <w:rPr>
          <w:rFonts w:ascii="Calibri" w:hAnsi="Calibri" w:cs="Calibri"/>
        </w:rPr>
        <w:t xml:space="preserve">19% </w:t>
      </w:r>
      <w:r>
        <w:rPr>
          <w:rFonts w:ascii="Aptos Narrow" w:hAnsi="Aptos Narrow" w:cs="Calibri"/>
        </w:rPr>
        <w:t>→ 17% → 15% → 13%</w:t>
      </w:r>
    </w:p>
    <w:p w14:paraId="3484F468" w14:textId="3881376F" w:rsidR="00F5645F" w:rsidRPr="00EF7A82" w:rsidRDefault="00F5645F" w:rsidP="009E2113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Assumptions: </w:t>
      </w:r>
      <w:r w:rsidR="00EF7A82">
        <w:rPr>
          <w:rFonts w:ascii="Calibri" w:hAnsi="Calibri" w:cs="Calibri"/>
        </w:rPr>
        <w:t>Corporate cost structure scaling smoothly, automation supporting leverage</w:t>
      </w:r>
    </w:p>
    <w:p w14:paraId="1F1E3081" w14:textId="5EE6ED78" w:rsidR="00EF7A82" w:rsidRPr="00EF7A82" w:rsidRDefault="00EF7A82" w:rsidP="009E2113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EPS (FY2029): </w:t>
      </w:r>
      <w:r>
        <w:rPr>
          <w:rFonts w:ascii="Calibri" w:hAnsi="Calibri" w:cs="Calibri"/>
        </w:rPr>
        <w:t>$0.98</w:t>
      </w:r>
    </w:p>
    <w:p w14:paraId="5EFB0A2E" w14:textId="123032CF" w:rsidR="00EF7A82" w:rsidRPr="00EF7A82" w:rsidRDefault="00EF7A82" w:rsidP="009E2113">
      <w:pPr>
        <w:pStyle w:val="ListParagraph"/>
        <w:numPr>
          <w:ilvl w:val="1"/>
          <w:numId w:val="6"/>
        </w:num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$34.30 (35x EPS)</w:t>
      </w:r>
    </w:p>
    <w:p w14:paraId="2133E2DE" w14:textId="581DFA98" w:rsidR="00EF7A82" w:rsidRPr="00EF7A82" w:rsidRDefault="00EF7A82" w:rsidP="009E2113">
      <w:pPr>
        <w:pStyle w:val="ListParagraph"/>
        <w:numPr>
          <w:ilvl w:val="1"/>
          <w:numId w:val="6"/>
        </w:num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$10.47 (DCF)</w:t>
      </w:r>
    </w:p>
    <w:p w14:paraId="1C2C4825" w14:textId="073AEEC7" w:rsidR="00EF7A82" w:rsidRPr="00EF7A82" w:rsidRDefault="00EF7A82" w:rsidP="009E2113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b/>
          <w:bCs/>
        </w:rPr>
      </w:pPr>
      <w:r w:rsidRPr="00EF7A82">
        <w:rPr>
          <w:rFonts w:ascii="Calibri" w:hAnsi="Calibri" w:cs="Calibri"/>
          <w:b/>
          <w:bCs/>
        </w:rPr>
        <w:t>Takeaway: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Requires substantial cost control execution to justify current price. </w:t>
      </w:r>
    </w:p>
    <w:p w14:paraId="6CB069D1" w14:textId="34819365" w:rsidR="008925B9" w:rsidRDefault="008925B9" w:rsidP="009E2113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Bull Case</w:t>
      </w:r>
    </w:p>
    <w:p w14:paraId="26F1CA5F" w14:textId="60A5B1FB" w:rsidR="008925B9" w:rsidRPr="00F5645F" w:rsidRDefault="008925B9" w:rsidP="009E2113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G&amp;A Path: </w:t>
      </w:r>
      <w:r>
        <w:rPr>
          <w:rFonts w:ascii="Calibri" w:hAnsi="Calibri" w:cs="Calibri"/>
        </w:rPr>
        <w:t xml:space="preserve">21% </w:t>
      </w:r>
      <w:r>
        <w:rPr>
          <w:rFonts w:ascii="Aptos Narrow" w:hAnsi="Aptos Narrow" w:cs="Calibri"/>
        </w:rPr>
        <w:t xml:space="preserve">→ </w:t>
      </w:r>
      <w:r>
        <w:rPr>
          <w:rFonts w:ascii="Calibri" w:hAnsi="Calibri" w:cs="Calibri"/>
        </w:rPr>
        <w:t>1</w:t>
      </w:r>
      <w:r w:rsidR="00E87872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% </w:t>
      </w:r>
      <w:r>
        <w:rPr>
          <w:rFonts w:ascii="Aptos Narrow" w:hAnsi="Aptos Narrow" w:cs="Calibri"/>
        </w:rPr>
        <w:t>→ 1</w:t>
      </w:r>
      <w:r w:rsidR="00E87872">
        <w:rPr>
          <w:rFonts w:ascii="Aptos Narrow" w:hAnsi="Aptos Narrow" w:cs="Calibri"/>
        </w:rPr>
        <w:t>5</w:t>
      </w:r>
      <w:r>
        <w:rPr>
          <w:rFonts w:ascii="Aptos Narrow" w:hAnsi="Aptos Narrow" w:cs="Calibri"/>
        </w:rPr>
        <w:t>% → 1</w:t>
      </w:r>
      <w:r w:rsidR="00E87872">
        <w:rPr>
          <w:rFonts w:ascii="Aptos Narrow" w:hAnsi="Aptos Narrow" w:cs="Calibri"/>
        </w:rPr>
        <w:t>3</w:t>
      </w:r>
      <w:r>
        <w:rPr>
          <w:rFonts w:ascii="Aptos Narrow" w:hAnsi="Aptos Narrow" w:cs="Calibri"/>
        </w:rPr>
        <w:t>% → 1</w:t>
      </w:r>
      <w:r w:rsidR="00E87872">
        <w:rPr>
          <w:rFonts w:ascii="Aptos Narrow" w:hAnsi="Aptos Narrow" w:cs="Calibri"/>
        </w:rPr>
        <w:t>1</w:t>
      </w:r>
      <w:r>
        <w:rPr>
          <w:rFonts w:ascii="Aptos Narrow" w:hAnsi="Aptos Narrow" w:cs="Calibri"/>
        </w:rPr>
        <w:t>%</w:t>
      </w:r>
    </w:p>
    <w:p w14:paraId="2939C9A3" w14:textId="1165F031" w:rsidR="008925B9" w:rsidRPr="00E87872" w:rsidRDefault="00E87872" w:rsidP="009E2113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Assumptions: </w:t>
      </w:r>
      <w:r>
        <w:rPr>
          <w:rFonts w:ascii="Calibri" w:hAnsi="Calibri" w:cs="Calibri"/>
        </w:rPr>
        <w:t xml:space="preserve">Best-case cost efficiency and operating leverage, tech and automation allow for </w:t>
      </w:r>
      <w:proofErr w:type="gramStart"/>
      <w:r>
        <w:rPr>
          <w:rFonts w:ascii="Calibri" w:hAnsi="Calibri" w:cs="Calibri"/>
        </w:rPr>
        <w:t>lean</w:t>
      </w:r>
      <w:proofErr w:type="gramEnd"/>
      <w:r>
        <w:rPr>
          <w:rFonts w:ascii="Calibri" w:hAnsi="Calibri" w:cs="Calibri"/>
        </w:rPr>
        <w:t xml:space="preserve"> overhead.</w:t>
      </w:r>
    </w:p>
    <w:p w14:paraId="66A81F8C" w14:textId="0A71C290" w:rsidR="00E87872" w:rsidRPr="00E87872" w:rsidRDefault="00E87872" w:rsidP="009E2113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EPS (FY2029): </w:t>
      </w:r>
      <w:r>
        <w:rPr>
          <w:rFonts w:ascii="Calibri" w:hAnsi="Calibri" w:cs="Calibri"/>
        </w:rPr>
        <w:t>$1.15</w:t>
      </w:r>
    </w:p>
    <w:p w14:paraId="789AAC3C" w14:textId="3670798E" w:rsidR="00E87872" w:rsidRDefault="00E87872" w:rsidP="009E2113">
      <w:pPr>
        <w:pStyle w:val="ListParagraph"/>
        <w:numPr>
          <w:ilvl w:val="1"/>
          <w:numId w:val="8"/>
        </w:numPr>
        <w:spacing w:line="240" w:lineRule="auto"/>
        <w:rPr>
          <w:rFonts w:ascii="Calibri" w:hAnsi="Calibri" w:cs="Calibri"/>
        </w:rPr>
      </w:pPr>
      <w:r w:rsidRPr="00E87872">
        <w:rPr>
          <w:rFonts w:ascii="Calibri" w:hAnsi="Calibri" w:cs="Calibri"/>
        </w:rPr>
        <w:t>$51.75</w:t>
      </w:r>
      <w:r w:rsidR="00083161">
        <w:rPr>
          <w:rFonts w:ascii="Calibri" w:hAnsi="Calibri" w:cs="Calibri"/>
        </w:rPr>
        <w:t xml:space="preserve"> (45x EPS)</w:t>
      </w:r>
    </w:p>
    <w:p w14:paraId="15974A93" w14:textId="1D6F073D" w:rsidR="00083161" w:rsidRDefault="00083161" w:rsidP="009E2113">
      <w:pPr>
        <w:pStyle w:val="ListParagraph"/>
        <w:numPr>
          <w:ilvl w:val="1"/>
          <w:numId w:val="8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$14.35 (DCF)</w:t>
      </w:r>
    </w:p>
    <w:p w14:paraId="00EDAF82" w14:textId="0E072973" w:rsidR="00083161" w:rsidRDefault="00083161" w:rsidP="009E2113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Takeaway: </w:t>
      </w:r>
      <w:r w:rsidR="00D63097">
        <w:rPr>
          <w:rFonts w:ascii="Calibri" w:hAnsi="Calibri" w:cs="Calibri"/>
        </w:rPr>
        <w:t xml:space="preserve">Significant upside if G&amp;A can scale aggressively down to strong peer performance, </w:t>
      </w:r>
      <w:r w:rsidR="00100A4E">
        <w:rPr>
          <w:rFonts w:ascii="Calibri" w:hAnsi="Calibri" w:cs="Calibri"/>
        </w:rPr>
        <w:t xml:space="preserve">has </w:t>
      </w:r>
      <w:r w:rsidR="00D63097">
        <w:rPr>
          <w:rFonts w:ascii="Calibri" w:hAnsi="Calibri" w:cs="Calibri"/>
        </w:rPr>
        <w:t xml:space="preserve">not </w:t>
      </w:r>
      <w:r w:rsidR="00D60006">
        <w:rPr>
          <w:rFonts w:ascii="Calibri" w:hAnsi="Calibri" w:cs="Calibri"/>
        </w:rPr>
        <w:t xml:space="preserve">been </w:t>
      </w:r>
      <w:r w:rsidR="00D63097">
        <w:rPr>
          <w:rFonts w:ascii="Calibri" w:hAnsi="Calibri" w:cs="Calibri"/>
        </w:rPr>
        <w:t>demonstrated.</w:t>
      </w:r>
    </w:p>
    <w:p w14:paraId="30F0BBC7" w14:textId="21F3872C" w:rsidR="00554312" w:rsidRDefault="00554312" w:rsidP="009E2113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Risks to Thesis</w:t>
      </w:r>
    </w:p>
    <w:p w14:paraId="7F3EA3B1" w14:textId="6D6A4D9F" w:rsidR="00554312" w:rsidRDefault="00C5534E" w:rsidP="009E211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Near term surprises in KPIs could significantly squeeze this short position:</w:t>
      </w:r>
    </w:p>
    <w:p w14:paraId="4481B97F" w14:textId="4A128A71" w:rsidR="00C5534E" w:rsidRDefault="00A72402" w:rsidP="00C5534E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Faster than expected G&amp;A leverage</w:t>
      </w:r>
      <w:r>
        <w:rPr>
          <w:rFonts w:ascii="Calibri" w:hAnsi="Calibri" w:cs="Calibri"/>
        </w:rPr>
        <w:t>, through rapid cost scaling could materially improve EPS ahead of expectations.</w:t>
      </w:r>
    </w:p>
    <w:p w14:paraId="31CFFF98" w14:textId="12B4EC23" w:rsidR="00A72402" w:rsidRDefault="00A72402" w:rsidP="00C5534E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Sustained comp sales rebound </w:t>
      </w:r>
      <w:r>
        <w:rPr>
          <w:rFonts w:ascii="Calibri" w:hAnsi="Calibri" w:cs="Calibri"/>
        </w:rPr>
        <w:t>through strong traffic increase and AUV growth could accelerate operating leverage.</w:t>
      </w:r>
    </w:p>
    <w:p w14:paraId="72A8AA22" w14:textId="323E340D" w:rsidR="00A72402" w:rsidRDefault="00A72402" w:rsidP="00C5534E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Infinite Kitchen margin success at scale, </w:t>
      </w:r>
      <w:r>
        <w:rPr>
          <w:rFonts w:ascii="Calibri" w:hAnsi="Calibri" w:cs="Calibri"/>
        </w:rPr>
        <w:t>if margin uplift is proven across diverse markets, investor confidence in profitability may rise.</w:t>
      </w:r>
    </w:p>
    <w:p w14:paraId="363B58D2" w14:textId="223E797F" w:rsidR="00353090" w:rsidRDefault="00353090" w:rsidP="00C5534E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High margin delivery or digital mix shift, </w:t>
      </w:r>
      <w:r>
        <w:rPr>
          <w:rFonts w:ascii="Calibri" w:hAnsi="Calibri" w:cs="Calibri"/>
        </w:rPr>
        <w:t>if channel mix shifts towards more profitable segments</w:t>
      </w:r>
      <w:r w:rsidR="00FA5D68">
        <w:rPr>
          <w:rFonts w:ascii="Calibri" w:hAnsi="Calibri" w:cs="Calibri"/>
        </w:rPr>
        <w:t xml:space="preserve"> (e.g. digital revenue owned), RLM could expand faster than modeled.</w:t>
      </w:r>
    </w:p>
    <w:p w14:paraId="4D3353EA" w14:textId="32A89B58" w:rsidR="00A72402" w:rsidRPr="00C5534E" w:rsidRDefault="00A72402" w:rsidP="00C5534E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Multiple expansion, </w:t>
      </w:r>
      <w:r>
        <w:rPr>
          <w:rFonts w:ascii="Calibri" w:hAnsi="Calibri" w:cs="Calibri"/>
        </w:rPr>
        <w:t xml:space="preserve">and market enthusiasm for restaurant tech and automation-driven growth could inflate the P/E multiple regardless of near-term earnings. </w:t>
      </w:r>
    </w:p>
    <w:p w14:paraId="0AAF6971" w14:textId="4228C3EA" w:rsidR="00457A74" w:rsidRDefault="000203FE" w:rsidP="009E2113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Event Path &amp; Catalysts</w:t>
      </w:r>
    </w:p>
    <w:p w14:paraId="1521E683" w14:textId="0B2647F0" w:rsidR="000203FE" w:rsidRDefault="000203FE" w:rsidP="009E211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track Sweetgreen’s short thesis, my focus is on execution against these key </w:t>
      </w:r>
      <w:proofErr w:type="gramStart"/>
      <w:r>
        <w:rPr>
          <w:rFonts w:ascii="Calibri" w:hAnsi="Calibri" w:cs="Calibri"/>
        </w:rPr>
        <w:t>margin</w:t>
      </w:r>
      <w:proofErr w:type="gramEnd"/>
      <w:r>
        <w:rPr>
          <w:rFonts w:ascii="Calibri" w:hAnsi="Calibri" w:cs="Calibri"/>
        </w:rPr>
        <w:t xml:space="preserve"> and cost milestones. </w:t>
      </w:r>
      <w:r w:rsidR="00D60006">
        <w:rPr>
          <w:rFonts w:ascii="Calibri" w:hAnsi="Calibri" w:cs="Calibri"/>
        </w:rPr>
        <w:t>N</w:t>
      </w:r>
      <w:r>
        <w:rPr>
          <w:rFonts w:ascii="Calibri" w:hAnsi="Calibri" w:cs="Calibri"/>
        </w:rPr>
        <w:t>ear-term catalysts include:</w:t>
      </w:r>
    </w:p>
    <w:p w14:paraId="374FCFD8" w14:textId="65C3C66B" w:rsidR="00E05092" w:rsidRDefault="00E05092" w:rsidP="009E2113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Q2 and Q3 2025 Earnings Reports: </w:t>
      </w:r>
      <w:r>
        <w:rPr>
          <w:rFonts w:ascii="Calibri" w:hAnsi="Calibri" w:cs="Calibri"/>
        </w:rPr>
        <w:t xml:space="preserve">Key metrics to watch include G&amp;A as % of revenue, AUV trends, and restaurant-level margin </w:t>
      </w:r>
      <w:r w:rsidR="0083570C">
        <w:rPr>
          <w:rFonts w:ascii="Calibri" w:hAnsi="Calibri" w:cs="Calibri"/>
        </w:rPr>
        <w:t>progression.</w:t>
      </w:r>
    </w:p>
    <w:p w14:paraId="6B66A1A3" w14:textId="76F9C7F0" w:rsidR="0083570C" w:rsidRDefault="0083570C" w:rsidP="009E2113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Same-Store Sales (SSS):</w:t>
      </w:r>
      <w:r>
        <w:rPr>
          <w:rFonts w:ascii="Calibri" w:hAnsi="Calibri" w:cs="Calibri"/>
        </w:rPr>
        <w:t xml:space="preserve"> AUV or comp growth stays flat per management guidance,</w:t>
      </w:r>
      <w:r w:rsidR="00AA15A9">
        <w:rPr>
          <w:rFonts w:ascii="Calibri" w:hAnsi="Calibri" w:cs="Calibri"/>
        </w:rPr>
        <w:t xml:space="preserve"> inflection could weaken bear case.</w:t>
      </w:r>
    </w:p>
    <w:p w14:paraId="0B304CBC" w14:textId="551B7C65" w:rsidR="00AA15A9" w:rsidRDefault="00AA15A9" w:rsidP="009E2113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Infinite Kitchen Rollout:</w:t>
      </w:r>
      <w:r>
        <w:rPr>
          <w:rFonts w:ascii="Calibri" w:hAnsi="Calibri" w:cs="Calibri"/>
        </w:rPr>
        <w:t xml:space="preserve"> </w:t>
      </w:r>
      <w:r w:rsidR="00AB6DF7">
        <w:rPr>
          <w:rFonts w:ascii="Calibri" w:hAnsi="Calibri" w:cs="Calibri"/>
        </w:rPr>
        <w:t xml:space="preserve">Monitoring Infinite Kitchen adoption across new store openings and </w:t>
      </w:r>
      <w:r w:rsidR="00B85357">
        <w:rPr>
          <w:rFonts w:ascii="Calibri" w:hAnsi="Calibri" w:cs="Calibri"/>
        </w:rPr>
        <w:t xml:space="preserve">correlated labor efficiency gains. Demonstrated national scalability would materially impact margin </w:t>
      </w:r>
      <w:r w:rsidR="001163AD">
        <w:rPr>
          <w:rFonts w:ascii="Calibri" w:hAnsi="Calibri" w:cs="Calibri"/>
        </w:rPr>
        <w:t xml:space="preserve">projection. </w:t>
      </w:r>
    </w:p>
    <w:p w14:paraId="3BF3E52B" w14:textId="6EE8FF0C" w:rsidR="001163AD" w:rsidRDefault="001163AD" w:rsidP="009E2113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Annual Report (FY2025):</w:t>
      </w:r>
      <w:r>
        <w:rPr>
          <w:rFonts w:ascii="Calibri" w:hAnsi="Calibri" w:cs="Calibri"/>
        </w:rPr>
        <w:t xml:space="preserve"> Shows full year </w:t>
      </w:r>
      <w:r w:rsidR="00806607">
        <w:rPr>
          <w:rFonts w:ascii="Calibri" w:hAnsi="Calibri" w:cs="Calibri"/>
        </w:rPr>
        <w:t>c</w:t>
      </w:r>
      <w:r>
        <w:rPr>
          <w:rFonts w:ascii="Calibri" w:hAnsi="Calibri" w:cs="Calibri"/>
        </w:rPr>
        <w:t>ap</w:t>
      </w:r>
      <w:r w:rsidR="00806607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x, unit economics and outlook on corporate expense </w:t>
      </w:r>
      <w:r w:rsidR="00100A4E">
        <w:rPr>
          <w:rFonts w:ascii="Calibri" w:hAnsi="Calibri" w:cs="Calibri"/>
        </w:rPr>
        <w:t>leverage.</w:t>
      </w:r>
    </w:p>
    <w:p w14:paraId="785784DD" w14:textId="5B02229E" w:rsidR="001163AD" w:rsidRDefault="00E36FFB" w:rsidP="009E2113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Price </w:t>
      </w:r>
      <w:r w:rsidR="009E2113">
        <w:rPr>
          <w:rFonts w:ascii="Calibri" w:hAnsi="Calibri" w:cs="Calibri"/>
          <w:b/>
          <w:bCs/>
        </w:rPr>
        <w:t>Risk/Reward Summary</w:t>
      </w:r>
    </w:p>
    <w:p w14:paraId="23E3D928" w14:textId="613861D1" w:rsidR="00CC68F0" w:rsidRDefault="009E2113" w:rsidP="009E211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Weighted downside risk outweighs limited upside at $14.00. The model </w:t>
      </w:r>
      <w:r w:rsidR="0047358F" w:rsidRPr="00507C13">
        <w:rPr>
          <w:rFonts w:ascii="Calibri" w:hAnsi="Calibri" w:cs="Calibri"/>
          <w:b/>
          <w:bCs/>
        </w:rPr>
        <w:t>scenario</w:t>
      </w:r>
      <w:r w:rsidR="00507C13" w:rsidRPr="00507C13">
        <w:rPr>
          <w:rFonts w:ascii="Calibri" w:hAnsi="Calibri" w:cs="Calibri"/>
          <w:b/>
          <w:bCs/>
        </w:rPr>
        <w:t>-</w:t>
      </w:r>
      <w:r w:rsidR="0047358F" w:rsidRPr="00507C13">
        <w:rPr>
          <w:rFonts w:ascii="Calibri" w:hAnsi="Calibri" w:cs="Calibri"/>
          <w:b/>
          <w:bCs/>
        </w:rPr>
        <w:t xml:space="preserve">weighted target price of $10.30 implies </w:t>
      </w:r>
      <w:r w:rsidR="00507C13" w:rsidRPr="00507C13">
        <w:rPr>
          <w:rFonts w:ascii="Calibri" w:hAnsi="Calibri" w:cs="Calibri"/>
          <w:b/>
          <w:bCs/>
        </w:rPr>
        <w:t>26% downside</w:t>
      </w:r>
      <w:r w:rsidR="00507C13">
        <w:rPr>
          <w:rFonts w:ascii="Calibri" w:hAnsi="Calibri" w:cs="Calibri"/>
        </w:rPr>
        <w:t xml:space="preserve"> from the current price.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37"/>
        <w:gridCol w:w="2386"/>
        <w:gridCol w:w="1619"/>
        <w:gridCol w:w="1644"/>
        <w:gridCol w:w="1664"/>
      </w:tblGrid>
      <w:tr w:rsidR="009B42C0" w:rsidRPr="009B42C0" w14:paraId="4A008B5D" w14:textId="77777777" w:rsidTr="009B42C0">
        <w:trPr>
          <w:trHeight w:val="290"/>
        </w:trPr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4313D0F" w14:textId="77777777" w:rsidR="009B42C0" w:rsidRPr="009B42C0" w:rsidRDefault="009B42C0" w:rsidP="009B42C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Risk/Reward</w:t>
            </w:r>
          </w:p>
        </w:tc>
        <w:tc>
          <w:tcPr>
            <w:tcW w:w="127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002C69" w14:textId="77777777" w:rsidR="009B42C0" w:rsidRPr="009B42C0" w:rsidRDefault="009B42C0" w:rsidP="009B4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B48851" w14:textId="77777777" w:rsidR="009B42C0" w:rsidRPr="009B42C0" w:rsidRDefault="009B42C0" w:rsidP="009B4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7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DE72E6" w14:textId="77777777" w:rsidR="009B42C0" w:rsidRPr="009B42C0" w:rsidRDefault="009B42C0" w:rsidP="009B4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1EADBD7" w14:textId="77777777" w:rsidR="009B42C0" w:rsidRPr="009B42C0" w:rsidRDefault="009B42C0" w:rsidP="009B4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9B42C0" w:rsidRPr="009B42C0" w14:paraId="4A7B2292" w14:textId="77777777" w:rsidTr="009B42C0">
        <w:trPr>
          <w:trHeight w:val="290"/>
        </w:trPr>
        <w:tc>
          <w:tcPr>
            <w:tcW w:w="10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58567" w14:textId="77777777" w:rsidR="009B42C0" w:rsidRPr="009B42C0" w:rsidRDefault="009B42C0" w:rsidP="009B42C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Scenario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9DBA6D8" w14:textId="77777777" w:rsidR="009B42C0" w:rsidRPr="009B42C0" w:rsidRDefault="009B42C0" w:rsidP="009B42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Probability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A9C91EC" w14:textId="77777777" w:rsidR="009B42C0" w:rsidRPr="009B42C0" w:rsidRDefault="009B42C0" w:rsidP="009B42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Implied Price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396E253" w14:textId="77777777" w:rsidR="009B42C0" w:rsidRPr="009B42C0" w:rsidRDefault="009B42C0" w:rsidP="009B42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Return vs. $14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570F5" w14:textId="77777777" w:rsidR="009B42C0" w:rsidRPr="009B42C0" w:rsidRDefault="009B42C0" w:rsidP="009B42C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Contribution</w:t>
            </w:r>
          </w:p>
        </w:tc>
      </w:tr>
      <w:tr w:rsidR="009B42C0" w:rsidRPr="009B42C0" w14:paraId="2D50EF25" w14:textId="77777777" w:rsidTr="009B42C0">
        <w:trPr>
          <w:trHeight w:val="290"/>
        </w:trPr>
        <w:tc>
          <w:tcPr>
            <w:tcW w:w="10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0EA2463" w14:textId="77777777" w:rsidR="009B42C0" w:rsidRPr="009B42C0" w:rsidRDefault="009B42C0" w:rsidP="009B42C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Bear</w:t>
            </w: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82D2A3" w14:textId="77777777" w:rsidR="009B42C0" w:rsidRPr="009B42C0" w:rsidRDefault="009B42C0" w:rsidP="009B42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50%</w:t>
            </w:r>
          </w:p>
        </w:tc>
        <w:tc>
          <w:tcPr>
            <w:tcW w:w="86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D7ADF9" w14:textId="77777777" w:rsidR="009B42C0" w:rsidRPr="009B42C0" w:rsidRDefault="009B42C0" w:rsidP="009B42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8.97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3A25D6" w14:textId="77777777" w:rsidR="009B42C0" w:rsidRPr="009B42C0" w:rsidRDefault="009B42C0" w:rsidP="009B42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-36.0%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CA70A9" w14:textId="77777777" w:rsidR="009B42C0" w:rsidRPr="009B42C0" w:rsidRDefault="009B42C0" w:rsidP="009B42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-18.0%</w:t>
            </w:r>
          </w:p>
        </w:tc>
      </w:tr>
      <w:tr w:rsidR="009B42C0" w:rsidRPr="009B42C0" w14:paraId="05D14DD6" w14:textId="77777777" w:rsidTr="009B42C0">
        <w:trPr>
          <w:trHeight w:val="290"/>
        </w:trPr>
        <w:tc>
          <w:tcPr>
            <w:tcW w:w="10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4F319B6" w14:textId="77777777" w:rsidR="009B42C0" w:rsidRPr="009B42C0" w:rsidRDefault="009B42C0" w:rsidP="009B42C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Base</w:t>
            </w: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2E2898" w14:textId="77777777" w:rsidR="009B42C0" w:rsidRPr="009B42C0" w:rsidRDefault="009B42C0" w:rsidP="009B42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35%</w:t>
            </w:r>
          </w:p>
        </w:tc>
        <w:tc>
          <w:tcPr>
            <w:tcW w:w="86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D82203" w14:textId="77777777" w:rsidR="009B42C0" w:rsidRPr="009B42C0" w:rsidRDefault="009B42C0" w:rsidP="009B42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10.47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9DC247" w14:textId="77777777" w:rsidR="009B42C0" w:rsidRPr="009B42C0" w:rsidRDefault="009B42C0" w:rsidP="009B42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-25.2%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332FAED" w14:textId="77777777" w:rsidR="009B42C0" w:rsidRPr="009B42C0" w:rsidRDefault="009B42C0" w:rsidP="009B42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-8.8%</w:t>
            </w:r>
          </w:p>
        </w:tc>
      </w:tr>
      <w:tr w:rsidR="009B42C0" w:rsidRPr="009B42C0" w14:paraId="4207BA20" w14:textId="77777777" w:rsidTr="009B42C0">
        <w:trPr>
          <w:trHeight w:val="290"/>
        </w:trPr>
        <w:tc>
          <w:tcPr>
            <w:tcW w:w="10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9A3C868" w14:textId="77777777" w:rsidR="009B42C0" w:rsidRPr="009B42C0" w:rsidRDefault="009B42C0" w:rsidP="009B42C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Bull</w:t>
            </w: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4C2A6E" w14:textId="77777777" w:rsidR="009B42C0" w:rsidRPr="009B42C0" w:rsidRDefault="009B42C0" w:rsidP="009B42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15%</w:t>
            </w:r>
          </w:p>
        </w:tc>
        <w:tc>
          <w:tcPr>
            <w:tcW w:w="86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047FFA" w14:textId="77777777" w:rsidR="009B42C0" w:rsidRPr="009B42C0" w:rsidRDefault="009B42C0" w:rsidP="009B42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14.35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AE4E45" w14:textId="77777777" w:rsidR="009B42C0" w:rsidRPr="009B42C0" w:rsidRDefault="009B42C0" w:rsidP="009B42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2.5%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8FD8C9A" w14:textId="77777777" w:rsidR="009B42C0" w:rsidRPr="009B42C0" w:rsidRDefault="009B42C0" w:rsidP="009B42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0.4%</w:t>
            </w:r>
          </w:p>
        </w:tc>
      </w:tr>
      <w:tr w:rsidR="009B42C0" w:rsidRPr="009B42C0" w14:paraId="78052C97" w14:textId="77777777" w:rsidTr="009B42C0">
        <w:trPr>
          <w:trHeight w:val="290"/>
        </w:trPr>
        <w:tc>
          <w:tcPr>
            <w:tcW w:w="10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D7C30B9" w14:textId="77777777" w:rsidR="009B42C0" w:rsidRPr="009B42C0" w:rsidRDefault="009B42C0" w:rsidP="009B4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65ED8A" w14:textId="77777777" w:rsidR="009B42C0" w:rsidRPr="009B42C0" w:rsidRDefault="009B42C0" w:rsidP="009B4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6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56BA26" w14:textId="77777777" w:rsidR="009B42C0" w:rsidRPr="009B42C0" w:rsidRDefault="009B42C0" w:rsidP="009B4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3016AD" w14:textId="77777777" w:rsidR="009B42C0" w:rsidRPr="009B42C0" w:rsidRDefault="009B42C0" w:rsidP="009B4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AE2C0A4" w14:textId="77777777" w:rsidR="009B42C0" w:rsidRPr="009B42C0" w:rsidRDefault="009B42C0" w:rsidP="009B4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9B42C0" w:rsidRPr="009B42C0" w14:paraId="35DB4D92" w14:textId="77777777" w:rsidTr="009B42C0">
        <w:trPr>
          <w:trHeight w:val="290"/>
        </w:trPr>
        <w:tc>
          <w:tcPr>
            <w:tcW w:w="10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C94F6" w14:textId="77777777" w:rsidR="009B42C0" w:rsidRPr="009B42C0" w:rsidRDefault="009B42C0" w:rsidP="009B42C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Weighted Target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13BA82A" w14:textId="77777777" w:rsidR="009B42C0" w:rsidRPr="009B42C0" w:rsidRDefault="009B42C0" w:rsidP="009B4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8AF2469" w14:textId="77777777" w:rsidR="009B42C0" w:rsidRPr="009B42C0" w:rsidRDefault="009B42C0" w:rsidP="009B42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$             10.30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21478C2" w14:textId="77777777" w:rsidR="009B42C0" w:rsidRPr="009B42C0" w:rsidRDefault="009B42C0" w:rsidP="009B42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-26.4%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96F30" w14:textId="77777777" w:rsidR="009B42C0" w:rsidRPr="009B42C0" w:rsidRDefault="009B42C0" w:rsidP="009B42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B42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5564B08B" w14:textId="77777777" w:rsidR="00A73FD5" w:rsidRDefault="00A73FD5" w:rsidP="009E2113">
      <w:pPr>
        <w:spacing w:line="240" w:lineRule="auto"/>
        <w:rPr>
          <w:rFonts w:ascii="Calibri" w:hAnsi="Calibri" w:cs="Calibri"/>
          <w:b/>
          <w:bCs/>
        </w:rPr>
      </w:pPr>
    </w:p>
    <w:p w14:paraId="05861092" w14:textId="64777231" w:rsidR="00CC68F0" w:rsidRDefault="00393A73" w:rsidP="009E2113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Outstanding Diligence</w:t>
      </w:r>
    </w:p>
    <w:p w14:paraId="17905590" w14:textId="573389D3" w:rsidR="00393A73" w:rsidRDefault="0097070F" w:rsidP="009E211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further support the short thesis, or reassess it, I would focus on the following </w:t>
      </w:r>
      <w:proofErr w:type="gramStart"/>
      <w:r>
        <w:rPr>
          <w:rFonts w:ascii="Calibri" w:hAnsi="Calibri" w:cs="Calibri"/>
        </w:rPr>
        <w:t>diligence</w:t>
      </w:r>
      <w:proofErr w:type="gramEnd"/>
      <w:r>
        <w:rPr>
          <w:rFonts w:ascii="Calibri" w:hAnsi="Calibri" w:cs="Calibri"/>
        </w:rPr>
        <w:t xml:space="preserve"> items:</w:t>
      </w:r>
    </w:p>
    <w:p w14:paraId="51354F94" w14:textId="41CA878B" w:rsidR="0097070F" w:rsidRDefault="0097070F" w:rsidP="0097070F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9F1163">
        <w:rPr>
          <w:rFonts w:ascii="Calibri" w:hAnsi="Calibri" w:cs="Calibri"/>
          <w:b/>
          <w:bCs/>
        </w:rPr>
        <w:t>O</w:t>
      </w:r>
      <w:r w:rsidR="009F1163" w:rsidRPr="009F1163">
        <w:rPr>
          <w:rFonts w:ascii="Calibri" w:hAnsi="Calibri" w:cs="Calibri"/>
          <w:b/>
          <w:bCs/>
        </w:rPr>
        <w:t>btain a detailed G&amp;A breakdown and long-term scaling targets</w:t>
      </w:r>
      <w:r w:rsidR="009F1163">
        <w:rPr>
          <w:rFonts w:ascii="Calibri" w:hAnsi="Calibri" w:cs="Calibri"/>
        </w:rPr>
        <w:t xml:space="preserve"> from management to evaluate G&amp;A efficiency potential.</w:t>
      </w:r>
    </w:p>
    <w:p w14:paraId="5ED5B306" w14:textId="55772408" w:rsidR="009F1163" w:rsidRDefault="009F1163" w:rsidP="0097070F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Analyze unit level cost structure across regions </w:t>
      </w:r>
      <w:r>
        <w:rPr>
          <w:rFonts w:ascii="Calibri" w:hAnsi="Calibri" w:cs="Calibri"/>
        </w:rPr>
        <w:t>to assess the scalability of Infinite Kitchen margins.</w:t>
      </w:r>
    </w:p>
    <w:p w14:paraId="70731955" w14:textId="48947C88" w:rsidR="009F1163" w:rsidRDefault="009F1163" w:rsidP="0097070F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Monitor margin uplift </w:t>
      </w:r>
      <w:r w:rsidR="00E860FC">
        <w:rPr>
          <w:rFonts w:ascii="Calibri" w:hAnsi="Calibri" w:cs="Calibri"/>
          <w:b/>
          <w:bCs/>
        </w:rPr>
        <w:t xml:space="preserve">durability </w:t>
      </w:r>
      <w:r w:rsidR="000B7AB8">
        <w:rPr>
          <w:rFonts w:ascii="Calibri" w:hAnsi="Calibri" w:cs="Calibri"/>
        </w:rPr>
        <w:t>in early Infinite Kitchen stores across varying throughput and labor environments.</w:t>
      </w:r>
    </w:p>
    <w:p w14:paraId="03C00C76" w14:textId="47F2BFF9" w:rsidR="000B7AB8" w:rsidRDefault="000B7AB8" w:rsidP="0097070F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Track trends in Key KPIs</w:t>
      </w:r>
      <w:r>
        <w:rPr>
          <w:rFonts w:ascii="Calibri" w:hAnsi="Calibri" w:cs="Calibri"/>
        </w:rPr>
        <w:t>: AUV, RLM, and G&amp;A as % of revenue.</w:t>
      </w:r>
    </w:p>
    <w:p w14:paraId="05812EF2" w14:textId="4BE67264" w:rsidR="000B7AB8" w:rsidRDefault="000B7AB8" w:rsidP="0097070F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  <w:b/>
          <w:bCs/>
        </w:rPr>
        <w:t>Review</w:t>
      </w:r>
      <w:proofErr w:type="gramEnd"/>
      <w:r>
        <w:rPr>
          <w:rFonts w:ascii="Calibri" w:hAnsi="Calibri" w:cs="Calibri"/>
          <w:b/>
          <w:bCs/>
        </w:rPr>
        <w:t xml:space="preserve"> earnings </w:t>
      </w:r>
      <w:proofErr w:type="gramStart"/>
      <w:r w:rsidR="00CC7345">
        <w:rPr>
          <w:rFonts w:ascii="Calibri" w:hAnsi="Calibri" w:cs="Calibri"/>
          <w:b/>
          <w:bCs/>
        </w:rPr>
        <w:t>calls</w:t>
      </w:r>
      <w:proofErr w:type="gramEnd"/>
      <w:r w:rsidR="00590125">
        <w:rPr>
          <w:rFonts w:ascii="Calibri" w:hAnsi="Calibri" w:cs="Calibri"/>
          <w:b/>
          <w:bCs/>
        </w:rPr>
        <w:t xml:space="preserve"> </w:t>
      </w:r>
      <w:r w:rsidR="00590125">
        <w:rPr>
          <w:rFonts w:ascii="Calibri" w:hAnsi="Calibri" w:cs="Calibri"/>
        </w:rPr>
        <w:t>Q2 &amp; Q3 2025</w:t>
      </w:r>
      <w:r w:rsidR="00CC7345">
        <w:rPr>
          <w:rFonts w:ascii="Calibri" w:hAnsi="Calibri" w:cs="Calibri"/>
        </w:rPr>
        <w:t xml:space="preserve"> for updates on comp sales, </w:t>
      </w:r>
      <w:r w:rsidR="00806607">
        <w:rPr>
          <w:rFonts w:ascii="Calibri" w:hAnsi="Calibri" w:cs="Calibri"/>
        </w:rPr>
        <w:t>labor costs, and capex or equity raise plans.</w:t>
      </w:r>
    </w:p>
    <w:p w14:paraId="71C064BB" w14:textId="16F9C44F" w:rsidR="00727AFB" w:rsidRPr="00962E85" w:rsidRDefault="00727AFB" w:rsidP="0097070F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b/>
          <w:bCs/>
        </w:rPr>
      </w:pPr>
      <w:r w:rsidRPr="00962E85">
        <w:rPr>
          <w:rFonts w:ascii="Calibri" w:hAnsi="Calibri" w:cs="Calibri"/>
          <w:b/>
          <w:bCs/>
        </w:rPr>
        <w:t xml:space="preserve">Reassess short thesis if Sweetgreen shows consistent EPS </w:t>
      </w:r>
      <w:r w:rsidR="003417C5">
        <w:rPr>
          <w:rFonts w:ascii="Calibri" w:hAnsi="Calibri" w:cs="Calibri"/>
          <w:b/>
          <w:bCs/>
        </w:rPr>
        <w:t>growth</w:t>
      </w:r>
      <w:r w:rsidR="00962E85" w:rsidRPr="00962E85">
        <w:rPr>
          <w:rFonts w:ascii="Calibri" w:hAnsi="Calibri" w:cs="Calibri"/>
          <w:b/>
          <w:bCs/>
        </w:rPr>
        <w:t xml:space="preserve"> with clear cost leverage</w:t>
      </w:r>
      <w:r w:rsidR="004B6B95">
        <w:rPr>
          <w:rFonts w:ascii="Calibri" w:hAnsi="Calibri" w:cs="Calibri"/>
          <w:b/>
          <w:bCs/>
        </w:rPr>
        <w:t xml:space="preserve"> or thesis risks </w:t>
      </w:r>
      <w:r w:rsidR="00FE5040">
        <w:rPr>
          <w:rFonts w:ascii="Calibri" w:hAnsi="Calibri" w:cs="Calibri"/>
          <w:b/>
          <w:bCs/>
        </w:rPr>
        <w:t>start to materialize</w:t>
      </w:r>
      <w:r w:rsidR="00962E85" w:rsidRPr="00962E85">
        <w:rPr>
          <w:rFonts w:ascii="Calibri" w:hAnsi="Calibri" w:cs="Calibri"/>
          <w:b/>
          <w:bCs/>
        </w:rPr>
        <w:t>.</w:t>
      </w:r>
    </w:p>
    <w:p w14:paraId="4EEE1DDD" w14:textId="0460E240" w:rsidR="00962E85" w:rsidRDefault="00BF6B97" w:rsidP="00962E85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Conclusion</w:t>
      </w:r>
    </w:p>
    <w:p w14:paraId="5676A1C0" w14:textId="174CD2DF" w:rsidR="00BF6B97" w:rsidRPr="001A5B82" w:rsidRDefault="008912F2" w:rsidP="00962E85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At the current market price of $14.00</w:t>
      </w:r>
      <w:r w:rsidRPr="003417C5">
        <w:rPr>
          <w:rFonts w:ascii="Calibri" w:hAnsi="Calibri" w:cs="Calibri"/>
          <w:b/>
          <w:bCs/>
        </w:rPr>
        <w:t xml:space="preserve">, </w:t>
      </w:r>
      <w:r w:rsidRPr="003417C5">
        <w:rPr>
          <w:rFonts w:ascii="Calibri" w:hAnsi="Calibri" w:cs="Calibri"/>
        </w:rPr>
        <w:t>Sweetgreen reflects execution that has yet to materialize. With unproven cost leverage, ongoing losses, and automation still in pilot phases, the model sees limited near-term upside and meaningful downside</w:t>
      </w:r>
      <w:r>
        <w:rPr>
          <w:rFonts w:ascii="Calibri" w:hAnsi="Calibri" w:cs="Calibri"/>
        </w:rPr>
        <w:t>. The model base case supports a valuation of $10.47 per share, with risk-weighted downside to $10.30</w:t>
      </w:r>
      <w:r w:rsidR="003417C5">
        <w:rPr>
          <w:rFonts w:ascii="Calibri" w:hAnsi="Calibri" w:cs="Calibri"/>
        </w:rPr>
        <w:t xml:space="preserve"> per share</w:t>
      </w:r>
      <w:r w:rsidR="003417C5" w:rsidRPr="001A5B82">
        <w:rPr>
          <w:rFonts w:ascii="Calibri" w:hAnsi="Calibri" w:cs="Calibri"/>
          <w:b/>
          <w:bCs/>
        </w:rPr>
        <w:t>. I recommend a short position and w</w:t>
      </w:r>
      <w:r w:rsidR="00B5314C">
        <w:rPr>
          <w:rFonts w:ascii="Calibri" w:hAnsi="Calibri" w:cs="Calibri"/>
          <w:b/>
          <w:bCs/>
        </w:rPr>
        <w:t>ould</w:t>
      </w:r>
      <w:r w:rsidR="003417C5" w:rsidRPr="001A5B82">
        <w:rPr>
          <w:rFonts w:ascii="Calibri" w:hAnsi="Calibri" w:cs="Calibri"/>
          <w:b/>
          <w:bCs/>
        </w:rPr>
        <w:t xml:space="preserve"> revisit the long case if Sweetgreen de</w:t>
      </w:r>
      <w:r w:rsidR="00B5314C">
        <w:rPr>
          <w:rFonts w:ascii="Calibri" w:hAnsi="Calibri" w:cs="Calibri"/>
          <w:b/>
          <w:bCs/>
        </w:rPr>
        <w:t>monstrates</w:t>
      </w:r>
      <w:r w:rsidR="003417C5" w:rsidRPr="001A5B82">
        <w:rPr>
          <w:rFonts w:ascii="Calibri" w:hAnsi="Calibri" w:cs="Calibri"/>
          <w:b/>
          <w:bCs/>
        </w:rPr>
        <w:t xml:space="preserve"> sustained EPS growt</w:t>
      </w:r>
      <w:r w:rsidR="00B5314C">
        <w:rPr>
          <w:rFonts w:ascii="Calibri" w:hAnsi="Calibri" w:cs="Calibri"/>
          <w:b/>
          <w:bCs/>
        </w:rPr>
        <w:t xml:space="preserve">h, </w:t>
      </w:r>
      <w:r w:rsidR="003417C5" w:rsidRPr="001A5B82">
        <w:rPr>
          <w:rFonts w:ascii="Calibri" w:hAnsi="Calibri" w:cs="Calibri"/>
          <w:b/>
          <w:bCs/>
        </w:rPr>
        <w:t>scalable margin expansion</w:t>
      </w:r>
      <w:r w:rsidR="00B5314C">
        <w:rPr>
          <w:rFonts w:ascii="Calibri" w:hAnsi="Calibri" w:cs="Calibri"/>
          <w:b/>
          <w:bCs/>
        </w:rPr>
        <w:t>,</w:t>
      </w:r>
      <w:r w:rsidR="00FE5040">
        <w:rPr>
          <w:rFonts w:ascii="Calibri" w:hAnsi="Calibri" w:cs="Calibri"/>
          <w:b/>
          <w:bCs/>
        </w:rPr>
        <w:t xml:space="preserve"> or if </w:t>
      </w:r>
      <w:r w:rsidR="00135458">
        <w:rPr>
          <w:rFonts w:ascii="Calibri" w:hAnsi="Calibri" w:cs="Calibri"/>
          <w:b/>
          <w:bCs/>
        </w:rPr>
        <w:t xml:space="preserve">the thesis risks </w:t>
      </w:r>
      <w:r w:rsidR="008D477C">
        <w:rPr>
          <w:rFonts w:ascii="Calibri" w:hAnsi="Calibri" w:cs="Calibri"/>
          <w:b/>
          <w:bCs/>
        </w:rPr>
        <w:t>begin to materialize</w:t>
      </w:r>
      <w:r w:rsidR="003417C5" w:rsidRPr="001A5B82">
        <w:rPr>
          <w:rFonts w:ascii="Calibri" w:hAnsi="Calibri" w:cs="Calibri"/>
          <w:b/>
          <w:bCs/>
        </w:rPr>
        <w:t xml:space="preserve">. </w:t>
      </w:r>
    </w:p>
    <w:p w14:paraId="3AE85691" w14:textId="77777777" w:rsidR="00716F1B" w:rsidRDefault="00716F1B" w:rsidP="00584628">
      <w:pPr>
        <w:spacing w:after="0" w:line="240" w:lineRule="auto"/>
        <w:rPr>
          <w:rFonts w:ascii="Calibri" w:hAnsi="Calibri" w:cs="Calibri"/>
        </w:rPr>
      </w:pPr>
    </w:p>
    <w:p w14:paraId="6211F8D3" w14:textId="77777777" w:rsidR="00333FD5" w:rsidRDefault="00333FD5" w:rsidP="00584628">
      <w:pPr>
        <w:spacing w:after="0" w:line="240" w:lineRule="auto"/>
        <w:rPr>
          <w:rFonts w:ascii="Calibri" w:hAnsi="Calibri" w:cs="Calibri"/>
        </w:rPr>
      </w:pPr>
    </w:p>
    <w:p w14:paraId="60F77BAF" w14:textId="77777777" w:rsidR="00333FD5" w:rsidRDefault="00333FD5" w:rsidP="00584628">
      <w:pPr>
        <w:spacing w:after="0" w:line="240" w:lineRule="auto"/>
        <w:rPr>
          <w:rFonts w:ascii="Calibri" w:hAnsi="Calibri" w:cs="Calibri"/>
        </w:rPr>
      </w:pPr>
    </w:p>
    <w:p w14:paraId="7E96E873" w14:textId="668394FC" w:rsidR="000F76E1" w:rsidRDefault="00CD5F6F" w:rsidP="00584628">
      <w:pPr>
        <w:spacing w:after="0" w:line="240" w:lineRule="auto"/>
        <w:rPr>
          <w:rFonts w:ascii="Calibri" w:hAnsi="Calibri" w:cs="Calibri"/>
        </w:rPr>
      </w:pPr>
      <w:r w:rsidRPr="00CE4A7E">
        <w:rPr>
          <w:rFonts w:ascii="Calibri" w:hAnsi="Calibri" w:cs="Calibri"/>
        </w:rPr>
        <w:lastRenderedPageBreak/>
        <w:t>Ref</w:t>
      </w:r>
      <w:r w:rsidR="005D5124" w:rsidRPr="00CE4A7E">
        <w:rPr>
          <w:rFonts w:ascii="Calibri" w:hAnsi="Calibri" w:cs="Calibri"/>
        </w:rPr>
        <w:t>erences:</w:t>
      </w:r>
    </w:p>
    <w:p w14:paraId="00728995" w14:textId="77777777" w:rsidR="00584628" w:rsidRDefault="00584628" w:rsidP="00584628">
      <w:pPr>
        <w:spacing w:after="0" w:line="240" w:lineRule="auto"/>
        <w:rPr>
          <w:rFonts w:ascii="Calibri" w:hAnsi="Calibri" w:cs="Calibri"/>
        </w:rPr>
      </w:pPr>
    </w:p>
    <w:p w14:paraId="6AD73CF1" w14:textId="7BD58F87" w:rsidR="00CE4A7E" w:rsidRPr="00CE4A7E" w:rsidRDefault="00CE4A7E" w:rsidP="00584628">
      <w:pPr>
        <w:spacing w:after="0" w:line="240" w:lineRule="auto"/>
        <w:rPr>
          <w:rFonts w:ascii="Calibri" w:hAnsi="Calibri" w:cs="Calibri"/>
        </w:rPr>
      </w:pPr>
      <w:proofErr w:type="spellStart"/>
      <w:r w:rsidRPr="00CE4A7E">
        <w:rPr>
          <w:rFonts w:ascii="Calibri" w:hAnsi="Calibri" w:cs="Calibri"/>
        </w:rPr>
        <w:t>Ainvest</w:t>
      </w:r>
      <w:proofErr w:type="spellEnd"/>
      <w:r w:rsidRPr="00CE4A7E">
        <w:rPr>
          <w:rFonts w:ascii="Calibri" w:hAnsi="Calibri" w:cs="Calibri"/>
        </w:rPr>
        <w:t xml:space="preserve">. </w:t>
      </w:r>
      <w:r w:rsidRPr="00CE4A7E">
        <w:rPr>
          <w:rFonts w:ascii="Calibri" w:hAnsi="Calibri" w:cs="Calibri"/>
          <w:i/>
          <w:iCs/>
        </w:rPr>
        <w:t>Sweetgreen’s Infinite Kitchen: Blueprint for Automation-Driven Growth</w:t>
      </w:r>
      <w:r w:rsidRPr="00CE4A7E">
        <w:rPr>
          <w:rFonts w:ascii="Calibri" w:hAnsi="Calibri" w:cs="Calibri"/>
        </w:rPr>
        <w:t>. 2024.</w:t>
      </w:r>
    </w:p>
    <w:p w14:paraId="5E49C736" w14:textId="722225A8" w:rsidR="00CE4A7E" w:rsidRPr="00CE4A7E" w:rsidRDefault="00CE4A7E" w:rsidP="00584628">
      <w:pPr>
        <w:spacing w:after="0" w:line="240" w:lineRule="auto"/>
        <w:rPr>
          <w:rFonts w:ascii="Calibri" w:hAnsi="Calibri" w:cs="Calibri"/>
        </w:rPr>
      </w:pPr>
      <w:proofErr w:type="spellStart"/>
      <w:r w:rsidRPr="00CE4A7E">
        <w:rPr>
          <w:rFonts w:ascii="Calibri" w:hAnsi="Calibri" w:cs="Calibri"/>
        </w:rPr>
        <w:t>MacroTrends</w:t>
      </w:r>
      <w:proofErr w:type="spellEnd"/>
      <w:r w:rsidRPr="00CE4A7E">
        <w:rPr>
          <w:rFonts w:ascii="Calibri" w:hAnsi="Calibri" w:cs="Calibri"/>
        </w:rPr>
        <w:t xml:space="preserve">. </w:t>
      </w:r>
      <w:r w:rsidRPr="00CE4A7E">
        <w:rPr>
          <w:rFonts w:ascii="Calibri" w:hAnsi="Calibri" w:cs="Calibri"/>
          <w:i/>
          <w:iCs/>
        </w:rPr>
        <w:t>Chipotle Mexican Grill Financial Statements</w:t>
      </w:r>
      <w:r w:rsidRPr="00CE4A7E">
        <w:rPr>
          <w:rFonts w:ascii="Calibri" w:hAnsi="Calibri" w:cs="Calibri"/>
        </w:rPr>
        <w:t xml:space="preserve">. </w:t>
      </w:r>
      <w:hyperlink r:id="rId7" w:tgtFrame="_new" w:history="1">
        <w:r w:rsidRPr="00CE4A7E">
          <w:rPr>
            <w:rStyle w:val="Hyperlink"/>
            <w:rFonts w:ascii="Calibri" w:hAnsi="Calibri" w:cs="Calibri"/>
          </w:rPr>
          <w:t>macrotrends.net</w:t>
        </w:r>
      </w:hyperlink>
      <w:r w:rsidRPr="00CE4A7E">
        <w:rPr>
          <w:rFonts w:ascii="Calibri" w:hAnsi="Calibri" w:cs="Calibri"/>
        </w:rPr>
        <w:t>.</w:t>
      </w:r>
    </w:p>
    <w:p w14:paraId="4F6C3E8E" w14:textId="30827FE3" w:rsidR="00CE4A7E" w:rsidRPr="00CE4A7E" w:rsidRDefault="00CE4A7E" w:rsidP="00584628">
      <w:pPr>
        <w:spacing w:after="0" w:line="240" w:lineRule="auto"/>
        <w:rPr>
          <w:rFonts w:ascii="Calibri" w:hAnsi="Calibri" w:cs="Calibri"/>
        </w:rPr>
      </w:pPr>
      <w:proofErr w:type="spellStart"/>
      <w:r w:rsidRPr="00CE4A7E">
        <w:rPr>
          <w:rFonts w:ascii="Calibri" w:hAnsi="Calibri" w:cs="Calibri"/>
        </w:rPr>
        <w:t>MacroTrends</w:t>
      </w:r>
      <w:proofErr w:type="spellEnd"/>
      <w:r w:rsidRPr="00CE4A7E">
        <w:rPr>
          <w:rFonts w:ascii="Calibri" w:hAnsi="Calibri" w:cs="Calibri"/>
        </w:rPr>
        <w:t xml:space="preserve">. </w:t>
      </w:r>
      <w:r w:rsidRPr="00CE4A7E">
        <w:rPr>
          <w:rFonts w:ascii="Calibri" w:hAnsi="Calibri" w:cs="Calibri"/>
          <w:i/>
          <w:iCs/>
        </w:rPr>
        <w:t>CAVA Financial Statements</w:t>
      </w:r>
      <w:r w:rsidRPr="00CE4A7E">
        <w:rPr>
          <w:rFonts w:ascii="Calibri" w:hAnsi="Calibri" w:cs="Calibri"/>
        </w:rPr>
        <w:t xml:space="preserve">. </w:t>
      </w:r>
      <w:hyperlink r:id="rId8" w:tgtFrame="_new" w:history="1">
        <w:r w:rsidRPr="00CE4A7E">
          <w:rPr>
            <w:rStyle w:val="Hyperlink"/>
            <w:rFonts w:ascii="Calibri" w:hAnsi="Calibri" w:cs="Calibri"/>
          </w:rPr>
          <w:t>macrotrends.net</w:t>
        </w:r>
      </w:hyperlink>
      <w:r w:rsidRPr="00CE4A7E">
        <w:rPr>
          <w:rFonts w:ascii="Calibri" w:hAnsi="Calibri" w:cs="Calibri"/>
        </w:rPr>
        <w:t>.</w:t>
      </w:r>
    </w:p>
    <w:p w14:paraId="06A8A28F" w14:textId="3F41A319" w:rsidR="00CE4A7E" w:rsidRPr="00CE4A7E" w:rsidRDefault="00CE4A7E" w:rsidP="00584628">
      <w:pPr>
        <w:spacing w:after="0" w:line="240" w:lineRule="auto"/>
        <w:rPr>
          <w:rFonts w:ascii="Calibri" w:hAnsi="Calibri" w:cs="Calibri"/>
        </w:rPr>
      </w:pPr>
      <w:proofErr w:type="spellStart"/>
      <w:r w:rsidRPr="00CE4A7E">
        <w:rPr>
          <w:rFonts w:ascii="Calibri" w:hAnsi="Calibri" w:cs="Calibri"/>
        </w:rPr>
        <w:t>MacroTrends</w:t>
      </w:r>
      <w:proofErr w:type="spellEnd"/>
      <w:r w:rsidRPr="00CE4A7E">
        <w:rPr>
          <w:rFonts w:ascii="Calibri" w:hAnsi="Calibri" w:cs="Calibri"/>
        </w:rPr>
        <w:t xml:space="preserve">. </w:t>
      </w:r>
      <w:r w:rsidRPr="00CE4A7E">
        <w:rPr>
          <w:rFonts w:ascii="Calibri" w:hAnsi="Calibri" w:cs="Calibri"/>
          <w:i/>
          <w:iCs/>
        </w:rPr>
        <w:t>Shake Shack Financial Statements</w:t>
      </w:r>
      <w:r w:rsidRPr="00CE4A7E">
        <w:rPr>
          <w:rFonts w:ascii="Calibri" w:hAnsi="Calibri" w:cs="Calibri"/>
        </w:rPr>
        <w:t xml:space="preserve">. </w:t>
      </w:r>
      <w:hyperlink r:id="rId9" w:tgtFrame="_new" w:history="1">
        <w:r w:rsidRPr="00CE4A7E">
          <w:rPr>
            <w:rStyle w:val="Hyperlink"/>
            <w:rFonts w:ascii="Calibri" w:hAnsi="Calibri" w:cs="Calibri"/>
          </w:rPr>
          <w:t>macrotrends.net</w:t>
        </w:r>
      </w:hyperlink>
      <w:r w:rsidRPr="00CE4A7E">
        <w:rPr>
          <w:rFonts w:ascii="Calibri" w:hAnsi="Calibri" w:cs="Calibri"/>
        </w:rPr>
        <w:t>.</w:t>
      </w:r>
    </w:p>
    <w:p w14:paraId="71A5C190" w14:textId="3C97380D" w:rsidR="00FA37C7" w:rsidRDefault="00CE4A7E" w:rsidP="00584628">
      <w:pPr>
        <w:spacing w:after="0" w:line="240" w:lineRule="auto"/>
        <w:rPr>
          <w:rFonts w:ascii="Calibri" w:hAnsi="Calibri" w:cs="Calibri"/>
        </w:rPr>
      </w:pPr>
      <w:proofErr w:type="spellStart"/>
      <w:r w:rsidRPr="00CE4A7E">
        <w:rPr>
          <w:rFonts w:ascii="Calibri" w:hAnsi="Calibri" w:cs="Calibri"/>
        </w:rPr>
        <w:t>RestaurantDive</w:t>
      </w:r>
      <w:proofErr w:type="spellEnd"/>
      <w:r w:rsidRPr="00CE4A7E">
        <w:rPr>
          <w:rFonts w:ascii="Calibri" w:hAnsi="Calibri" w:cs="Calibri"/>
        </w:rPr>
        <w:t xml:space="preserve">. </w:t>
      </w:r>
      <w:r w:rsidRPr="00CE4A7E">
        <w:rPr>
          <w:rFonts w:ascii="Calibri" w:hAnsi="Calibri" w:cs="Calibri"/>
          <w:i/>
          <w:iCs/>
        </w:rPr>
        <w:t>Sweetgreen Same-Store Sales Fall in 2025 Amid Tariff Pressures</w:t>
      </w:r>
      <w:r w:rsidRPr="00CE4A7E">
        <w:rPr>
          <w:rFonts w:ascii="Calibri" w:hAnsi="Calibri" w:cs="Calibri"/>
        </w:rPr>
        <w:t>. April 2025.</w:t>
      </w:r>
    </w:p>
    <w:p w14:paraId="4B93D0C9" w14:textId="4D38B8D2" w:rsidR="00584628" w:rsidRPr="00584628" w:rsidRDefault="00584628" w:rsidP="00584628">
      <w:pPr>
        <w:spacing w:after="0"/>
        <w:rPr>
          <w:rFonts w:ascii="Calibri" w:hAnsi="Calibri" w:cs="Calibri"/>
        </w:rPr>
      </w:pPr>
      <w:r w:rsidRPr="00584628">
        <w:rPr>
          <w:rFonts w:ascii="Calibri" w:hAnsi="Calibri" w:cs="Calibri"/>
        </w:rPr>
        <w:t>Sweetgreen, Inc. (2025). Form 10-Q – Q1 2025 (Fiscal Period Ended March 30, 2025). U.S. Securities and Exchange Commission. Retrieved from https://www.sec.gov/ix?doc=/Archives/edgar/data/0001477815/000162828025023817/sg-20250330.htm</w:t>
      </w:r>
    </w:p>
    <w:p w14:paraId="00BD9440" w14:textId="552573AB" w:rsidR="00584628" w:rsidRPr="00584628" w:rsidRDefault="00584628" w:rsidP="00584628">
      <w:pPr>
        <w:spacing w:after="0"/>
        <w:rPr>
          <w:rFonts w:ascii="Calibri" w:hAnsi="Calibri" w:cs="Calibri"/>
        </w:rPr>
      </w:pPr>
      <w:r w:rsidRPr="00584628">
        <w:rPr>
          <w:rFonts w:ascii="Calibri" w:hAnsi="Calibri" w:cs="Calibri"/>
        </w:rPr>
        <w:t>Sweetgreen, Inc. (2025). Form 10-K – FY 2024 (Fiscal Year Ended December 29, 2024). U.S. Securities and Exchange Commission. Retrieved from https://www.sec.gov/Archives/edgar/data/1477815/000162828025008367/sg-20241229.htm</w:t>
      </w:r>
    </w:p>
    <w:p w14:paraId="03ED1DF1" w14:textId="48D28B04" w:rsidR="00584628" w:rsidRPr="00584628" w:rsidRDefault="00584628" w:rsidP="00584628">
      <w:pPr>
        <w:spacing w:after="0"/>
        <w:rPr>
          <w:rFonts w:ascii="Calibri" w:hAnsi="Calibri" w:cs="Calibri"/>
        </w:rPr>
      </w:pPr>
      <w:r w:rsidRPr="00584628">
        <w:rPr>
          <w:rFonts w:ascii="Calibri" w:hAnsi="Calibri" w:cs="Calibri"/>
        </w:rPr>
        <w:t>Sweetgreen, Inc. (2024). Form 10-Q – Q3 2024 (Fiscal Period Ended September 29, 2024). U.S. Securities and Exchange Commission. Retrieved from https://www.sec.gov/Archives/edgar/data/1477815/000162828024046463/sg-20240929.htm</w:t>
      </w:r>
    </w:p>
    <w:p w14:paraId="3AA24CFE" w14:textId="5BCDE18F" w:rsidR="00584628" w:rsidRPr="00584628" w:rsidRDefault="00584628" w:rsidP="00584628">
      <w:pPr>
        <w:spacing w:after="0"/>
        <w:rPr>
          <w:rFonts w:ascii="Calibri" w:hAnsi="Calibri" w:cs="Calibri"/>
        </w:rPr>
      </w:pPr>
      <w:r w:rsidRPr="00584628">
        <w:rPr>
          <w:rFonts w:ascii="Calibri" w:hAnsi="Calibri" w:cs="Calibri"/>
        </w:rPr>
        <w:t>Sweetgreen, Inc. (2024). Form 10-Q – Q2 2024 (Fiscal Period Ended June 30, 2024). U.S. Securities and Exchange Commission. Retrieved from https://www.sec.gov/Archives/edgar/data/1477815/000162828024036302/sg-20240630.htm</w:t>
      </w:r>
    </w:p>
    <w:p w14:paraId="7F707236" w14:textId="6F90D39A" w:rsidR="00584628" w:rsidRPr="00584628" w:rsidRDefault="00584628" w:rsidP="00584628">
      <w:pPr>
        <w:spacing w:after="0"/>
        <w:rPr>
          <w:rFonts w:ascii="Calibri" w:hAnsi="Calibri" w:cs="Calibri"/>
        </w:rPr>
      </w:pPr>
      <w:r w:rsidRPr="00584628">
        <w:rPr>
          <w:rFonts w:ascii="Calibri" w:hAnsi="Calibri" w:cs="Calibri"/>
        </w:rPr>
        <w:t>Sweetgreen, Inc. (2024). Form 10-Q – Q1 2024 (Fiscal Period Ended March 31, 2024). U.S. Securities and Exchange Commission. Retrieved from https://www.sec.gov/Archives/edgar/data/1477815/000162828024022413/sg-20240331.htm</w:t>
      </w:r>
    </w:p>
    <w:p w14:paraId="17DA7C94" w14:textId="0654822F" w:rsidR="00584628" w:rsidRPr="00584628" w:rsidRDefault="00584628" w:rsidP="00584628">
      <w:pPr>
        <w:spacing w:after="0"/>
        <w:rPr>
          <w:rFonts w:ascii="Calibri" w:hAnsi="Calibri" w:cs="Calibri"/>
        </w:rPr>
      </w:pPr>
      <w:r w:rsidRPr="00584628">
        <w:rPr>
          <w:rFonts w:ascii="Calibri" w:hAnsi="Calibri" w:cs="Calibri"/>
        </w:rPr>
        <w:t>Sweetgreen, Inc. (2024). Form 10-K – FY 2023 (Fiscal Year Ended December 31, 2023). U.S. Securities and Exchange Commission. Retrieved from https://www.sec.gov/Archives/edgar/data/1477815/000162828024008066/sg-20231231.htm</w:t>
      </w:r>
    </w:p>
    <w:p w14:paraId="33E9F017" w14:textId="7CECAFF6" w:rsidR="00584628" w:rsidRPr="00584628" w:rsidRDefault="00584628" w:rsidP="00584628">
      <w:pPr>
        <w:spacing w:after="0"/>
        <w:rPr>
          <w:rFonts w:ascii="Calibri" w:hAnsi="Calibri" w:cs="Calibri"/>
        </w:rPr>
      </w:pPr>
      <w:r w:rsidRPr="00584628">
        <w:rPr>
          <w:rFonts w:ascii="Calibri" w:hAnsi="Calibri" w:cs="Calibri"/>
        </w:rPr>
        <w:t>Sweetgreen, Inc. (2023). Form 10-Q – Q3 2023 (Fiscal Period Ended September 24, 2023). U.S. Securities and Exchange Commission. Retrieved from https://www.sec.gov/Archives/edgar/data/1477815/000162828023036508/sg-20230924.htm</w:t>
      </w:r>
    </w:p>
    <w:p w14:paraId="30AC7048" w14:textId="7FF9BDA6" w:rsidR="00584628" w:rsidRPr="00584628" w:rsidRDefault="00584628" w:rsidP="00584628">
      <w:pPr>
        <w:spacing w:after="0"/>
        <w:rPr>
          <w:rFonts w:ascii="Calibri" w:hAnsi="Calibri" w:cs="Calibri"/>
        </w:rPr>
      </w:pPr>
      <w:r w:rsidRPr="00584628">
        <w:rPr>
          <w:rFonts w:ascii="Calibri" w:hAnsi="Calibri" w:cs="Calibri"/>
        </w:rPr>
        <w:t>Sweetgreen, Inc. (2023). Form 10-Q – Q2 2023 (Fiscal Period Ended June 25, 2023). U.S. Securities and Exchange Commission. Retrieved from https://www.sec.gov/Archives/edgar/data/1477815/000162828023025985/sg-20230625.htm</w:t>
      </w:r>
    </w:p>
    <w:p w14:paraId="1EAFD313" w14:textId="216A9F3C" w:rsidR="00CE4A7E" w:rsidRPr="00CE4A7E" w:rsidRDefault="00584628" w:rsidP="00584628">
      <w:pPr>
        <w:spacing w:after="0"/>
        <w:rPr>
          <w:rFonts w:ascii="Calibri" w:hAnsi="Calibri" w:cs="Calibri"/>
        </w:rPr>
      </w:pPr>
      <w:r w:rsidRPr="00584628">
        <w:rPr>
          <w:rFonts w:ascii="Calibri" w:hAnsi="Calibri" w:cs="Calibri"/>
        </w:rPr>
        <w:t>Sweetgreen, Inc. (2023). Form 10-Q – Q1 2023 (Fiscal Period Ended March 26, 2023). U.S. Securities and Exchange Commission. Retrieved from https://www.sec.gov/Archives/edgar/data/1477815/000162828023015927/sg-20230326.htm</w:t>
      </w:r>
    </w:p>
    <w:sectPr w:rsidR="00CE4A7E" w:rsidRPr="00CE4A7E" w:rsidSect="00F3645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D7EBB" w14:textId="77777777" w:rsidR="00D37E79" w:rsidRDefault="00D37E79" w:rsidP="00D37E79">
      <w:pPr>
        <w:spacing w:after="0" w:line="240" w:lineRule="auto"/>
      </w:pPr>
      <w:r>
        <w:separator/>
      </w:r>
    </w:p>
  </w:endnote>
  <w:endnote w:type="continuationSeparator" w:id="0">
    <w:p w14:paraId="4A4C67B1" w14:textId="77777777" w:rsidR="00D37E79" w:rsidRDefault="00D37E79" w:rsidP="00D3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57322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631DE" w14:textId="0CD805EC" w:rsidR="008710EB" w:rsidRDefault="008710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CFDA71" w14:textId="2F0ACF84" w:rsidR="00251FD7" w:rsidRDefault="00251FD7" w:rsidP="00251F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F4265" w14:textId="77777777" w:rsidR="00D37E79" w:rsidRDefault="00D37E79" w:rsidP="00D37E79">
      <w:pPr>
        <w:spacing w:after="0" w:line="240" w:lineRule="auto"/>
      </w:pPr>
      <w:r>
        <w:separator/>
      </w:r>
    </w:p>
  </w:footnote>
  <w:footnote w:type="continuationSeparator" w:id="0">
    <w:p w14:paraId="2717EA22" w14:textId="77777777" w:rsidR="00D37E79" w:rsidRDefault="00D37E79" w:rsidP="00D3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C10E1" w14:textId="20272B33" w:rsidR="0019172D" w:rsidRDefault="007910C0" w:rsidP="007910C0">
    <w:pPr>
      <w:pStyle w:val="Header"/>
    </w:pPr>
    <w:r>
      <w:t xml:space="preserve">A. </w:t>
    </w:r>
    <w:r w:rsidR="008710EB">
      <w:t>Vail</w:t>
    </w:r>
  </w:p>
  <w:p w14:paraId="1A42E6CF" w14:textId="77777777" w:rsidR="00D37E79" w:rsidRDefault="00D37E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E1608"/>
    <w:multiLevelType w:val="hybridMultilevel"/>
    <w:tmpl w:val="B88432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26E23"/>
    <w:multiLevelType w:val="hybridMultilevel"/>
    <w:tmpl w:val="1EFAB3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1AD0"/>
    <w:multiLevelType w:val="hybridMultilevel"/>
    <w:tmpl w:val="A2A653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12F15"/>
    <w:multiLevelType w:val="hybridMultilevel"/>
    <w:tmpl w:val="07ACB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40B8A"/>
    <w:multiLevelType w:val="hybridMultilevel"/>
    <w:tmpl w:val="C17653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707DC"/>
    <w:multiLevelType w:val="hybridMultilevel"/>
    <w:tmpl w:val="6A582C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46A80"/>
    <w:multiLevelType w:val="hybridMultilevel"/>
    <w:tmpl w:val="F4DAE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A50BF"/>
    <w:multiLevelType w:val="hybridMultilevel"/>
    <w:tmpl w:val="ED2442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151DB"/>
    <w:multiLevelType w:val="hybridMultilevel"/>
    <w:tmpl w:val="FF6A3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82ABC"/>
    <w:multiLevelType w:val="hybridMultilevel"/>
    <w:tmpl w:val="7084E3E6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61D60D55"/>
    <w:multiLevelType w:val="hybridMultilevel"/>
    <w:tmpl w:val="5CD245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251C3"/>
    <w:multiLevelType w:val="hybridMultilevel"/>
    <w:tmpl w:val="E32EDC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5258F"/>
    <w:multiLevelType w:val="hybridMultilevel"/>
    <w:tmpl w:val="40124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102756">
    <w:abstractNumId w:val="12"/>
  </w:num>
  <w:num w:numId="2" w16cid:durableId="2108848900">
    <w:abstractNumId w:val="2"/>
  </w:num>
  <w:num w:numId="3" w16cid:durableId="223182181">
    <w:abstractNumId w:val="11"/>
  </w:num>
  <w:num w:numId="4" w16cid:durableId="578708809">
    <w:abstractNumId w:val="10"/>
  </w:num>
  <w:num w:numId="5" w16cid:durableId="2098555802">
    <w:abstractNumId w:val="5"/>
  </w:num>
  <w:num w:numId="6" w16cid:durableId="503740502">
    <w:abstractNumId w:val="6"/>
  </w:num>
  <w:num w:numId="7" w16cid:durableId="901257396">
    <w:abstractNumId w:val="9"/>
  </w:num>
  <w:num w:numId="8" w16cid:durableId="1541164642">
    <w:abstractNumId w:val="4"/>
  </w:num>
  <w:num w:numId="9" w16cid:durableId="1902055865">
    <w:abstractNumId w:val="0"/>
  </w:num>
  <w:num w:numId="10" w16cid:durableId="260143712">
    <w:abstractNumId w:val="1"/>
  </w:num>
  <w:num w:numId="11" w16cid:durableId="1006249908">
    <w:abstractNumId w:val="7"/>
  </w:num>
  <w:num w:numId="12" w16cid:durableId="1023170097">
    <w:abstractNumId w:val="8"/>
  </w:num>
  <w:num w:numId="13" w16cid:durableId="1531843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F8"/>
    <w:rsid w:val="0000313A"/>
    <w:rsid w:val="0001503C"/>
    <w:rsid w:val="000203FE"/>
    <w:rsid w:val="00033B93"/>
    <w:rsid w:val="00047896"/>
    <w:rsid w:val="00054EF5"/>
    <w:rsid w:val="00071815"/>
    <w:rsid w:val="00083161"/>
    <w:rsid w:val="000962D0"/>
    <w:rsid w:val="000965C7"/>
    <w:rsid w:val="000A34BC"/>
    <w:rsid w:val="000B7AB8"/>
    <w:rsid w:val="000B7B26"/>
    <w:rsid w:val="000C2A40"/>
    <w:rsid w:val="000F0EFF"/>
    <w:rsid w:val="000F76E1"/>
    <w:rsid w:val="00100A4E"/>
    <w:rsid w:val="001015DC"/>
    <w:rsid w:val="001163AD"/>
    <w:rsid w:val="00135458"/>
    <w:rsid w:val="0014541F"/>
    <w:rsid w:val="0019172D"/>
    <w:rsid w:val="00191D4B"/>
    <w:rsid w:val="00193BA4"/>
    <w:rsid w:val="00195B52"/>
    <w:rsid w:val="001A5B82"/>
    <w:rsid w:val="001B102A"/>
    <w:rsid w:val="001B28DB"/>
    <w:rsid w:val="001B4792"/>
    <w:rsid w:val="00201428"/>
    <w:rsid w:val="002066D7"/>
    <w:rsid w:val="00217CE6"/>
    <w:rsid w:val="00225C9A"/>
    <w:rsid w:val="00232580"/>
    <w:rsid w:val="00243257"/>
    <w:rsid w:val="00245034"/>
    <w:rsid w:val="00250742"/>
    <w:rsid w:val="00251FD7"/>
    <w:rsid w:val="002A1B05"/>
    <w:rsid w:val="002A6876"/>
    <w:rsid w:val="002B75EF"/>
    <w:rsid w:val="002B77E5"/>
    <w:rsid w:val="003002C8"/>
    <w:rsid w:val="00311477"/>
    <w:rsid w:val="00312244"/>
    <w:rsid w:val="00331128"/>
    <w:rsid w:val="00333FD5"/>
    <w:rsid w:val="00337CC3"/>
    <w:rsid w:val="003417C5"/>
    <w:rsid w:val="00353090"/>
    <w:rsid w:val="003620DC"/>
    <w:rsid w:val="003663E5"/>
    <w:rsid w:val="00367333"/>
    <w:rsid w:val="00370D5E"/>
    <w:rsid w:val="00373DBA"/>
    <w:rsid w:val="003764A8"/>
    <w:rsid w:val="00381000"/>
    <w:rsid w:val="003909C8"/>
    <w:rsid w:val="00393A73"/>
    <w:rsid w:val="003A28EB"/>
    <w:rsid w:val="003C6AA7"/>
    <w:rsid w:val="003D412F"/>
    <w:rsid w:val="003F0CE0"/>
    <w:rsid w:val="003F298A"/>
    <w:rsid w:val="003F553C"/>
    <w:rsid w:val="003F6982"/>
    <w:rsid w:val="00402AAC"/>
    <w:rsid w:val="00406D41"/>
    <w:rsid w:val="00424EF5"/>
    <w:rsid w:val="004261A6"/>
    <w:rsid w:val="0043228B"/>
    <w:rsid w:val="00457A74"/>
    <w:rsid w:val="0047358F"/>
    <w:rsid w:val="004B64C6"/>
    <w:rsid w:val="004B6B95"/>
    <w:rsid w:val="004C6BBA"/>
    <w:rsid w:val="004E2C41"/>
    <w:rsid w:val="004E38FE"/>
    <w:rsid w:val="004E4424"/>
    <w:rsid w:val="00501401"/>
    <w:rsid w:val="00507C13"/>
    <w:rsid w:val="00531DBA"/>
    <w:rsid w:val="00546CFC"/>
    <w:rsid w:val="00554312"/>
    <w:rsid w:val="00566109"/>
    <w:rsid w:val="00584628"/>
    <w:rsid w:val="00590125"/>
    <w:rsid w:val="00595B30"/>
    <w:rsid w:val="00597F84"/>
    <w:rsid w:val="005A0BA8"/>
    <w:rsid w:val="005B759D"/>
    <w:rsid w:val="005D5124"/>
    <w:rsid w:val="005D612F"/>
    <w:rsid w:val="005E465F"/>
    <w:rsid w:val="00606142"/>
    <w:rsid w:val="0061181E"/>
    <w:rsid w:val="00617DB9"/>
    <w:rsid w:val="00634224"/>
    <w:rsid w:val="006441CC"/>
    <w:rsid w:val="006835E9"/>
    <w:rsid w:val="006C6660"/>
    <w:rsid w:val="006E6DFF"/>
    <w:rsid w:val="007003AE"/>
    <w:rsid w:val="00702FBF"/>
    <w:rsid w:val="00716F1B"/>
    <w:rsid w:val="007234B6"/>
    <w:rsid w:val="00727AFB"/>
    <w:rsid w:val="00747CFD"/>
    <w:rsid w:val="00781A39"/>
    <w:rsid w:val="0079016C"/>
    <w:rsid w:val="007910C0"/>
    <w:rsid w:val="00791559"/>
    <w:rsid w:val="007927E5"/>
    <w:rsid w:val="007A7E51"/>
    <w:rsid w:val="007B2C6D"/>
    <w:rsid w:val="007B7D3B"/>
    <w:rsid w:val="007D0DB0"/>
    <w:rsid w:val="008061D9"/>
    <w:rsid w:val="00806607"/>
    <w:rsid w:val="0081283B"/>
    <w:rsid w:val="0081456D"/>
    <w:rsid w:val="0083570C"/>
    <w:rsid w:val="00850C40"/>
    <w:rsid w:val="008605FF"/>
    <w:rsid w:val="008710EB"/>
    <w:rsid w:val="008912F2"/>
    <w:rsid w:val="008925B9"/>
    <w:rsid w:val="008A2C6A"/>
    <w:rsid w:val="008D477C"/>
    <w:rsid w:val="008E6198"/>
    <w:rsid w:val="008F1C52"/>
    <w:rsid w:val="009301F2"/>
    <w:rsid w:val="0095114F"/>
    <w:rsid w:val="00962E85"/>
    <w:rsid w:val="00964564"/>
    <w:rsid w:val="0097070F"/>
    <w:rsid w:val="0097501F"/>
    <w:rsid w:val="00977A05"/>
    <w:rsid w:val="00977DED"/>
    <w:rsid w:val="00993DA4"/>
    <w:rsid w:val="009B42C0"/>
    <w:rsid w:val="009E2113"/>
    <w:rsid w:val="009F1163"/>
    <w:rsid w:val="00A2739D"/>
    <w:rsid w:val="00A341B0"/>
    <w:rsid w:val="00A36C9F"/>
    <w:rsid w:val="00A416FB"/>
    <w:rsid w:val="00A52A02"/>
    <w:rsid w:val="00A72402"/>
    <w:rsid w:val="00A73FD5"/>
    <w:rsid w:val="00A92CAA"/>
    <w:rsid w:val="00A94695"/>
    <w:rsid w:val="00A96D29"/>
    <w:rsid w:val="00AA15A9"/>
    <w:rsid w:val="00AB6DF7"/>
    <w:rsid w:val="00AE23B9"/>
    <w:rsid w:val="00B06A0B"/>
    <w:rsid w:val="00B11A46"/>
    <w:rsid w:val="00B213BD"/>
    <w:rsid w:val="00B25A09"/>
    <w:rsid w:val="00B5314C"/>
    <w:rsid w:val="00B60450"/>
    <w:rsid w:val="00B61C9A"/>
    <w:rsid w:val="00B656DD"/>
    <w:rsid w:val="00B80D0B"/>
    <w:rsid w:val="00B85357"/>
    <w:rsid w:val="00B8789E"/>
    <w:rsid w:val="00BA178E"/>
    <w:rsid w:val="00BC342B"/>
    <w:rsid w:val="00BD4541"/>
    <w:rsid w:val="00BF1C11"/>
    <w:rsid w:val="00BF4925"/>
    <w:rsid w:val="00BF5F1B"/>
    <w:rsid w:val="00BF6B97"/>
    <w:rsid w:val="00C001A4"/>
    <w:rsid w:val="00C113DA"/>
    <w:rsid w:val="00C14A26"/>
    <w:rsid w:val="00C21E12"/>
    <w:rsid w:val="00C26FBE"/>
    <w:rsid w:val="00C41CEF"/>
    <w:rsid w:val="00C5534E"/>
    <w:rsid w:val="00C57DCC"/>
    <w:rsid w:val="00C722E8"/>
    <w:rsid w:val="00C80D13"/>
    <w:rsid w:val="00C86BD3"/>
    <w:rsid w:val="00C87A70"/>
    <w:rsid w:val="00CA0FF8"/>
    <w:rsid w:val="00CC68F0"/>
    <w:rsid w:val="00CC7345"/>
    <w:rsid w:val="00CD5F6F"/>
    <w:rsid w:val="00CE4A7E"/>
    <w:rsid w:val="00CF1B53"/>
    <w:rsid w:val="00D108F8"/>
    <w:rsid w:val="00D2082E"/>
    <w:rsid w:val="00D257AA"/>
    <w:rsid w:val="00D26C01"/>
    <w:rsid w:val="00D3197A"/>
    <w:rsid w:val="00D37E79"/>
    <w:rsid w:val="00D60006"/>
    <w:rsid w:val="00D63097"/>
    <w:rsid w:val="00D816B5"/>
    <w:rsid w:val="00D8402A"/>
    <w:rsid w:val="00DD645E"/>
    <w:rsid w:val="00E05092"/>
    <w:rsid w:val="00E120FD"/>
    <w:rsid w:val="00E36FFB"/>
    <w:rsid w:val="00E721CB"/>
    <w:rsid w:val="00E7593B"/>
    <w:rsid w:val="00E860FC"/>
    <w:rsid w:val="00E87872"/>
    <w:rsid w:val="00E92AAE"/>
    <w:rsid w:val="00EA5034"/>
    <w:rsid w:val="00EA5062"/>
    <w:rsid w:val="00EF3C0D"/>
    <w:rsid w:val="00EF58CE"/>
    <w:rsid w:val="00EF7A82"/>
    <w:rsid w:val="00F03810"/>
    <w:rsid w:val="00F065E3"/>
    <w:rsid w:val="00F07DCB"/>
    <w:rsid w:val="00F16AEA"/>
    <w:rsid w:val="00F22B45"/>
    <w:rsid w:val="00F24458"/>
    <w:rsid w:val="00F3396C"/>
    <w:rsid w:val="00F36459"/>
    <w:rsid w:val="00F5645F"/>
    <w:rsid w:val="00F92279"/>
    <w:rsid w:val="00FA37C7"/>
    <w:rsid w:val="00FA4F70"/>
    <w:rsid w:val="00FA5D68"/>
    <w:rsid w:val="00FE5040"/>
    <w:rsid w:val="00FF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88E16CD"/>
  <w15:chartTrackingRefBased/>
  <w15:docId w15:val="{EF7883B8-EA55-414E-8512-8816BF00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F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7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E79"/>
  </w:style>
  <w:style w:type="paragraph" w:styleId="Footer">
    <w:name w:val="footer"/>
    <w:basedOn w:val="Normal"/>
    <w:link w:val="FooterChar"/>
    <w:uiPriority w:val="99"/>
    <w:unhideWhenUsed/>
    <w:rsid w:val="00D37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E79"/>
  </w:style>
  <w:style w:type="character" w:styleId="Hyperlink">
    <w:name w:val="Hyperlink"/>
    <w:basedOn w:val="DefaultParagraphFont"/>
    <w:uiPriority w:val="99"/>
    <w:unhideWhenUsed/>
    <w:rsid w:val="003810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crotrends.net/stocks/charts/CAVA/cava/financial-statemen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crotrends.net/stocks/charts/CMG/chipotle-mexican-grill/financial-stateme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acrotrends.net/stocks/charts/SHAK/shake-shack/financial-stat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1981</Words>
  <Characters>11295</Characters>
  <Application>Microsoft Office Word</Application>
  <DocSecurity>0</DocSecurity>
  <Lines>94</Lines>
  <Paragraphs>26</Paragraphs>
  <ScaleCrop>false</ScaleCrop>
  <Company/>
  <LinksUpToDate>false</LinksUpToDate>
  <CharactersWithSpaces>13250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Vail</dc:creator>
  <cp:keywords/>
  <dc:description/>
  <cp:lastModifiedBy>Andrew Vail</cp:lastModifiedBy>
  <cp:revision>249</cp:revision>
  <cp:lastPrinted>2025-07-23T06:28:00Z</cp:lastPrinted>
  <dcterms:created xsi:type="dcterms:W3CDTF">2025-07-22T23:58:00Z</dcterms:created>
  <dcterms:modified xsi:type="dcterms:W3CDTF">2025-08-02T02:13:00Z</dcterms:modified>
</cp:coreProperties>
</file>