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8487" w14:textId="77777777" w:rsidR="00216F0B" w:rsidRPr="00216F0B" w:rsidRDefault="00216F0B" w:rsidP="00216F0B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216F0B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</w:rPr>
        <w:t>Cohen’s Kappa Statistic</w:t>
      </w:r>
    </w:p>
    <w:p w14:paraId="700BEFA1" w14:textId="6448E2DB" w:rsidR="00216F0B" w:rsidRPr="00216F0B" w:rsidRDefault="00216F0B" w:rsidP="00216F0B">
      <w:pPr>
        <w:shd w:val="clear" w:color="auto" w:fill="FFFFFF"/>
        <w:spacing w:after="360" w:line="240" w:lineRule="auto"/>
        <w:jc w:val="both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Cohen’s </w:t>
      </w:r>
      <w:r w:rsidR="00E47AC3">
        <w:rPr>
          <w:rFonts w:ascii="Georgia" w:eastAsia="Times New Roman" w:hAnsi="Georgia" w:cs="Helvetica"/>
          <w:color w:val="000000" w:themeColor="text1"/>
          <w:sz w:val="27"/>
          <w:szCs w:val="27"/>
        </w:rPr>
        <w:t>K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appa statistic measures interrater</w:t>
      </w:r>
      <w:r w:rsidR="0008632E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 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reliability</w:t>
      </w:r>
      <w:r w:rsidR="002901A0" w:rsidRPr="002901A0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 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(sometimes called interobserver agreement). Interrater reliability, or precision, happens when your data raters (or collectors) give the same score to the same data item.</w:t>
      </w:r>
    </w:p>
    <w:p w14:paraId="14F4E35C" w14:textId="77777777" w:rsidR="00216F0B" w:rsidRPr="00216F0B" w:rsidRDefault="00216F0B" w:rsidP="00216F0B">
      <w:pPr>
        <w:shd w:val="clear" w:color="auto" w:fill="FFFFFF"/>
        <w:spacing w:after="36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This statistic should only be calculated when:</w:t>
      </w:r>
    </w:p>
    <w:p w14:paraId="11C2FB3E" w14:textId="77777777" w:rsidR="00216F0B" w:rsidRPr="00216F0B" w:rsidRDefault="00216F0B" w:rsidP="00216F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Two raters each rate one trial on each sample, </w:t>
      </w:r>
      <w:r w:rsidRPr="00216F0B">
        <w:rPr>
          <w:rFonts w:ascii="Georgia" w:eastAsia="Times New Roman" w:hAnsi="Georgia" w:cs="Helvetica"/>
          <w:i/>
          <w:iCs/>
          <w:color w:val="000000" w:themeColor="text1"/>
          <w:sz w:val="27"/>
          <w:szCs w:val="27"/>
        </w:rPr>
        <w:t>or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.</w:t>
      </w:r>
    </w:p>
    <w:p w14:paraId="002D438F" w14:textId="77777777" w:rsidR="00216F0B" w:rsidRPr="00216F0B" w:rsidRDefault="00216F0B" w:rsidP="00216F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One rater </w:t>
      </w:r>
      <w:r w:rsidRPr="002901A0">
        <w:rPr>
          <w:rFonts w:ascii="Georgia" w:eastAsia="Times New Roman" w:hAnsi="Georgia" w:cs="Helvetica"/>
          <w:color w:val="000000" w:themeColor="text1"/>
          <w:sz w:val="27"/>
          <w:szCs w:val="27"/>
        </w:rPr>
        <w:t>rate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 two trials on each sample.</w:t>
      </w:r>
    </w:p>
    <w:p w14:paraId="0F5062F8" w14:textId="77777777" w:rsidR="00216F0B" w:rsidRPr="002901A0" w:rsidRDefault="00216F0B">
      <w:pPr>
        <w:rPr>
          <w:color w:val="000000" w:themeColor="text1"/>
        </w:rPr>
      </w:pPr>
    </w:p>
    <w:p w14:paraId="19F17806" w14:textId="77777777" w:rsidR="00216F0B" w:rsidRPr="00216F0B" w:rsidRDefault="00216F0B" w:rsidP="00216F0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Kappa statistic varies from 0 to 1, where.</w:t>
      </w:r>
    </w:p>
    <w:p w14:paraId="5F962CEF" w14:textId="4587B33E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="00F318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No 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agreement </w:t>
      </w:r>
    </w:p>
    <w:p w14:paraId="1F46B3DA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0.1 – 0.20 = slight agreement.</w:t>
      </w:r>
    </w:p>
    <w:p w14:paraId="766E82AA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0.21 – 0.40 = fair agreement.</w:t>
      </w:r>
    </w:p>
    <w:p w14:paraId="0897B71C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0.41 – 0.60 = moderate agreement.</w:t>
      </w:r>
    </w:p>
    <w:p w14:paraId="3F5870AF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0.61 – 0.80 = substantial agreement.</w:t>
      </w:r>
    </w:p>
    <w:p w14:paraId="3EE7B64D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0.81 – 0.99 = near perfect agreement</w:t>
      </w:r>
    </w:p>
    <w:p w14:paraId="5A4981CF" w14:textId="77777777" w:rsidR="00216F0B" w:rsidRPr="00216F0B" w:rsidRDefault="00216F0B" w:rsidP="00216F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= perfect agreement</w:t>
      </w:r>
    </w:p>
    <w:p w14:paraId="6892092F" w14:textId="77777777" w:rsidR="00216F0B" w:rsidRPr="002901A0" w:rsidRDefault="00216F0B">
      <w:pPr>
        <w:rPr>
          <w:color w:val="000000" w:themeColor="text1"/>
        </w:rPr>
      </w:pPr>
    </w:p>
    <w:p w14:paraId="457744AA" w14:textId="77770FE4" w:rsidR="00216F0B" w:rsidRPr="002901A0" w:rsidRDefault="00216F0B" w:rsidP="00216F0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formula to calculate Cohen’s kappa for two raters is: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</w:r>
      <w:bookmarkStart w:id="0" w:name="_Hlk159184001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 w:type="textWrapping" w:clear="left"/>
      </w:r>
      <m:oMathPara>
        <m:oMathParaPr>
          <m:jc m:val="center"/>
        </m:oMathParaPr>
        <m:oMath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κ</m:t>
          </m:r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 w:themeColor="text1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=1-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 w:themeColor="text1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e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color w:val="000000" w:themeColor="text1"/>
              <w:sz w:val="27"/>
              <w:szCs w:val="27"/>
            </w:rPr>
            <w:br/>
          </m:r>
        </m:oMath>
      </m:oMathPara>
      <w:bookmarkEnd w:id="0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where: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P</w:t>
      </w:r>
      <w:r w:rsidR="00981A8B" w:rsidRPr="00981A8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= the relative observed agreement among raters.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P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e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= the hypothetical probability of chance agreement</w:t>
      </w:r>
    </w:p>
    <w:p w14:paraId="0B91F984" w14:textId="1A5D380B" w:rsidR="00216F0B" w:rsidRDefault="00216F0B" w:rsidP="00216F0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bookmarkStart w:id="1" w:name="_GoBack"/>
      <w:bookmarkEnd w:id="1"/>
    </w:p>
    <w:p w14:paraId="053BB5BF" w14:textId="41B71685" w:rsidR="0008632E" w:rsidRDefault="0008632E" w:rsidP="00216F0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14:paraId="27E7D584" w14:textId="77777777" w:rsidR="0008632E" w:rsidRPr="002901A0" w:rsidRDefault="0008632E" w:rsidP="00216F0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14:paraId="7A1DE290" w14:textId="77777777" w:rsidR="00216F0B" w:rsidRPr="002901A0" w:rsidRDefault="00216F0B" w:rsidP="00216F0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14:paraId="6789B58E" w14:textId="68210ADB" w:rsidR="00216F0B" w:rsidRPr="00216F0B" w:rsidRDefault="00216F0B" w:rsidP="00216F0B">
      <w:pPr>
        <w:shd w:val="clear" w:color="auto" w:fill="FFFFFF"/>
        <w:spacing w:after="36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b/>
          <w:bCs/>
          <w:color w:val="000000" w:themeColor="text1"/>
          <w:sz w:val="27"/>
          <w:szCs w:val="27"/>
        </w:rPr>
        <w:lastRenderedPageBreak/>
        <w:t>Example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: </w:t>
      </w:r>
      <w:r w:rsidR="00A316FE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Consider a </w:t>
      </w:r>
      <w:r w:rsidR="00A316FE"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medical</w:t>
      </w: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 xml:space="preserve"> test where two radiographers rated 50 images for needing further study. The researchers (A and B) either said Yes (for further study) or No (No further study needed).</w:t>
      </w:r>
    </w:p>
    <w:p w14:paraId="2907038C" w14:textId="77777777" w:rsidR="00216F0B" w:rsidRPr="00216F0B" w:rsidRDefault="00216F0B" w:rsidP="00216F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20 images were rated Yes by both.</w:t>
      </w:r>
    </w:p>
    <w:p w14:paraId="0D1FC81C" w14:textId="77777777" w:rsidR="00216F0B" w:rsidRPr="00216F0B" w:rsidRDefault="00216F0B" w:rsidP="00216F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15 images were rated No by both.</w:t>
      </w:r>
    </w:p>
    <w:p w14:paraId="174CA122" w14:textId="77777777" w:rsidR="00216F0B" w:rsidRPr="00216F0B" w:rsidRDefault="00216F0B" w:rsidP="00216F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Overall, rater A said Yes to 25 images and No to 25.</w:t>
      </w:r>
    </w:p>
    <w:p w14:paraId="71CE4959" w14:textId="77777777" w:rsidR="00216F0B" w:rsidRPr="0008632E" w:rsidRDefault="00216F0B" w:rsidP="00216F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Overall, Rater B said Yes to 30 images and No to 20.</w:t>
      </w:r>
    </w:p>
    <w:p w14:paraId="11E0DDC9" w14:textId="77777777" w:rsidR="00216F0B" w:rsidRPr="0008632E" w:rsidRDefault="00216F0B" w:rsidP="00216F0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Helvetica"/>
          <w:color w:val="000000" w:themeColor="text1"/>
          <w:sz w:val="27"/>
          <w:szCs w:val="27"/>
        </w:rPr>
      </w:pPr>
    </w:p>
    <w:p w14:paraId="7AA924A2" w14:textId="77777777" w:rsidR="00216F0B" w:rsidRPr="00216F0B" w:rsidRDefault="00216F0B" w:rsidP="00216F0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Helvetica"/>
          <w:color w:val="000000" w:themeColor="text1"/>
          <w:sz w:val="27"/>
          <w:szCs w:val="27"/>
        </w:rPr>
      </w:pPr>
    </w:p>
    <w:p w14:paraId="45EF5908" w14:textId="77777777" w:rsidR="00216F0B" w:rsidRPr="00216F0B" w:rsidRDefault="00216F0B" w:rsidP="00216F0B">
      <w:pPr>
        <w:shd w:val="clear" w:color="auto" w:fill="FFFFFF"/>
        <w:spacing w:after="360" w:line="240" w:lineRule="auto"/>
        <w:rPr>
          <w:rFonts w:ascii="Georgia" w:eastAsia="Times New Roman" w:hAnsi="Georgia" w:cs="Helvetica"/>
          <w:color w:val="575760"/>
          <w:sz w:val="27"/>
          <w:szCs w:val="27"/>
        </w:rPr>
      </w:pPr>
      <w:r w:rsidRPr="00216F0B">
        <w:rPr>
          <w:rFonts w:ascii="Georgia" w:eastAsia="Times New Roman" w:hAnsi="Georgia" w:cs="Helvetica"/>
          <w:color w:val="000000" w:themeColor="text1"/>
          <w:sz w:val="27"/>
          <w:szCs w:val="27"/>
        </w:rPr>
        <w:t>Calculate Cohen’s kappa for this data set.</w:t>
      </w:r>
    </w:p>
    <w:p w14:paraId="0A375D41" w14:textId="071F3EB3" w:rsidR="00216F0B" w:rsidRPr="00216F0B" w:rsidRDefault="00216F0B" w:rsidP="0008632E">
      <w:pPr>
        <w:shd w:val="clear" w:color="auto" w:fill="FFFFFF"/>
        <w:spacing w:after="360" w:line="240" w:lineRule="auto"/>
        <w:ind w:left="720" w:hanging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6F0B">
        <w:rPr>
          <w:rFonts w:ascii="Helvetica" w:eastAsia="Times New Roman" w:hAnsi="Helvetica" w:cs="Helvetica"/>
          <w:color w:val="0000FF"/>
          <w:sz w:val="27"/>
          <w:szCs w:val="27"/>
        </w:rPr>
        <w:t>Step 1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216F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Calculate p</w:t>
      </w:r>
      <w:r w:rsidR="00AF40E3" w:rsidRPr="00AF40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vertAlign w:val="subscript"/>
        </w:rPr>
        <w:t>0</w:t>
      </w:r>
      <w:r w:rsidRPr="00216F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(the observed proportional agreement):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 images were rated Yes by both.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15 images were rated No by both.</w:t>
      </w:r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216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 number in agreement / total = (20 + 15) / 50 = 0.70.</w:t>
      </w:r>
    </w:p>
    <w:p w14:paraId="090135D2" w14:textId="5315DE12" w:rsidR="00216F0B" w:rsidRPr="00216F0B" w:rsidRDefault="00216F0B" w:rsidP="0008632E">
      <w:pPr>
        <w:shd w:val="clear" w:color="auto" w:fill="FFFFFF"/>
        <w:spacing w:after="360" w:line="240" w:lineRule="auto"/>
        <w:ind w:left="720" w:hanging="63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Helvetica" w:eastAsia="Times New Roman" w:hAnsi="Helvetica" w:cs="Helvetica"/>
          <w:color w:val="0000FF"/>
          <w:sz w:val="27"/>
          <w:szCs w:val="27"/>
        </w:rPr>
        <w:t>Step 2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 Find the probability that the raters would randomly both say Yes.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Rater A said Yes to 25/50 images, or 50%</w:t>
      </w:r>
      <w:r w:rsidR="0008632E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(0.5).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Rater B said Yes to 30/50 images, or 60</w:t>
      </w:r>
      <w:proofErr w:type="gramStart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%(</w:t>
      </w:r>
      <w:proofErr w:type="gramEnd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0.6).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The total probability of the raters both saying Yes randomly is: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0.5 * 0.6 = 0.30.</w:t>
      </w:r>
    </w:p>
    <w:p w14:paraId="0E7A7D67" w14:textId="77777777" w:rsidR="00216F0B" w:rsidRPr="00216F0B" w:rsidRDefault="00216F0B" w:rsidP="00702BF9">
      <w:pPr>
        <w:shd w:val="clear" w:color="auto" w:fill="FFFFFF"/>
        <w:spacing w:after="36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Helvetica" w:eastAsia="Times New Roman" w:hAnsi="Helvetica" w:cs="Helvetica"/>
          <w:color w:val="0000FF"/>
          <w:sz w:val="27"/>
          <w:szCs w:val="27"/>
        </w:rPr>
        <w:t>Step 3: 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Calculate the probability that the raters would randomly both say No.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Rater A said No to 25/50 images, or 50</w:t>
      </w:r>
      <w:proofErr w:type="gramStart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%(</w:t>
      </w:r>
      <w:proofErr w:type="gramEnd"/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0.5).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Rater B said No to 20/50 images, or 40%(0.6).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The total probability of the raters both saying No randomly is: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0.5 * 0.4 = 0.20.</w:t>
      </w:r>
    </w:p>
    <w:p w14:paraId="0C29902B" w14:textId="420952E3" w:rsidR="00216F0B" w:rsidRPr="00216F0B" w:rsidRDefault="00216F0B" w:rsidP="00610115">
      <w:pPr>
        <w:shd w:val="clear" w:color="auto" w:fill="FFFFFF"/>
        <w:spacing w:after="36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Helvetica" w:eastAsia="Times New Roman" w:hAnsi="Helvetica" w:cs="Helvetica"/>
          <w:color w:val="0000FF"/>
          <w:sz w:val="27"/>
          <w:szCs w:val="27"/>
        </w:rPr>
        <w:t>Step 4: </w:t>
      </w:r>
      <w:r w:rsidRPr="00216F0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Calculate P</w:t>
      </w:r>
      <w:r w:rsidR="00AF40E3" w:rsidRPr="00AF40E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Add your answers from Step 2 and 3 to get the overall probability that the raters would randomly agree.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  <w:t>P</w:t>
      </w:r>
      <w:r w:rsidRPr="00216F0B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</w:rPr>
        <w:t>e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= 0.30 + 0.20 = 0.50.</w:t>
      </w:r>
    </w:p>
    <w:p w14:paraId="318C7A7E" w14:textId="16868DF4" w:rsidR="00216F0B" w:rsidRDefault="00216F0B" w:rsidP="00610115">
      <w:pPr>
        <w:shd w:val="clear" w:color="auto" w:fill="FFFFFF"/>
        <w:spacing w:after="36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Helvetica" w:eastAsia="Times New Roman" w:hAnsi="Helvetica" w:cs="Helvetica"/>
          <w:color w:val="3333FF"/>
          <w:sz w:val="27"/>
          <w:szCs w:val="27"/>
        </w:rPr>
        <w:t>Step 5:</w:t>
      </w: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Insert your calculations into the formula and solve:</w:t>
      </w:r>
    </w:p>
    <w:p w14:paraId="4E04BAA1" w14:textId="4BFE1106" w:rsidR="00216F0B" w:rsidRPr="00610115" w:rsidRDefault="0008632E" w:rsidP="00610115">
      <w:pPr>
        <w:shd w:val="clear" w:color="auto" w:fill="FFFFFF"/>
        <w:spacing w:after="360" w:line="240" w:lineRule="auto"/>
        <w:ind w:left="720" w:hanging="5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16F0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 w:type="textWrapping" w:clear="left"/>
      </w:r>
      <m:oMathPara>
        <m:oMath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κ</m:t>
          </m:r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 w:themeColor="text1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color w:val="000000" w:themeColor="text1"/>
                  <w:sz w:val="27"/>
                  <w:szCs w:val="27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 w:themeColor="text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 w:themeColor="text1"/>
                      <w:sz w:val="27"/>
                      <w:szCs w:val="27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Courier New"/>
              <w:color w:val="000000" w:themeColor="text1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7"/>
                  <w:szCs w:val="27"/>
                </w:rPr>
                <m:t>0.7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7"/>
                  <w:szCs w:val="27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7"/>
                  <w:szCs w:val="27"/>
                </w:rPr>
                <m:t>1-0.5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7"/>
              <w:szCs w:val="27"/>
            </w:rPr>
            <m:t>=0.4</m:t>
          </m:r>
        </m:oMath>
      </m:oMathPara>
    </w:p>
    <w:p w14:paraId="6CDFF170" w14:textId="2A402E29" w:rsidR="00610115" w:rsidRPr="00AF40E3" w:rsidRDefault="00702BF9" w:rsidP="00610115">
      <w:pPr>
        <w:shd w:val="clear" w:color="auto" w:fill="FFFFFF"/>
        <w:spacing w:after="360" w:line="240" w:lineRule="auto"/>
        <w:ind w:left="72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Therefore,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κ=0.4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</w:p>
    <w:sectPr w:rsidR="00610115" w:rsidRPr="00AF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2D7"/>
    <w:multiLevelType w:val="multilevel"/>
    <w:tmpl w:val="A0C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528D7"/>
    <w:multiLevelType w:val="multilevel"/>
    <w:tmpl w:val="D8D87F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5469BB"/>
    <w:multiLevelType w:val="multilevel"/>
    <w:tmpl w:val="00D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E76AC"/>
    <w:multiLevelType w:val="multilevel"/>
    <w:tmpl w:val="00D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F2A59"/>
    <w:multiLevelType w:val="multilevel"/>
    <w:tmpl w:val="8452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EA3B42"/>
    <w:multiLevelType w:val="multilevel"/>
    <w:tmpl w:val="0ED8C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B"/>
    <w:rsid w:val="0008632E"/>
    <w:rsid w:val="00216F0B"/>
    <w:rsid w:val="002901A0"/>
    <w:rsid w:val="00610115"/>
    <w:rsid w:val="00702BF9"/>
    <w:rsid w:val="00981A8B"/>
    <w:rsid w:val="00A316FE"/>
    <w:rsid w:val="00AF40E3"/>
    <w:rsid w:val="00CB0622"/>
    <w:rsid w:val="00E47AC3"/>
    <w:rsid w:val="00F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2F06"/>
  <w15:chartTrackingRefBased/>
  <w15:docId w15:val="{9FB395B9-1996-4E44-8047-3323BD4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6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1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4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46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8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818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9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12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50888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06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35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77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0285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207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0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85113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65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15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86539616-2E12-4C49-9B4C-0C3AE4935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18641-169B-4BEE-924B-9CE1CC72D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0EAC3-B4B5-44CC-93A0-572161A08FB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dd1016b0-977f-4587-a888-bde6dc19852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Gokarna R. Aryal</cp:lastModifiedBy>
  <cp:revision>8</cp:revision>
  <dcterms:created xsi:type="dcterms:W3CDTF">2024-02-19T03:07:00Z</dcterms:created>
  <dcterms:modified xsi:type="dcterms:W3CDTF">2024-02-19T03:35:00Z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</Properties>
</file>