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depositor, I want to have guarantees about data integrity, so that I can use my data in the future and I can fulfil funder requirements for archival.</w:t>
      </w:r>
    </w:p>
    <w:p>
      <w:pPr>
        <w:pStyle w:val="Normal"/>
        <w:rPr/>
      </w:pPr>
      <w:r>
        <w:rPr/>
        <w:t>As a depositor, I want to attach subject specific discoverability metadata to records, so that researchers in my discipline can find my data more easily.</w:t>
      </w:r>
    </w:p>
    <w:p>
      <w:pPr>
        <w:pStyle w:val="Normal"/>
        <w:rPr/>
      </w:pPr>
      <w:r>
        <w:rPr/>
        <w:t>As a depositor, I want to link to data stored in external repositories, so that I can store my data in an appropriate repository but still register it with the University and I don't have to deposit my data in multiple places.</w:t>
      </w:r>
    </w:p>
    <w:p>
      <w:pPr>
        <w:pStyle w:val="Normal"/>
        <w:rPr/>
      </w:pPr>
      <w:r>
        <w:rPr/>
        <w:t>As a depositor, I want to specify a disposal policy for my data, so that I do not accidentally breach laws or collaboration agreements.</w:t>
      </w:r>
    </w:p>
    <w:p>
      <w:pPr>
        <w:pStyle w:val="Normal"/>
        <w:rPr/>
      </w:pPr>
      <w:r>
        <w:rPr/>
        <w:t>As a fundingbody, I want to be reassured that researchers I fund have robust archival plans for their data, so that I can be sure that funding them is a worthwhile investment.</w:t>
      </w:r>
    </w:p>
    <w:p>
      <w:pPr>
        <w:pStyle w:val="Normal"/>
        <w:rPr/>
      </w:pPr>
      <w:r>
        <w:rPr/>
        <w:t>As a fundingbody, I want to harvest metadata on outputs from research I fund, so that I can analyse effectiveness of funding strategy and I can encourage cross fertilisation of research outputs.```</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-depositor</w:t>
      </w:r>
    </w:p>
    <w:p>
      <w:pPr>
        <w:pStyle w:val="Normal"/>
        <w:rPr/>
      </w:pPr>
      <w:r>
        <w:rPr/>
        <w:t xml:space="preserve">  </w:t>
      </w:r>
      <w:r>
        <w:rPr/>
        <w:t>-fundingbody</w:t>
      </w:r>
    </w:p>
    <w:p>
      <w:pPr>
        <w:pStyle w:val="Normal"/>
        <w:rPr/>
      </w:pPr>
      <w:r>
        <w:rPr/>
      </w:r>
    </w:p>
    <w:p>
      <w:pPr>
        <w:pStyle w:val="Normal"/>
        <w:rPr/>
      </w:pPr>
      <w:r>
        <w:rPr/>
        <w:t>- 'Goals':</w:t>
      </w:r>
    </w:p>
    <w:p>
      <w:pPr>
        <w:pStyle w:val="Normal"/>
        <w:rPr/>
      </w:pPr>
      <w:r>
        <w:rPr/>
        <w:t xml:space="preserve">  </w:t>
      </w:r>
      <w:r>
        <w:rPr/>
        <w:t>-specify operations conducted</w:t>
      </w:r>
    </w:p>
    <w:p>
      <w:pPr>
        <w:pStyle w:val="Normal"/>
        <w:rPr/>
      </w:pPr>
      <w:r>
        <w:rPr/>
        <w:t xml:space="preserve">  </w:t>
      </w:r>
      <w:r>
        <w:rPr/>
        <w:t>-attach operations conducted</w:t>
      </w:r>
    </w:p>
    <w:p>
      <w:pPr>
        <w:pStyle w:val="Normal"/>
        <w:rPr/>
      </w:pPr>
      <w:r>
        <w:rPr/>
        <w:t xml:space="preserve">  </w:t>
      </w:r>
      <w:r>
        <w:rPr/>
        <w:t>-reassured operations conducted</w:t>
      </w:r>
    </w:p>
    <w:p>
      <w:pPr>
        <w:pStyle w:val="Normal"/>
        <w:rPr/>
      </w:pPr>
      <w:r>
        <w:rPr/>
        <w:t xml:space="preserve">  </w:t>
      </w:r>
      <w:r>
        <w:rPr/>
        <w:t>-specify a disposal policy</w:t>
      </w:r>
    </w:p>
    <w:p>
      <w:pPr>
        <w:pStyle w:val="Normal"/>
        <w:rPr/>
      </w:pPr>
      <w:r>
        <w:rPr/>
        <w:t xml:space="preserve">  </w:t>
      </w:r>
      <w:r>
        <w:rPr/>
        <w:t>-subject specific discoverability metadata attached</w:t>
      </w:r>
    </w:p>
    <w:p>
      <w:pPr>
        <w:pStyle w:val="Normal"/>
        <w:rPr/>
      </w:pPr>
      <w:r>
        <w:rPr/>
        <w:t xml:space="preserve">  </w:t>
      </w:r>
      <w:r>
        <w:rPr/>
        <w:t>-reassured robust archival plans</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6"/>
        </w:numPr>
        <w:rPr>
          <w:sz w:val="28"/>
          <w:szCs w:val="28"/>
        </w:rPr>
      </w:pPr>
      <w:r>
        <w:rPr>
          <w:sz w:val="28"/>
          <w:szCs w:val="28"/>
        </w:rPr>
        <w:t>Actors:</w:t>
      </w:r>
    </w:p>
    <w:p>
      <w:pPr>
        <w:pStyle w:val="Normal"/>
        <w:numPr>
          <w:ilvl w:val="1"/>
          <w:numId w:val="6"/>
        </w:numPr>
        <w:rPr>
          <w:sz w:val="28"/>
          <w:szCs w:val="28"/>
        </w:rPr>
      </w:pPr>
      <w:r>
        <w:rPr>
          <w:sz w:val="28"/>
          <w:szCs w:val="28"/>
        </w:rPr>
        <w:t>depositor</w:t>
      </w:r>
    </w:p>
    <w:p>
      <w:pPr>
        <w:pStyle w:val="Normal"/>
        <w:numPr>
          <w:ilvl w:val="1"/>
          <w:numId w:val="6"/>
        </w:numPr>
        <w:rPr>
          <w:sz w:val="28"/>
          <w:szCs w:val="28"/>
        </w:rPr>
      </w:pPr>
      <w:r>
        <w:rPr>
          <w:sz w:val="28"/>
          <w:szCs w:val="28"/>
        </w:rPr>
        <w:t>fundingbody</w:t>
      </w:r>
    </w:p>
    <w:p>
      <w:pPr>
        <w:pStyle w:val="Normal"/>
        <w:numPr>
          <w:ilvl w:val="1"/>
          <w:numId w:val="6"/>
        </w:numPr>
        <w:rPr>
          <w:sz w:val="28"/>
          <w:szCs w:val="28"/>
        </w:rPr>
      </w:pPr>
      <w:r>
        <w:rPr>
          <w:sz w:val="28"/>
          <w:szCs w:val="28"/>
        </w:rPr>
        <w:t>researchers</w:t>
      </w:r>
    </w:p>
    <w:p>
      <w:pPr>
        <w:pStyle w:val="Normal"/>
        <w:numPr>
          <w:ilvl w:val="1"/>
          <w:numId w:val="6"/>
        </w:numPr>
        <w:rPr>
          <w:sz w:val="28"/>
          <w:szCs w:val="28"/>
        </w:rPr>
      </w:pPr>
      <w:r>
        <w:rPr>
          <w:sz w:val="28"/>
          <w:szCs w:val="28"/>
        </w:rPr>
        <w:t>external repository</w:t>
      </w:r>
    </w:p>
    <w:p>
      <w:pPr>
        <w:pStyle w:val="Normal"/>
        <w:rPr>
          <w:sz w:val="28"/>
          <w:szCs w:val="28"/>
        </w:rPr>
      </w:pPr>
      <w:r>
        <w:rPr>
          <w:sz w:val="28"/>
          <w:szCs w:val="28"/>
        </w:rPr>
        <w:t>Missing Actors:</w:t>
      </w:r>
    </w:p>
    <w:p>
      <w:pPr>
        <w:pStyle w:val="Normal"/>
        <w:numPr>
          <w:ilvl w:val="0"/>
          <w:numId w:val="7"/>
        </w:numPr>
        <w:rPr>
          <w:sz w:val="28"/>
          <w:szCs w:val="28"/>
        </w:rPr>
      </w:pPr>
      <w:r>
        <w:rPr>
          <w:sz w:val="28"/>
          <w:szCs w:val="28"/>
        </w:rPr>
        <w:t>University</w:t>
      </w:r>
    </w:p>
    <w:p>
      <w:pPr>
        <w:pStyle w:val="Normal"/>
        <w:numPr>
          <w:ilvl w:val="0"/>
          <w:numId w:val="7"/>
        </w:numPr>
        <w:rPr>
          <w:sz w:val="28"/>
          <w:szCs w:val="28"/>
        </w:rPr>
      </w:pPr>
      <w:r>
        <w:rPr>
          <w:sz w:val="28"/>
          <w:szCs w:val="28"/>
        </w:rPr>
        <w:t>Collaboration partners</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Goals: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guarantees about data integrity</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attach subject specific discoverability metadata to records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link to data stored in external repositories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specify a disposal policy for data</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be reassured that researchers have robust archival plans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harvest metadata on outputs from research funded</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effectiveness of funding strategy</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encourage cross-fertilization of research outputs</w:t>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Goals: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compliance with laws and collaboration agreements</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data discoverability</w:t>
      </w:r>
    </w:p>
    <w:p>
      <w:pPr>
        <w:pStyle w:val="ListParagraph"/>
        <w:numPr>
          <w:ilvl w:val="0"/>
          <w:numId w:val="3"/>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Reduce duplication of data storage across repositories</w:t>
      </w:r>
    </w:p>
    <w:p>
      <w:pPr>
        <w:pStyle w:val="ListParagraph"/>
        <w:spacing w:lineRule="auto" w:line="240"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have guarantees about data integrity: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Set up regular data backup procedures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data access controls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attach subject specific discoverability metadata to records: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metadata schema for different disciplines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 metadata tagging system</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metadata attachment feature into the data submission process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link to data stored in external repositories: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data linkage protocols with external repositories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synchronization mechanisms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interoperability between different repositories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specify a disposal policy for data:</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data retention periods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anonymization procedures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data deletion protocols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be reassured that researchers have robust archival plans: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Review researchers' data management plans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guidance on best practices for data archival</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audits of archival procedures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harvest metadata on outputs from research funded:</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automated metadata harvesting tools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metadata harvesting into the research funding process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harvested metadata for insights</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analyze effectiveness of funding strategy: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key performance indicators for funding effectiveness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Collect and analyze data on research outputs and outcomes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Generate reports on funding impact and ROI</w:t>
      </w:r>
    </w:p>
    <w:p>
      <w:pPr>
        <w:pStyle w:val="Normal"/>
        <w:numPr>
          <w:ilvl w:val="0"/>
          <w:numId w:val="1"/>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encourage cross-fertilization of research outputs: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collaboration between funded researchers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platforms for knowledge sharing and exchange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Promote interdisciplinary research initiatives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SoftGoals:</w:t>
      </w:r>
    </w:p>
    <w:p>
      <w:pPr>
        <w:pStyle w:val="Normal"/>
        <w:numPr>
          <w:ilvl w:val="1"/>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discoverability</w:t>
      </w:r>
    </w:p>
    <w:p>
      <w:pPr>
        <w:pStyle w:val="Normal"/>
        <w:numPr>
          <w:ilvl w:val="1"/>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security measures</w:t>
      </w:r>
    </w:p>
    <w:p>
      <w:pPr>
        <w:pStyle w:val="Normal"/>
        <w:numPr>
          <w:ilvl w:val="1"/>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Foster data sharing and collaboration</w:t>
      </w:r>
    </w:p>
    <w:p>
      <w:pPr>
        <w:pStyle w:val="Normal"/>
        <w:numPr>
          <w:ilvl w:val="1"/>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compliance with data management policies</w:t>
      </w:r>
    </w:p>
    <w:p>
      <w:pPr>
        <w:pStyle w:val="Normal"/>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Implicit SoftGoals:</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data quality and accuracy</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Promote data preservation and longevity</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Encourage research reproducibility</w:t>
      </w:r>
    </w:p>
    <w:p>
      <w:pPr>
        <w:pStyle w:val="Normal"/>
        <w:numPr>
          <w:ilvl w:val="0"/>
          <w:numId w:val="9"/>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satisfaction and usability</w:t>
      </w:r>
    </w:p>
    <w:p>
      <w:pPr>
        <w:pStyle w:val="Normal"/>
        <w:rPr>
          <w:rFonts w:ascii="Source Sans Pro" w:hAnsi="Source Sans Pro" w:eastAsia="Times New Roman" w:cs="Times New Roman"/>
          <w:color w:val="262730"/>
          <w:kern w:val="0"/>
          <w:sz w:val="24"/>
          <w:szCs w:val="24"/>
          <w:lang w:eastAsia="en-CA"/>
          <w14:ligatures w14:val="none"/>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rFonts w:eastAsia="Times New Roman" w:cs="Times New Roman" w:ascii="Source Sans Pro" w:hAnsi="Source Sans Pro"/>
          <w:b w:val="false"/>
          <w:bCs w:val="false"/>
          <w:color w:val="262730"/>
          <w:kern w:val="0"/>
          <w:sz w:val="24"/>
          <w:szCs w:val="24"/>
          <w:u w:val="none"/>
          <w:lang w:eastAsia="en-CA"/>
          <w14:ligatures w14: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4"/>
        </w:numPr>
        <w:shd w:val="clear" w:color="auto" w:fill="FFFFFF"/>
        <w:spacing w:lineRule="auto" w:line="240" w:beforeAutospacing="1"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discoverability:</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metadata tagging system</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search functionality for data discovery</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data classification scheme</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user training on effective data search techniques</w:t>
      </w:r>
    </w:p>
    <w:p>
      <w:pPr>
        <w:pStyle w:val="Normal"/>
        <w:numPr>
          <w:ilvl w:val="0"/>
          <w:numId w:val="4"/>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security measures: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encryption protocols for data at rest and in transit</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security audits and vulnerability assessments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access control mechanisms for sensitive data</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Monitor data access and usage for suspicious activities</w:t>
      </w:r>
    </w:p>
    <w:p>
      <w:pPr>
        <w:pStyle w:val="Normal"/>
        <w:numPr>
          <w:ilvl w:val="0"/>
          <w:numId w:val="4"/>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Foster data sharing and collaboration:</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data sharing policies and guidelines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secure data sharing platforms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collaborative data analysis tools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Encourage interdepartmental data sharing initiatives</w:t>
      </w:r>
    </w:p>
    <w:p>
      <w:pPr>
        <w:pStyle w:val="Normal"/>
        <w:numPr>
          <w:ilvl w:val="0"/>
          <w:numId w:val="4"/>
        </w:numPr>
        <w:shd w:val="clear" w:color="auto" w:fill="FFFFFF"/>
        <w:spacing w:lineRule="auto" w:line="240" w:before="0" w:after="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compliance with data management policies: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data management policy framework</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training on data management best practices</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regular audits to ensure policy adherence</w:t>
      </w:r>
    </w:p>
    <w:p>
      <w:pPr>
        <w:pStyle w:val="Normal"/>
        <w:numPr>
          <w:ilvl w:val="1"/>
          <w:numId w:val="4"/>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governance structure and oversight mechanisms</w:t>
      </w:r>
    </w:p>
    <w:p>
      <w:pPr>
        <w:pStyle w:val="Normal"/>
        <w:shd w:val="clear" w:color="auto" w:fill="FFFFFF"/>
        <w:spacing w:lineRule="auto" w:line="240" w:before="48" w:after="48"/>
        <w:ind w:left="144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2"/>
        </w:numPr>
        <w:shd w:val="clear" w:color="auto" w:fill="FFFFFF"/>
        <w:spacing w:lineRule="auto" w:line="240" w:before="0"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MAKE::ensure data discoverability : attach subject specific discoverability metadata to records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MAKE::enhance data security measures : ensure data discoverability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MAKE::foster data sharing and collaboration : link to data stored in external repositories</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HELP::facilitate compliance with data management policies : specify a disposal policy for data</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HELP::enhance data security measures : ensure data discoverability</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HURT::foster data sharing and collaboration : specify a disposal policy for data</w:t>
      </w:r>
    </w:p>
    <w:p>
      <w:pPr>
        <w:pStyle w:val="Normal"/>
        <w:numPr>
          <w:ilvl w:val="0"/>
          <w:numId w:val="2"/>
        </w:numPr>
        <w:shd w:val="clear" w:color="auto" w:fill="FFFFFF"/>
        <w:spacing w:lineRule="auto" w:line="240" w:before="48" w:after="10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EQUAL::ensure data discoverability : enhance data security measures</w:t>
      </w:r>
    </w:p>
    <w:p>
      <w:pPr>
        <w:pStyle w:val="Normal"/>
        <w:shd w:val="clear" w:color="auto" w:fill="FFFFFF"/>
        <w:spacing w:lineRule="auto" w:line="240" w:before="48" w:after="100"/>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discoverability DEPENDS-ON attach subject specific discoverability metadata to records FOR metadata tagging system</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security measures DEPENDS-ON ensure data discoverability FOR data access controls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foster data sharing and collaboration DEPENDS-ON link to data stored in external repositories FOR data synchronization mechanisms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facilitate compliance with data management policies DEPENDS-ON specify a disposal policy for data FOR data retention periods</w:t>
      </w:r>
    </w:p>
    <w:p>
      <w:pPr>
        <w:pStyle w:val="Normal"/>
        <w:numPr>
          <w:ilvl w:val="0"/>
          <w:numId w:val="5"/>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data security measures DEPENDS-ON foster data sharing and collaboration FOR access control mechanisms</w:t>
      </w:r>
    </w:p>
    <w:p>
      <w:pPr>
        <w:pStyle w:val="Normal"/>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10"/>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DECOMPOSITION::attach subject specific discoverability metadata to records : Develop a metadata schema for different disciplines</w:t>
      </w:r>
    </w:p>
    <w:p>
      <w:pPr>
        <w:pStyle w:val="Normal"/>
        <w:numPr>
          <w:ilvl w:val="0"/>
          <w:numId w:val="10"/>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DECOMPOSITION::ensure data discoverability : Implement metadata tagging system</w:t>
      </w:r>
    </w:p>
    <w:p>
      <w:pPr>
        <w:pStyle w:val="Normal"/>
        <w:numPr>
          <w:ilvl w:val="0"/>
          <w:numId w:val="10"/>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DECOMPOSITION::enhance data security measures : Implement encryption protocols for data at rest OR Implement encryption protocols for data in transit</w:t>
      </w:r>
    </w:p>
    <w:p>
      <w:pPr>
        <w:pStyle w:val="Normal"/>
        <w:numPr>
          <w:ilvl w:val="0"/>
          <w:numId w:val="10"/>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XOR DECOMPOSITION::foster data sharing and collaboration : Create data sharing policies OR Implement secure data sharing platforms</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7a92"/>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7a92"/>
    <w:pPr>
      <w:spacing w:before="0" w:after="160"/>
      <w:ind w:left="720" w:hanging="0"/>
      <w:contextualSpacing/>
    </w:pPr>
    <w:rPr/>
  </w:style>
  <w:style w:type="paragraph" w:styleId="NormalWeb">
    <w:name w:val="Normal (Web)"/>
    <w:basedOn w:val="Normal"/>
    <w:uiPriority w:val="99"/>
    <w:semiHidden/>
    <w:unhideWhenUsed/>
    <w:qFormat/>
    <w:rsid w:val="000b74d7"/>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10</Pages>
  <Words>2626</Words>
  <Characters>15403</Characters>
  <CharactersWithSpaces>18025</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2024-08-30T10:39:00Z</dcterms:created>
  <dc:creator>vaishali cs</dc:creator>
  <dc:description/>
  <dc:language>en-US</dc:language>
  <cp:lastModifiedBy/>
  <dcterms:modified xsi:type="dcterms:W3CDTF">2024-09-21T20:57:43Z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