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access modifiers in Java specifies the accessibility or scope of a field, method, constructor, or class. We can change the access level of fields, constructors, methods, and class by applying the access modifier on it.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four types of Java access modifiers: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6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