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rFonts w:ascii="Calibri" w:cs="Calibri" w:eastAsia="Calibri" w:hAnsi="Calibri"/>
          <w:b/>
          <w:bCs/>
          <w:color w:val="2E74B5"/>
          <w:spacing w:val="20"/>
          <w:sz w:val="26"/>
          <w:szCs w:val="26"/>
        </w:rPr>
        <w:t xml:space="preserve">MAVEN TOYS</w:t>
      </w:r>
    </w:p>
    <w:p>
      <w:pPr>
        <w:spacing w:after="300" w:before="300"/>
        <w:jc w:val="center"/>
      </w:pPr>
      <w:r>
        <w:rPr>
          <w:rFonts w:ascii="Calibri" w:cs="Calibri" w:eastAsia="Calibri" w:hAnsi="Calibri"/>
          <w:b/>
          <w:bCs/>
          <w:color w:val="1F3864"/>
          <w:sz w:val="52"/>
          <w:szCs w:val="52"/>
        </w:rPr>
        <w:t xml:space="preserve">Retail Sales &amp; Inventory Performance Analysis</w:t>
      </w:r>
    </w:p>
    <w:p>
      <w:pPr>
        <w:pBdr>
          <w:bottom w:val="single" w:color="2E74B5" w:sz="12" w:space="10"/>
        </w:pBdr>
        <w:spacing w:after="500"/>
        <w:jc w:val="center"/>
      </w:pPr>
      <w:r>
        <w:rPr>
          <w:rFonts w:ascii="Calibri" w:cs="Calibri" w:eastAsia="Calibri" w:hAnsi="Calibri"/>
          <w:i/>
          <w:iCs/>
          <w:color w:val="595959"/>
          <w:sz w:val="26"/>
          <w:szCs w:val="26"/>
        </w:rPr>
        <w:t xml:space="preserve">A Data Analytics Project</w:t>
      </w:r>
    </w:p>
    <w:p>
      <w:pPr>
        <w:spacing w:before="1200"/>
      </w:pPr>
    </w:p>
    <w:p>
      <w:pPr>
        <w:spacing w:after="60"/>
        <w:jc w:val="center"/>
      </w:pPr>
      <w:r>
        <w:rPr>
          <w:rFonts w:ascii="Calibri" w:cs="Calibri" w:eastAsia="Calibri" w:hAnsi="Calibri"/>
          <w:color w:val="595959"/>
          <w:sz w:val="20"/>
          <w:szCs w:val="20"/>
        </w:rPr>
        <w:t xml:space="preserve">Student Name</w:t>
      </w:r>
    </w:p>
    <w:p>
      <w:pPr>
        <w:spacing w:after="200"/>
        <w:jc w:val="center"/>
      </w:pPr>
      <w:r>
        <w:rPr>
          <w:rFonts w:ascii="Calibri" w:cs="Calibri" w:eastAsia="Calibri" w:hAnsi="Calibri"/>
          <w:b/>
          <w:bCs/>
          <w:color w:val="1F3864"/>
          <w:sz w:val="26"/>
          <w:szCs w:val="26"/>
        </w:rPr>
        <w:t xml:space="preserve">Vaishnav Gopakumar</w:t>
      </w:r>
    </w:p>
    <w:p>
      <w:pPr>
        <w:spacing w:after="60"/>
        <w:jc w:val="center"/>
      </w:pPr>
      <w:r>
        <w:rPr>
          <w:rFonts w:ascii="Calibri" w:cs="Calibri" w:eastAsia="Calibri" w:hAnsi="Calibri"/>
          <w:color w:val="595959"/>
          <w:sz w:val="20"/>
          <w:szCs w:val="20"/>
        </w:rPr>
        <w:t xml:space="preserve">Degree Programme</w:t>
      </w:r>
    </w:p>
    <w:p>
      <w:pPr>
        <w:spacing w:after="200"/>
        <w:jc w:val="center"/>
      </w:pPr>
      <w:r>
        <w:rPr>
          <w:rFonts w:ascii="Calibri" w:cs="Calibri" w:eastAsia="Calibri" w:hAnsi="Calibri"/>
          <w:b/>
          <w:bCs/>
          <w:color w:val="1F3864"/>
          <w:sz w:val="26"/>
          <w:szCs w:val="26"/>
        </w:rPr>
        <w:t xml:space="preserve">BSc Data Science</w:t>
      </w:r>
    </w:p>
    <w:p>
      <w:pPr>
        <w:spacing w:after="60"/>
        <w:jc w:val="center"/>
      </w:pPr>
      <w:r>
        <w:rPr>
          <w:rFonts w:ascii="Calibri" w:cs="Calibri" w:eastAsia="Calibri" w:hAnsi="Calibri"/>
          <w:color w:val="595959"/>
          <w:sz w:val="20"/>
          <w:szCs w:val="20"/>
        </w:rPr>
        <w:t xml:space="preserve">Project Type</w:t>
      </w:r>
    </w:p>
    <w:p>
      <w:pPr>
        <w:spacing w:after="200"/>
        <w:jc w:val="center"/>
      </w:pPr>
      <w:r>
        <w:rPr>
          <w:rFonts w:ascii="Calibri" w:cs="Calibri" w:eastAsia="Calibri" w:hAnsi="Calibri"/>
          <w:b/>
          <w:bCs/>
          <w:color w:val="1F3864"/>
          <w:sz w:val="26"/>
          <w:szCs w:val="26"/>
        </w:rPr>
        <w:t xml:space="preserve">Data Analytics Project</w:t>
      </w:r>
    </w:p>
    <w:p>
      <w:r>
        <w:br w:type="page"/>
      </w:r>
    </w:p>
    <w:p>
      <w:pPr>
        <w:pStyle w:val="Heading1"/>
        <w:spacing w:after="180" w:before="360"/>
      </w:pPr>
      <w:r>
        <w:rPr>
          <w:rFonts w:ascii="Calibri" w:cs="Calibri" w:eastAsia="Calibri" w:hAnsi="Calibri"/>
          <w:b/>
          <w:bCs/>
          <w:color w:val="1F3864"/>
          <w:sz w:val="30"/>
          <w:szCs w:val="30"/>
        </w:rPr>
        <w:t xml:space="preserve">Table of Contents</w:t>
      </w:r>
    </w:p>
    <w:p>
      <w:pPr>
        <w:tabs>
          <w:tab w:val="right" w:pos="9026" w:leader="dot"/>
        </w:tabs>
        <w:spacing w:after="160"/>
      </w:pPr>
      <w:r>
        <w:rPr>
          <w:rFonts w:ascii="Calibri" w:cs="Calibri" w:eastAsia="Calibri" w:hAnsi="Calibri"/>
          <w:sz w:val="21"/>
          <w:szCs w:val="21"/>
        </w:rPr>
        <w:t xml:space="preserve">1. Executive Summary</w:t>
      </w:r>
      <w:r>
        <w:rPr>
          <w:rFonts w:ascii="Calibri" w:cs="Calibri" w:eastAsia="Calibri" w:hAnsi="Calibri"/>
          <w:sz w:val="21"/>
          <w:szCs w:val="21"/>
        </w:rPr>
        <w:t xml:space="preserve">	3</w:t>
      </w:r>
    </w:p>
    <w:p>
      <w:pPr>
        <w:tabs>
          <w:tab w:val="right" w:pos="9026" w:leader="dot"/>
        </w:tabs>
        <w:spacing w:after="160"/>
      </w:pPr>
      <w:r>
        <w:rPr>
          <w:rFonts w:ascii="Calibri" w:cs="Calibri" w:eastAsia="Calibri" w:hAnsi="Calibri"/>
          <w:sz w:val="21"/>
          <w:szCs w:val="21"/>
        </w:rPr>
        <w:t xml:space="preserve">2. Business Understanding</w:t>
      </w:r>
      <w:r>
        <w:rPr>
          <w:rFonts w:ascii="Calibri" w:cs="Calibri" w:eastAsia="Calibri" w:hAnsi="Calibri"/>
          <w:sz w:val="21"/>
          <w:szCs w:val="21"/>
        </w:rPr>
        <w:t xml:space="preserve">	4</w:t>
      </w:r>
    </w:p>
    <w:p>
      <w:pPr>
        <w:tabs>
          <w:tab w:val="right" w:pos="9026" w:leader="dot"/>
        </w:tabs>
        <w:spacing w:after="160"/>
      </w:pPr>
      <w:r>
        <w:rPr>
          <w:rFonts w:ascii="Calibri" w:cs="Calibri" w:eastAsia="Calibri" w:hAnsi="Calibri"/>
          <w:sz w:val="21"/>
          <w:szCs w:val="21"/>
        </w:rPr>
        <w:t xml:space="preserve">3. Dataset Description</w:t>
      </w:r>
      <w:r>
        <w:rPr>
          <w:rFonts w:ascii="Calibri" w:cs="Calibri" w:eastAsia="Calibri" w:hAnsi="Calibri"/>
          <w:sz w:val="21"/>
          <w:szCs w:val="21"/>
        </w:rPr>
        <w:t xml:space="preserve">	5</w:t>
      </w:r>
    </w:p>
    <w:p>
      <w:pPr>
        <w:tabs>
          <w:tab w:val="right" w:pos="9026" w:leader="dot"/>
        </w:tabs>
        <w:spacing w:after="160"/>
      </w:pPr>
      <w:r>
        <w:rPr>
          <w:rFonts w:ascii="Calibri" w:cs="Calibri" w:eastAsia="Calibri" w:hAnsi="Calibri"/>
          <w:sz w:val="21"/>
          <w:szCs w:val="21"/>
        </w:rPr>
        <w:t xml:space="preserve">4. Data Quality &amp; Preparation</w:t>
      </w:r>
      <w:r>
        <w:rPr>
          <w:rFonts w:ascii="Calibri" w:cs="Calibri" w:eastAsia="Calibri" w:hAnsi="Calibri"/>
          <w:sz w:val="21"/>
          <w:szCs w:val="21"/>
        </w:rPr>
        <w:t xml:space="preserve">	6</w:t>
      </w:r>
    </w:p>
    <w:p>
      <w:pPr>
        <w:tabs>
          <w:tab w:val="right" w:pos="9026" w:leader="dot"/>
        </w:tabs>
        <w:spacing w:after="160"/>
      </w:pPr>
      <w:r>
        <w:rPr>
          <w:rFonts w:ascii="Calibri" w:cs="Calibri" w:eastAsia="Calibri" w:hAnsi="Calibri"/>
          <w:sz w:val="21"/>
          <w:szCs w:val="21"/>
        </w:rPr>
        <w:t xml:space="preserve">5. Feature Engineering</w:t>
      </w:r>
      <w:r>
        <w:rPr>
          <w:rFonts w:ascii="Calibri" w:cs="Calibri" w:eastAsia="Calibri" w:hAnsi="Calibri"/>
          <w:sz w:val="21"/>
          <w:szCs w:val="21"/>
        </w:rPr>
        <w:t xml:space="preserve">	7</w:t>
      </w:r>
    </w:p>
    <w:p>
      <w:pPr>
        <w:tabs>
          <w:tab w:val="right" w:pos="9026" w:leader="dot"/>
        </w:tabs>
        <w:spacing w:after="160"/>
      </w:pPr>
      <w:r>
        <w:rPr>
          <w:rFonts w:ascii="Calibri" w:cs="Calibri" w:eastAsia="Calibri" w:hAnsi="Calibri"/>
          <w:sz w:val="21"/>
          <w:szCs w:val="21"/>
        </w:rPr>
        <w:t xml:space="preserve">6. Sales Performance Analysis</w:t>
      </w:r>
      <w:r>
        <w:rPr>
          <w:rFonts w:ascii="Calibri" w:cs="Calibri" w:eastAsia="Calibri" w:hAnsi="Calibri"/>
          <w:sz w:val="21"/>
          <w:szCs w:val="21"/>
        </w:rPr>
        <w:t xml:space="preserve">	8</w:t>
      </w:r>
    </w:p>
    <w:p>
      <w:pPr>
        <w:tabs>
          <w:tab w:val="right" w:pos="9026" w:leader="dot"/>
        </w:tabs>
        <w:spacing w:after="160"/>
      </w:pPr>
      <w:r>
        <w:rPr>
          <w:rFonts w:ascii="Calibri" w:cs="Calibri" w:eastAsia="Calibri" w:hAnsi="Calibri"/>
          <w:sz w:val="21"/>
          <w:szCs w:val="21"/>
        </w:rPr>
        <w:t xml:space="preserve">7. Product Performance Analysis</w:t>
      </w:r>
      <w:r>
        <w:rPr>
          <w:rFonts w:ascii="Calibri" w:cs="Calibri" w:eastAsia="Calibri" w:hAnsi="Calibri"/>
          <w:sz w:val="21"/>
          <w:szCs w:val="21"/>
        </w:rPr>
        <w:t xml:space="preserve">	10</w:t>
      </w:r>
    </w:p>
    <w:p>
      <w:pPr>
        <w:tabs>
          <w:tab w:val="right" w:pos="9026" w:leader="dot"/>
        </w:tabs>
        <w:spacing w:after="160"/>
      </w:pPr>
      <w:r>
        <w:rPr>
          <w:rFonts w:ascii="Calibri" w:cs="Calibri" w:eastAsia="Calibri" w:hAnsi="Calibri"/>
          <w:sz w:val="21"/>
          <w:szCs w:val="21"/>
        </w:rPr>
        <w:t xml:space="preserve">8. Category Analysis</w:t>
      </w:r>
      <w:r>
        <w:rPr>
          <w:rFonts w:ascii="Calibri" w:cs="Calibri" w:eastAsia="Calibri" w:hAnsi="Calibri"/>
          <w:sz w:val="21"/>
          <w:szCs w:val="21"/>
        </w:rPr>
        <w:t xml:space="preserve">	12</w:t>
      </w:r>
    </w:p>
    <w:p>
      <w:pPr>
        <w:tabs>
          <w:tab w:val="right" w:pos="9026" w:leader="dot"/>
        </w:tabs>
        <w:spacing w:after="160"/>
      </w:pPr>
      <w:r>
        <w:rPr>
          <w:rFonts w:ascii="Calibri" w:cs="Calibri" w:eastAsia="Calibri" w:hAnsi="Calibri"/>
          <w:sz w:val="21"/>
          <w:szCs w:val="21"/>
        </w:rPr>
        <w:t xml:space="preserve">9. Store &amp; Geographic Performance</w:t>
      </w:r>
      <w:r>
        <w:rPr>
          <w:rFonts w:ascii="Calibri" w:cs="Calibri" w:eastAsia="Calibri" w:hAnsi="Calibri"/>
          <w:sz w:val="21"/>
          <w:szCs w:val="21"/>
        </w:rPr>
        <w:t xml:space="preserve">	13</w:t>
      </w:r>
    </w:p>
    <w:p>
      <w:pPr>
        <w:tabs>
          <w:tab w:val="right" w:pos="9026" w:leader="dot"/>
        </w:tabs>
        <w:spacing w:after="160"/>
      </w:pPr>
      <w:r>
        <w:rPr>
          <w:rFonts w:ascii="Calibri" w:cs="Calibri" w:eastAsia="Calibri" w:hAnsi="Calibri"/>
          <w:sz w:val="21"/>
          <w:szCs w:val="21"/>
        </w:rPr>
        <w:t xml:space="preserve">10. Inventory Analysis</w:t>
      </w:r>
      <w:r>
        <w:rPr>
          <w:rFonts w:ascii="Calibri" w:cs="Calibri" w:eastAsia="Calibri" w:hAnsi="Calibri"/>
          <w:sz w:val="21"/>
          <w:szCs w:val="21"/>
        </w:rPr>
        <w:t xml:space="preserve">	15</w:t>
      </w:r>
    </w:p>
    <w:p>
      <w:pPr>
        <w:tabs>
          <w:tab w:val="right" w:pos="9026" w:leader="dot"/>
        </w:tabs>
        <w:spacing w:after="160"/>
      </w:pPr>
      <w:r>
        <w:rPr>
          <w:rFonts w:ascii="Calibri" w:cs="Calibri" w:eastAsia="Calibri" w:hAnsi="Calibri"/>
          <w:sz w:val="21"/>
          <w:szCs w:val="21"/>
        </w:rPr>
        <w:t xml:space="preserve">11. Profitability Analysis</w:t>
      </w:r>
      <w:r>
        <w:rPr>
          <w:rFonts w:ascii="Calibri" w:cs="Calibri" w:eastAsia="Calibri" w:hAnsi="Calibri"/>
          <w:sz w:val="21"/>
          <w:szCs w:val="21"/>
        </w:rPr>
        <w:t xml:space="preserve">	17</w:t>
      </w:r>
    </w:p>
    <w:p>
      <w:pPr>
        <w:tabs>
          <w:tab w:val="right" w:pos="9026" w:leader="dot"/>
        </w:tabs>
        <w:spacing w:after="160"/>
      </w:pPr>
      <w:r>
        <w:rPr>
          <w:rFonts w:ascii="Calibri" w:cs="Calibri" w:eastAsia="Calibri" w:hAnsi="Calibri"/>
          <w:sz w:val="21"/>
          <w:szCs w:val="21"/>
        </w:rPr>
        <w:t xml:space="preserve">12. Time / Seasonality Analysis</w:t>
      </w:r>
      <w:r>
        <w:rPr>
          <w:rFonts w:ascii="Calibri" w:cs="Calibri" w:eastAsia="Calibri" w:hAnsi="Calibri"/>
          <w:sz w:val="21"/>
          <w:szCs w:val="21"/>
        </w:rPr>
        <w:t xml:space="preserve">	18</w:t>
      </w:r>
    </w:p>
    <w:p>
      <w:pPr>
        <w:tabs>
          <w:tab w:val="right" w:pos="9026" w:leader="dot"/>
        </w:tabs>
        <w:spacing w:after="160"/>
      </w:pPr>
      <w:r>
        <w:rPr>
          <w:rFonts w:ascii="Calibri" w:cs="Calibri" w:eastAsia="Calibri" w:hAnsi="Calibri"/>
          <w:sz w:val="21"/>
          <w:szCs w:val="21"/>
        </w:rPr>
        <w:t xml:space="preserve">13. Answers to the Business Questions</w:t>
      </w:r>
      <w:r>
        <w:rPr>
          <w:rFonts w:ascii="Calibri" w:cs="Calibri" w:eastAsia="Calibri" w:hAnsi="Calibri"/>
          <w:sz w:val="21"/>
          <w:szCs w:val="21"/>
        </w:rPr>
        <w:t xml:space="preserve">	19</w:t>
      </w:r>
    </w:p>
    <w:p>
      <w:pPr>
        <w:tabs>
          <w:tab w:val="right" w:pos="9026" w:leader="dot"/>
        </w:tabs>
        <w:spacing w:after="160"/>
      </w:pPr>
      <w:r>
        <w:rPr>
          <w:rFonts w:ascii="Calibri" w:cs="Calibri" w:eastAsia="Calibri" w:hAnsi="Calibri"/>
          <w:sz w:val="21"/>
          <w:szCs w:val="21"/>
        </w:rPr>
        <w:t xml:space="preserve">14. Key Business Insights</w:t>
      </w:r>
      <w:r>
        <w:rPr>
          <w:rFonts w:ascii="Calibri" w:cs="Calibri" w:eastAsia="Calibri" w:hAnsi="Calibri"/>
          <w:sz w:val="21"/>
          <w:szCs w:val="21"/>
        </w:rPr>
        <w:t xml:space="preserve">	21</w:t>
      </w:r>
    </w:p>
    <w:p>
      <w:pPr>
        <w:tabs>
          <w:tab w:val="right" w:pos="9026" w:leader="dot"/>
        </w:tabs>
        <w:spacing w:after="160"/>
      </w:pPr>
      <w:r>
        <w:rPr>
          <w:rFonts w:ascii="Calibri" w:cs="Calibri" w:eastAsia="Calibri" w:hAnsi="Calibri"/>
          <w:sz w:val="21"/>
          <w:szCs w:val="21"/>
        </w:rPr>
        <w:t xml:space="preserve">15. Business Recommendations</w:t>
      </w:r>
      <w:r>
        <w:rPr>
          <w:rFonts w:ascii="Calibri" w:cs="Calibri" w:eastAsia="Calibri" w:hAnsi="Calibri"/>
          <w:sz w:val="21"/>
          <w:szCs w:val="21"/>
        </w:rPr>
        <w:t xml:space="preserve">	23</w:t>
      </w:r>
    </w:p>
    <w:p>
      <w:pPr>
        <w:tabs>
          <w:tab w:val="right" w:pos="9026" w:leader="dot"/>
        </w:tabs>
        <w:spacing w:after="160"/>
      </w:pPr>
      <w:r>
        <w:rPr>
          <w:rFonts w:ascii="Calibri" w:cs="Calibri" w:eastAsia="Calibri" w:hAnsi="Calibri"/>
          <w:sz w:val="21"/>
          <w:szCs w:val="21"/>
        </w:rPr>
        <w:t xml:space="preserve">16. Limitations</w:t>
      </w:r>
      <w:r>
        <w:rPr>
          <w:rFonts w:ascii="Calibri" w:cs="Calibri" w:eastAsia="Calibri" w:hAnsi="Calibri"/>
          <w:sz w:val="21"/>
          <w:szCs w:val="21"/>
        </w:rPr>
        <w:t xml:space="preserve">	25</w:t>
      </w:r>
    </w:p>
    <w:p>
      <w:pPr>
        <w:tabs>
          <w:tab w:val="right" w:pos="9026" w:leader="dot"/>
        </w:tabs>
        <w:spacing w:after="160"/>
      </w:pPr>
      <w:r>
        <w:rPr>
          <w:rFonts w:ascii="Calibri" w:cs="Calibri" w:eastAsia="Calibri" w:hAnsi="Calibri"/>
          <w:sz w:val="21"/>
          <w:szCs w:val="21"/>
        </w:rPr>
        <w:t xml:space="preserve">17. Conclusion</w:t>
      </w:r>
      <w:r>
        <w:rPr>
          <w:rFonts w:ascii="Calibri" w:cs="Calibri" w:eastAsia="Calibri" w:hAnsi="Calibri"/>
          <w:sz w:val="21"/>
          <w:szCs w:val="21"/>
        </w:rPr>
        <w:t xml:space="preserve">	26</w:t>
      </w:r>
    </w:p>
    <w:p>
      <w:r>
        <w:br w:type="page"/>
      </w:r>
    </w:p>
    <w:p>
      <w:pPr>
        <w:pStyle w:val="Heading1"/>
        <w:spacing w:after="180" w:before="360"/>
      </w:pPr>
      <w:r>
        <w:rPr>
          <w:rFonts w:ascii="Calibri" w:cs="Calibri" w:eastAsia="Calibri" w:hAnsi="Calibri"/>
          <w:b/>
          <w:bCs/>
          <w:color w:val="1F3864"/>
          <w:sz w:val="30"/>
          <w:szCs w:val="30"/>
        </w:rPr>
        <w:t xml:space="preserve">1. Executive Summary</w:t>
      </w:r>
    </w:p>
    <w:p>
      <w:pPr>
        <w:spacing w:after="160" w:line="276"/>
        <w:jc w:val="both"/>
      </w:pPr>
      <w:r>
        <w:rPr>
          <w:rFonts w:ascii="Calibri" w:cs="Calibri" w:eastAsia="Calibri" w:hAnsi="Calibri"/>
          <w:sz w:val="21"/>
          <w:szCs w:val="21"/>
        </w:rPr>
        <w:t xml:space="preserve">Maven Toys is a toy retailer operating a network of 50 stores across 29 cities in Mexico. This project analyzes 829,262 individual sales transactions recorded between January 2022 and September 2023, together with product, store, and inventory reference data, to understand how the business has performed and where opportunities and risks exist.</w:t>
      </w:r>
    </w:p>
    <w:p>
      <w:pPr>
        <w:spacing w:after="160" w:line="276"/>
        <w:jc w:val="both"/>
      </w:pPr>
      <w:r>
        <w:rPr>
          <w:rFonts w:ascii="Calibri" w:cs="Calibri" w:eastAsia="Calibri" w:hAnsi="Calibri"/>
          <w:sz w:val="21"/>
          <w:szCs w:val="21"/>
        </w:rPr>
        <w:t xml:space="preserve">Across the analysis period the business generated total revenue of $14,444,572.35 and total profit of $4,014,029.00, an overall profit margin of 27.79%, from 1,090,565 units sold across 35 products. Revenue and profit both trended upward over the two-and-a-half-year period, rising from a monthly low of $489,422.73 in August 2022 to a peak of $883,515.64 in March 2023, with December 2022 recorded as the strongest month for profit ($246,078.00).</w:t>
      </w:r>
    </w:p>
    <w:p>
      <w:pPr>
        <w:spacing w:after="160" w:line="276"/>
        <w:jc w:val="both"/>
      </w:pPr>
      <w:r>
        <w:rPr>
          <w:rFonts w:ascii="Calibri" w:cs="Calibri" w:eastAsia="Calibri" w:hAnsi="Calibri"/>
          <w:sz w:val="21"/>
          <w:szCs w:val="21"/>
        </w:rPr>
        <w:t xml:space="preserve">The Toys category is the largest revenue generator ($5,093,241.00) but carries the lowest category profit margin (21.20%), while Electronics, despite generating less than half the revenue of Toys, produced the highest category profit margin (44.57%). At the product level, Colorbuds stands out as the single most profitable product ($834,944.00 in profit at a 53.37% margin) despite not being the top revenue earner, while Lego Bricks generates the most revenue ($2,388,882.63) but at a comparatively thin 12.50% margin. Store performance is led by Maven Toys Ciudad de Mexico 2, which outperforms every other location on both revenue and profit.</w:t>
      </w:r>
    </w:p>
    <w:p>
      <w:pPr>
        <w:spacing w:after="160" w:line="276"/>
        <w:jc w:val="both"/>
      </w:pPr>
      <w:r>
        <w:rPr>
          <w:rFonts w:ascii="Calibri" w:cs="Calibri" w:eastAsia="Calibri" w:hAnsi="Calibri"/>
          <w:sz w:val="21"/>
          <w:szCs w:val="21"/>
        </w:rPr>
        <w:t xml:space="preserve">The inventory analysis identifies 226 store-product combinations (of 1,593 records) flagged for low inventory relative to sales, including several instances of fast-selling products such as Action Figure, Colorbuds, Dart Gun, Barrel O' Slime and Magic Sand recorded with very low stock on hand. These findings, together with detailed answers to all 27 business questions posed for this project, are presented in the sections that follow, along with data-driven recommendations for inventory planning, category strategy, and store-level performance management.</w:t>
      </w:r>
    </w:p>
    <w:p>
      <w:r>
        <w:br w:type="page"/>
      </w:r>
    </w:p>
    <w:p>
      <w:pPr>
        <w:pStyle w:val="Heading1"/>
        <w:spacing w:after="180" w:before="360"/>
      </w:pPr>
      <w:r>
        <w:rPr>
          <w:rFonts w:ascii="Calibri" w:cs="Calibri" w:eastAsia="Calibri" w:hAnsi="Calibri"/>
          <w:b/>
          <w:bCs/>
          <w:color w:val="1F3864"/>
          <w:sz w:val="30"/>
          <w:szCs w:val="30"/>
        </w:rPr>
        <w:t xml:space="preserve">2. Business Understanding</w:t>
      </w:r>
    </w:p>
    <w:p>
      <w:pPr>
        <w:pStyle w:val="Heading2"/>
        <w:spacing w:after="140" w:before="280"/>
      </w:pPr>
      <w:r>
        <w:rPr>
          <w:rFonts w:ascii="Calibri" w:cs="Calibri" w:eastAsia="Calibri" w:hAnsi="Calibri"/>
          <w:b/>
          <w:bCs/>
          <w:color w:val="2E74B5"/>
          <w:sz w:val="25"/>
          <w:szCs w:val="25"/>
        </w:rPr>
        <w:t xml:space="preserve">2.1 Business Context</w:t>
      </w:r>
    </w:p>
    <w:p>
      <w:pPr>
        <w:spacing w:after="160" w:line="276"/>
        <w:jc w:val="both"/>
      </w:pPr>
      <w:r>
        <w:rPr>
          <w:rFonts w:ascii="Calibri" w:cs="Calibri" w:eastAsia="Calibri" w:hAnsi="Calibri"/>
          <w:sz w:val="21"/>
          <w:szCs w:val="21"/>
        </w:rPr>
        <w:t xml:space="preserve">Maven Toys operates a chain of toy retail stores across multiple Mexican cities, selling products across five categories: Toys, Art &amp; Crafts, Electronics, Games, and Sports &amp; Outdoors. As with any multi-location retailer, management needs a clear, data-backed view of where revenue and profit are being generated, which products and stores are driving performance, and where inventory may be misaligned with actual demand.</w:t>
      </w:r>
    </w:p>
    <w:p>
      <w:pPr>
        <w:pStyle w:val="Heading2"/>
        <w:spacing w:after="140" w:before="280"/>
      </w:pPr>
      <w:r>
        <w:rPr>
          <w:rFonts w:ascii="Calibri" w:cs="Calibri" w:eastAsia="Calibri" w:hAnsi="Calibri"/>
          <w:b/>
          <w:bCs/>
          <w:color w:val="2E74B5"/>
          <w:sz w:val="25"/>
          <w:szCs w:val="25"/>
        </w:rPr>
        <w:t xml:space="preserve">2.2 Purpose of the Analysis</w:t>
      </w:r>
    </w:p>
    <w:p>
      <w:pPr>
        <w:spacing w:after="160" w:line="276"/>
        <w:jc w:val="both"/>
      </w:pPr>
      <w:r>
        <w:rPr>
          <w:rFonts w:ascii="Calibri" w:cs="Calibri" w:eastAsia="Calibri" w:hAnsi="Calibri"/>
          <w:sz w:val="21"/>
          <w:szCs w:val="21"/>
        </w:rPr>
        <w:t xml:space="preserve">This project analyzes the company's sales, product, store, and inventory data to translate raw transaction records into actionable business insight. The goal is not simply to describe the dataset, but to answer specific, practical business questions about sales performance, product profitability, store performance, inventory risk, and seasonality.</w:t>
      </w:r>
    </w:p>
    <w:p>
      <w:pPr>
        <w:pStyle w:val="Heading2"/>
        <w:spacing w:after="140" w:before="280"/>
      </w:pPr>
      <w:r>
        <w:rPr>
          <w:rFonts w:ascii="Calibri" w:cs="Calibri" w:eastAsia="Calibri" w:hAnsi="Calibri"/>
          <w:b/>
          <w:bCs/>
          <w:color w:val="2E74B5"/>
          <w:sz w:val="25"/>
          <w:szCs w:val="25"/>
        </w:rPr>
        <w:t xml:space="preserve">2.3 Business Objectives</w:t>
      </w:r>
    </w:p>
    <w:p>
      <w:pPr>
        <w:pStyle w:val="ListParagraph"/>
        <w:numPr>
          <w:ilvl w:val="0"/>
          <w:numId w:val="2"/>
        </w:numPr>
        <w:spacing w:after="90"/>
      </w:pPr>
      <w:r>
        <w:rPr>
          <w:rFonts w:ascii="Calibri" w:cs="Calibri" w:eastAsia="Calibri" w:hAnsi="Calibri"/>
          <w:sz w:val="21"/>
          <w:szCs w:val="21"/>
        </w:rPr>
        <w:t xml:space="preserve">Quantify overall sales and profit performance and how it has changed over time.</w:t>
      </w:r>
    </w:p>
    <w:p>
      <w:pPr>
        <w:pStyle w:val="ListParagraph"/>
        <w:numPr>
          <w:ilvl w:val="0"/>
          <w:numId w:val="2"/>
        </w:numPr>
        <w:spacing w:after="90"/>
      </w:pPr>
      <w:r>
        <w:rPr>
          <w:rFonts w:ascii="Calibri" w:cs="Calibri" w:eastAsia="Calibri" w:hAnsi="Calibri"/>
          <w:sz w:val="21"/>
          <w:szCs w:val="21"/>
        </w:rPr>
        <w:t xml:space="preserve">Identify which products and categories drive the most revenue and profit.</w:t>
      </w:r>
    </w:p>
    <w:p>
      <w:pPr>
        <w:pStyle w:val="ListParagraph"/>
        <w:numPr>
          <w:ilvl w:val="0"/>
          <w:numId w:val="2"/>
        </w:numPr>
        <w:spacing w:after="90"/>
      </w:pPr>
      <w:r>
        <w:rPr>
          <w:rFonts w:ascii="Calibri" w:cs="Calibri" w:eastAsia="Calibri" w:hAnsi="Calibri"/>
          <w:sz w:val="21"/>
          <w:szCs w:val="21"/>
        </w:rPr>
        <w:t xml:space="preserve">Identify which stores and locations are the strongest and weakest performers.</w:t>
      </w:r>
    </w:p>
    <w:p>
      <w:pPr>
        <w:pStyle w:val="ListParagraph"/>
        <w:numPr>
          <w:ilvl w:val="0"/>
          <w:numId w:val="2"/>
        </w:numPr>
        <w:spacing w:after="90"/>
      </w:pPr>
      <w:r>
        <w:rPr>
          <w:rFonts w:ascii="Calibri" w:cs="Calibri" w:eastAsia="Calibri" w:hAnsi="Calibri"/>
          <w:sz w:val="21"/>
          <w:szCs w:val="21"/>
        </w:rPr>
        <w:t xml:space="preserve">Flag products where inventory levels appear misaligned with sales velocity.</w:t>
      </w:r>
    </w:p>
    <w:p>
      <w:pPr>
        <w:pStyle w:val="ListParagraph"/>
        <w:numPr>
          <w:ilvl w:val="0"/>
          <w:numId w:val="2"/>
        </w:numPr>
        <w:spacing w:after="90"/>
      </w:pPr>
      <w:r>
        <w:rPr>
          <w:rFonts w:ascii="Calibri" w:cs="Calibri" w:eastAsia="Calibri" w:hAnsi="Calibri"/>
          <w:sz w:val="21"/>
          <w:szCs w:val="21"/>
        </w:rPr>
        <w:t xml:space="preserve">Translate the findings into concrete, evidence-based recommendations.</w:t>
      </w:r>
    </w:p>
    <w:p>
      <w:pPr>
        <w:pStyle w:val="Heading2"/>
        <w:spacing w:after="140" w:before="280"/>
      </w:pPr>
      <w:r>
        <w:rPr>
          <w:rFonts w:ascii="Calibri" w:cs="Calibri" w:eastAsia="Calibri" w:hAnsi="Calibri"/>
          <w:b/>
          <w:bCs/>
          <w:color w:val="2E74B5"/>
          <w:sz w:val="25"/>
          <w:szCs w:val="25"/>
        </w:rPr>
        <w:t xml:space="preserve">2.4 Key Questions</w:t>
      </w:r>
    </w:p>
    <w:p>
      <w:pPr>
        <w:spacing w:after="160" w:line="276"/>
        <w:jc w:val="both"/>
      </w:pPr>
      <w:r>
        <w:rPr>
          <w:rFonts w:ascii="Calibri" w:cs="Calibri" w:eastAsia="Calibri" w:hAnsi="Calibri"/>
          <w:sz w:val="21"/>
          <w:szCs w:val="21"/>
        </w:rPr>
        <w:t xml:space="preserve">The analysis is structured around 27 specific business questions covering sales performance, product performance, store performance, inventory, profitability, and time-based seasonality. These are answered individually in Section 13, "Answers to the Business Questions."</w:t>
      </w:r>
    </w:p>
    <w:p>
      <w:r>
        <w:br w:type="page"/>
      </w:r>
    </w:p>
    <w:p>
      <w:pPr>
        <w:pStyle w:val="Heading1"/>
        <w:spacing w:after="180" w:before="360"/>
      </w:pPr>
      <w:r>
        <w:rPr>
          <w:rFonts w:ascii="Calibri" w:cs="Calibri" w:eastAsia="Calibri" w:hAnsi="Calibri"/>
          <w:b/>
          <w:bCs/>
          <w:color w:val="1F3864"/>
          <w:sz w:val="30"/>
          <w:szCs w:val="30"/>
        </w:rPr>
        <w:t xml:space="preserve">3. Dataset Description</w:t>
      </w:r>
    </w:p>
    <w:p>
      <w:pPr>
        <w:spacing w:after="160" w:line="276"/>
        <w:jc w:val="both"/>
      </w:pPr>
      <w:r>
        <w:rPr>
          <w:rFonts w:ascii="Calibri" w:cs="Calibri" w:eastAsia="Calibri" w:hAnsi="Calibri"/>
          <w:sz w:val="21"/>
          <w:szCs w:val="21"/>
        </w:rPr>
        <w:t xml:space="preserve">The analysis draws on a processed retail dataset covering Maven Toys' operations from January 1, 2022 through September 30, 2023 (21 months). The core table is a sales fact table, supplemented by product, store, and inventory reference data.</w:t>
      </w:r>
    </w:p>
    <w:p>
      <w:pPr>
        <w:pStyle w:val="Heading2"/>
        <w:spacing w:after="140" w:before="280"/>
      </w:pPr>
      <w:r>
        <w:rPr>
          <w:rFonts w:ascii="Calibri" w:cs="Calibri" w:eastAsia="Calibri" w:hAnsi="Calibri"/>
          <w:b/>
          <w:bCs/>
          <w:color w:val="2E74B5"/>
          <w:sz w:val="25"/>
          <w:szCs w:val="25"/>
        </w:rPr>
        <w:t xml:space="preserve">3.1 Tables Used</w:t>
      </w:r>
    </w:p>
    <w:tbl>
      <w:tblPr>
        <w:tblW w:type="dxa" w:w="9700"/>
        <w:tblBorders>
          <w:top w:val="single" w:color="BFBFBF" w:sz="4"/>
          <w:left w:val="single" w:color="BFBFBF" w:sz="4"/>
          <w:bottom w:val="single" w:color="BFBFBF" w:sz="4"/>
          <w:right w:val="single" w:color="BFBFBF" w:sz="4"/>
          <w:insideH w:val="single" w:color="D9D9D9" w:sz="2"/>
          <w:insideV w:val="single" w:color="D9D9D9" w:sz="2"/>
        </w:tblBorders>
      </w:tblPr>
      <w:tblGrid>
        <w:gridCol w:w="3000"/>
        <w:gridCol w:w="5300"/>
        <w:gridCol w:w="1400"/>
      </w:tblGrid>
      <w:tr>
        <w:trPr>
          <w:tblHeader/>
        </w:trPr>
        <w:tc>
          <w:tcPr>
            <w:tcW w:type="dxa" w:w="3000"/>
            <w:shd w:fill="1F3864" w:val="clear"/>
            <w:tcMar>
              <w:top w:type="dxa" w:w="60"/>
              <w:left w:type="dxa" w:w="90"/>
              <w:bottom w:type="dxa" w:w="60"/>
              <w:right w:type="dxa" w:w="90"/>
            </w:tcMar>
            <w:vAlign w:val="center"/>
          </w:tcPr>
          <w:p>
            <w:pPr>
              <w:jc w:val="center"/>
            </w:pPr>
            <w:r>
              <w:rPr>
                <w:rFonts w:ascii="Calibri" w:cs="Calibri" w:eastAsia="Calibri" w:hAnsi="Calibri"/>
                <w:b/>
                <w:bCs/>
                <w:color w:val="FFFFFF"/>
                <w:sz w:val="18"/>
                <w:szCs w:val="18"/>
              </w:rPr>
              <w:t xml:space="preserve">Table</w:t>
            </w:r>
          </w:p>
        </w:tc>
        <w:tc>
          <w:tcPr>
            <w:tcW w:type="dxa" w:w="5300"/>
            <w:shd w:fill="1F3864" w:val="clear"/>
            <w:tcMar>
              <w:top w:type="dxa" w:w="60"/>
              <w:left w:type="dxa" w:w="90"/>
              <w:bottom w:type="dxa" w:w="60"/>
              <w:right w:type="dxa" w:w="90"/>
            </w:tcMar>
            <w:vAlign w:val="center"/>
          </w:tcPr>
          <w:p>
            <w:pPr>
              <w:jc w:val="center"/>
            </w:pPr>
            <w:r>
              <w:rPr>
                <w:rFonts w:ascii="Calibri" w:cs="Calibri" w:eastAsia="Calibri" w:hAnsi="Calibri"/>
                <w:b/>
                <w:bCs/>
                <w:color w:val="FFFFFF"/>
                <w:sz w:val="18"/>
                <w:szCs w:val="18"/>
              </w:rPr>
              <w:t xml:space="preserve">Description</w:t>
            </w:r>
          </w:p>
        </w:tc>
        <w:tc>
          <w:tcPr>
            <w:tcW w:type="dxa" w:w="1400"/>
            <w:shd w:fill="1F3864" w:val="clear"/>
            <w:tcMar>
              <w:top w:type="dxa" w:w="60"/>
              <w:left w:type="dxa" w:w="90"/>
              <w:bottom w:type="dxa" w:w="60"/>
              <w:right w:type="dxa" w:w="90"/>
            </w:tcMar>
            <w:vAlign w:val="center"/>
          </w:tcPr>
          <w:p>
            <w:pPr>
              <w:jc w:val="center"/>
            </w:pPr>
            <w:r>
              <w:rPr>
                <w:rFonts w:ascii="Calibri" w:cs="Calibri" w:eastAsia="Calibri" w:hAnsi="Calibri"/>
                <w:b/>
                <w:bCs/>
                <w:color w:val="FFFFFF"/>
                <w:sz w:val="18"/>
                <w:szCs w:val="18"/>
              </w:rPr>
              <w:t xml:space="preserve">Records</w:t>
            </w:r>
          </w:p>
        </w:tc>
      </w:tr>
      <w:tr>
        <w:tc>
          <w:tcPr>
            <w:tcW w:type="dxa" w:w="3000"/>
            <w:tcMar>
              <w:top w:type="dxa" w:w="60"/>
              <w:left w:type="dxa" w:w="90"/>
              <w:bottom w:type="dxa" w:w="60"/>
              <w:right w:type="dxa" w:w="90"/>
            </w:tcMar>
            <w:vAlign w:val="center"/>
          </w:tcPr>
          <w:p>
            <w:pPr>
              <w:jc w:val="left"/>
            </w:pPr>
            <w:r>
              <w:rPr>
                <w:rFonts w:ascii="Calibri" w:cs="Calibri" w:eastAsia="Calibri" w:hAnsi="Calibri"/>
                <w:color w:val="000000"/>
                <w:sz w:val="18"/>
                <w:szCs w:val="18"/>
              </w:rPr>
              <w:t xml:space="preserve">sales_fact.csv</w:t>
            </w:r>
          </w:p>
        </w:tc>
        <w:tc>
          <w:tcPr>
            <w:tcW w:type="dxa" w:w="5300"/>
            <w:tcMar>
              <w:top w:type="dxa" w:w="60"/>
              <w:left w:type="dxa" w:w="90"/>
              <w:bottom w:type="dxa" w:w="60"/>
              <w:right w:type="dxa" w:w="90"/>
            </w:tcMar>
            <w:vAlign w:val="center"/>
          </w:tcPr>
          <w:p>
            <w:pPr>
              <w:jc w:val="center"/>
            </w:pPr>
            <w:r>
              <w:rPr>
                <w:rFonts w:ascii="Calibri" w:cs="Calibri" w:eastAsia="Calibri" w:hAnsi="Calibri"/>
                <w:color w:val="000000"/>
                <w:sz w:val="18"/>
                <w:szCs w:val="18"/>
              </w:rPr>
              <w:t xml:space="preserve">Transaction-level sales fact table: one row per sale, with store, product, date, revenue, cost, profit and profit margin</w:t>
            </w:r>
          </w:p>
        </w:tc>
        <w:tc>
          <w:tcPr>
            <w:tcW w:type="dxa" w:w="1400"/>
            <w:tcMar>
              <w:top w:type="dxa" w:w="60"/>
              <w:left w:type="dxa" w:w="90"/>
              <w:bottom w:type="dxa" w:w="60"/>
              <w:right w:type="dxa" w:w="90"/>
            </w:tcMar>
            <w:vAlign w:val="center"/>
          </w:tcPr>
          <w:p>
            <w:pPr>
              <w:jc w:val="center"/>
            </w:pPr>
            <w:r>
              <w:rPr>
                <w:rFonts w:ascii="Calibri" w:cs="Calibri" w:eastAsia="Calibri" w:hAnsi="Calibri"/>
                <w:color w:val="000000"/>
                <w:sz w:val="18"/>
                <w:szCs w:val="18"/>
              </w:rPr>
              <w:t xml:space="preserve">829,262</w:t>
            </w:r>
          </w:p>
        </w:tc>
      </w:tr>
      <w:tr>
        <w:tc>
          <w:tcPr>
            <w:tcW w:type="dxa" w:w="3000"/>
            <w:shd w:fill="F2F2F2" w:val="clear"/>
            <w:tcMar>
              <w:top w:type="dxa" w:w="60"/>
              <w:left w:type="dxa" w:w="90"/>
              <w:bottom w:type="dxa" w:w="60"/>
              <w:right w:type="dxa" w:w="90"/>
            </w:tcMar>
            <w:vAlign w:val="center"/>
          </w:tcPr>
          <w:p>
            <w:pPr>
              <w:jc w:val="left"/>
            </w:pPr>
            <w:r>
              <w:rPr>
                <w:rFonts w:ascii="Calibri" w:cs="Calibri" w:eastAsia="Calibri" w:hAnsi="Calibri"/>
                <w:color w:val="000000"/>
                <w:sz w:val="18"/>
                <w:szCs w:val="18"/>
              </w:rPr>
              <w:t xml:space="preserve">product_performance.csv</w:t>
            </w:r>
          </w:p>
        </w:tc>
        <w:tc>
          <w:tcPr>
            <w:tcW w:type="dxa" w:w="5300"/>
            <w:shd w:fill="F2F2F2" w:val="clear"/>
            <w:tcMar>
              <w:top w:type="dxa" w:w="60"/>
              <w:left w:type="dxa" w:w="90"/>
              <w:bottom w:type="dxa" w:w="60"/>
              <w:right w:type="dxa" w:w="90"/>
            </w:tcMar>
            <w:vAlign w:val="center"/>
          </w:tcPr>
          <w:p>
            <w:pPr>
              <w:jc w:val="center"/>
            </w:pPr>
            <w:r>
              <w:rPr>
                <w:rFonts w:ascii="Calibri" w:cs="Calibri" w:eastAsia="Calibri" w:hAnsi="Calibri"/>
                <w:color w:val="000000"/>
                <w:sz w:val="18"/>
                <w:szCs w:val="18"/>
              </w:rPr>
              <w:t xml:space="preserve">Aggregated revenue, profit, units and margin by product</w:t>
            </w:r>
          </w:p>
        </w:tc>
        <w:tc>
          <w:tcPr>
            <w:tcW w:type="dxa" w:w="1400"/>
            <w:shd w:fill="F2F2F2" w:val="clear"/>
            <w:tcMar>
              <w:top w:type="dxa" w:w="60"/>
              <w:left w:type="dxa" w:w="90"/>
              <w:bottom w:type="dxa" w:w="60"/>
              <w:right w:type="dxa" w:w="90"/>
            </w:tcMar>
            <w:vAlign w:val="center"/>
          </w:tcPr>
          <w:p>
            <w:pPr>
              <w:jc w:val="center"/>
            </w:pPr>
            <w:r>
              <w:rPr>
                <w:rFonts w:ascii="Calibri" w:cs="Calibri" w:eastAsia="Calibri" w:hAnsi="Calibri"/>
                <w:color w:val="000000"/>
                <w:sz w:val="18"/>
                <w:szCs w:val="18"/>
              </w:rPr>
              <w:t xml:space="preserve">35</w:t>
            </w:r>
          </w:p>
        </w:tc>
      </w:tr>
      <w:tr>
        <w:tc>
          <w:tcPr>
            <w:tcW w:type="dxa" w:w="3000"/>
            <w:tcMar>
              <w:top w:type="dxa" w:w="60"/>
              <w:left w:type="dxa" w:w="90"/>
              <w:bottom w:type="dxa" w:w="60"/>
              <w:right w:type="dxa" w:w="90"/>
            </w:tcMar>
            <w:vAlign w:val="center"/>
          </w:tcPr>
          <w:p>
            <w:pPr>
              <w:jc w:val="left"/>
            </w:pPr>
            <w:r>
              <w:rPr>
                <w:rFonts w:ascii="Calibri" w:cs="Calibri" w:eastAsia="Calibri" w:hAnsi="Calibri"/>
                <w:color w:val="000000"/>
                <w:sz w:val="18"/>
                <w:szCs w:val="18"/>
              </w:rPr>
              <w:t xml:space="preserve">category_performance.csv</w:t>
            </w:r>
          </w:p>
        </w:tc>
        <w:tc>
          <w:tcPr>
            <w:tcW w:type="dxa" w:w="5300"/>
            <w:tcMar>
              <w:top w:type="dxa" w:w="60"/>
              <w:left w:type="dxa" w:w="90"/>
              <w:bottom w:type="dxa" w:w="60"/>
              <w:right w:type="dxa" w:w="90"/>
            </w:tcMar>
            <w:vAlign w:val="center"/>
          </w:tcPr>
          <w:p>
            <w:pPr>
              <w:jc w:val="center"/>
            </w:pPr>
            <w:r>
              <w:rPr>
                <w:rFonts w:ascii="Calibri" w:cs="Calibri" w:eastAsia="Calibri" w:hAnsi="Calibri"/>
                <w:color w:val="000000"/>
                <w:sz w:val="18"/>
                <w:szCs w:val="18"/>
              </w:rPr>
              <w:t xml:space="preserve">Aggregated revenue, profit, units and margin by product category</w:t>
            </w:r>
          </w:p>
        </w:tc>
        <w:tc>
          <w:tcPr>
            <w:tcW w:type="dxa" w:w="1400"/>
            <w:tcMar>
              <w:top w:type="dxa" w:w="60"/>
              <w:left w:type="dxa" w:w="90"/>
              <w:bottom w:type="dxa" w:w="60"/>
              <w:right w:type="dxa" w:w="90"/>
            </w:tcMar>
            <w:vAlign w:val="center"/>
          </w:tcPr>
          <w:p>
            <w:pPr>
              <w:jc w:val="center"/>
            </w:pPr>
            <w:r>
              <w:rPr>
                <w:rFonts w:ascii="Calibri" w:cs="Calibri" w:eastAsia="Calibri" w:hAnsi="Calibri"/>
                <w:color w:val="000000"/>
                <w:sz w:val="18"/>
                <w:szCs w:val="18"/>
              </w:rPr>
              <w:t xml:space="preserve">5</w:t>
            </w:r>
          </w:p>
        </w:tc>
      </w:tr>
      <w:tr>
        <w:tc>
          <w:tcPr>
            <w:tcW w:type="dxa" w:w="3000"/>
            <w:shd w:fill="F2F2F2" w:val="clear"/>
            <w:tcMar>
              <w:top w:type="dxa" w:w="60"/>
              <w:left w:type="dxa" w:w="90"/>
              <w:bottom w:type="dxa" w:w="60"/>
              <w:right w:type="dxa" w:w="90"/>
            </w:tcMar>
            <w:vAlign w:val="center"/>
          </w:tcPr>
          <w:p>
            <w:pPr>
              <w:jc w:val="left"/>
            </w:pPr>
            <w:r>
              <w:rPr>
                <w:rFonts w:ascii="Calibri" w:cs="Calibri" w:eastAsia="Calibri" w:hAnsi="Calibri"/>
                <w:color w:val="000000"/>
                <w:sz w:val="18"/>
                <w:szCs w:val="18"/>
              </w:rPr>
              <w:t xml:space="preserve">store_performance.csv</w:t>
            </w:r>
          </w:p>
        </w:tc>
        <w:tc>
          <w:tcPr>
            <w:tcW w:type="dxa" w:w="5300"/>
            <w:shd w:fill="F2F2F2" w:val="clear"/>
            <w:tcMar>
              <w:top w:type="dxa" w:w="60"/>
              <w:left w:type="dxa" w:w="90"/>
              <w:bottom w:type="dxa" w:w="60"/>
              <w:right w:type="dxa" w:w="90"/>
            </w:tcMar>
            <w:vAlign w:val="center"/>
          </w:tcPr>
          <w:p>
            <w:pPr>
              <w:jc w:val="center"/>
            </w:pPr>
            <w:r>
              <w:rPr>
                <w:rFonts w:ascii="Calibri" w:cs="Calibri" w:eastAsia="Calibri" w:hAnsi="Calibri"/>
                <w:color w:val="000000"/>
                <w:sz w:val="18"/>
                <w:szCs w:val="18"/>
              </w:rPr>
              <w:t xml:space="preserve">Aggregated revenue, profit, units and margin by store</w:t>
            </w:r>
          </w:p>
        </w:tc>
        <w:tc>
          <w:tcPr>
            <w:tcW w:type="dxa" w:w="1400"/>
            <w:shd w:fill="F2F2F2" w:val="clear"/>
            <w:tcMar>
              <w:top w:type="dxa" w:w="60"/>
              <w:left w:type="dxa" w:w="90"/>
              <w:bottom w:type="dxa" w:w="60"/>
              <w:right w:type="dxa" w:w="90"/>
            </w:tcMar>
            <w:vAlign w:val="center"/>
          </w:tcPr>
          <w:p>
            <w:pPr>
              <w:jc w:val="center"/>
            </w:pPr>
            <w:r>
              <w:rPr>
                <w:rFonts w:ascii="Calibri" w:cs="Calibri" w:eastAsia="Calibri" w:hAnsi="Calibri"/>
                <w:color w:val="000000"/>
                <w:sz w:val="18"/>
                <w:szCs w:val="18"/>
              </w:rPr>
              <w:t xml:space="preserve">50</w:t>
            </w:r>
          </w:p>
        </w:tc>
      </w:tr>
      <w:tr>
        <w:tc>
          <w:tcPr>
            <w:tcW w:type="dxa" w:w="3000"/>
            <w:tcMar>
              <w:top w:type="dxa" w:w="60"/>
              <w:left w:type="dxa" w:w="90"/>
              <w:bottom w:type="dxa" w:w="60"/>
              <w:right w:type="dxa" w:w="90"/>
            </w:tcMar>
            <w:vAlign w:val="center"/>
          </w:tcPr>
          <w:p>
            <w:pPr>
              <w:jc w:val="left"/>
            </w:pPr>
            <w:r>
              <w:rPr>
                <w:rFonts w:ascii="Calibri" w:cs="Calibri" w:eastAsia="Calibri" w:hAnsi="Calibri"/>
                <w:color w:val="000000"/>
                <w:sz w:val="18"/>
                <w:szCs w:val="18"/>
              </w:rPr>
              <w:t xml:space="preserve">monthly_sales.csv</w:t>
            </w:r>
          </w:p>
        </w:tc>
        <w:tc>
          <w:tcPr>
            <w:tcW w:type="dxa" w:w="5300"/>
            <w:tcMar>
              <w:top w:type="dxa" w:w="60"/>
              <w:left w:type="dxa" w:w="90"/>
              <w:bottom w:type="dxa" w:w="60"/>
              <w:right w:type="dxa" w:w="90"/>
            </w:tcMar>
            <w:vAlign w:val="center"/>
          </w:tcPr>
          <w:p>
            <w:pPr>
              <w:jc w:val="center"/>
            </w:pPr>
            <w:r>
              <w:rPr>
                <w:rFonts w:ascii="Calibri" w:cs="Calibri" w:eastAsia="Calibri" w:hAnsi="Calibri"/>
                <w:color w:val="000000"/>
                <w:sz w:val="18"/>
                <w:szCs w:val="18"/>
              </w:rPr>
              <w:t xml:space="preserve">Aggregated revenue, profit and units by calendar month</w:t>
            </w:r>
          </w:p>
        </w:tc>
        <w:tc>
          <w:tcPr>
            <w:tcW w:type="dxa" w:w="1400"/>
            <w:tcMar>
              <w:top w:type="dxa" w:w="60"/>
              <w:left w:type="dxa" w:w="90"/>
              <w:bottom w:type="dxa" w:w="60"/>
              <w:right w:type="dxa" w:w="90"/>
            </w:tcMar>
            <w:vAlign w:val="center"/>
          </w:tcPr>
          <w:p>
            <w:pPr>
              <w:jc w:val="center"/>
            </w:pPr>
            <w:r>
              <w:rPr>
                <w:rFonts w:ascii="Calibri" w:cs="Calibri" w:eastAsia="Calibri" w:hAnsi="Calibri"/>
                <w:color w:val="000000"/>
                <w:sz w:val="18"/>
                <w:szCs w:val="18"/>
              </w:rPr>
              <w:t xml:space="preserve">21</w:t>
            </w:r>
          </w:p>
        </w:tc>
      </w:tr>
      <w:tr>
        <w:tc>
          <w:tcPr>
            <w:tcW w:type="dxa" w:w="3000"/>
            <w:shd w:fill="F2F2F2" w:val="clear"/>
            <w:tcMar>
              <w:top w:type="dxa" w:w="60"/>
              <w:left w:type="dxa" w:w="90"/>
              <w:bottom w:type="dxa" w:w="60"/>
              <w:right w:type="dxa" w:w="90"/>
            </w:tcMar>
            <w:vAlign w:val="center"/>
          </w:tcPr>
          <w:p>
            <w:pPr>
              <w:jc w:val="left"/>
            </w:pPr>
            <w:r>
              <w:rPr>
                <w:rFonts w:ascii="Calibri" w:cs="Calibri" w:eastAsia="Calibri" w:hAnsi="Calibri"/>
                <w:color w:val="000000"/>
                <w:sz w:val="18"/>
                <w:szCs w:val="18"/>
              </w:rPr>
              <w:t xml:space="preserve">inventory_analysis.csv</w:t>
            </w:r>
          </w:p>
        </w:tc>
        <w:tc>
          <w:tcPr>
            <w:tcW w:type="dxa" w:w="5300"/>
            <w:shd w:fill="F2F2F2" w:val="clear"/>
            <w:tcMar>
              <w:top w:type="dxa" w:w="60"/>
              <w:left w:type="dxa" w:w="90"/>
              <w:bottom w:type="dxa" w:w="60"/>
              <w:right w:type="dxa" w:w="90"/>
            </w:tcMar>
            <w:vAlign w:val="center"/>
          </w:tcPr>
          <w:p>
            <w:pPr>
              <w:jc w:val="center"/>
            </w:pPr>
            <w:r>
              <w:rPr>
                <w:rFonts w:ascii="Calibri" w:cs="Calibri" w:eastAsia="Calibri" w:hAnsi="Calibri"/>
                <w:color w:val="000000"/>
                <w:sz w:val="18"/>
                <w:szCs w:val="18"/>
              </w:rPr>
              <w:t xml:space="preserve">Store-product level stock on hand, units sold, and sales velocity</w:t>
            </w:r>
          </w:p>
        </w:tc>
        <w:tc>
          <w:tcPr>
            <w:tcW w:type="dxa" w:w="1400"/>
            <w:shd w:fill="F2F2F2" w:val="clear"/>
            <w:tcMar>
              <w:top w:type="dxa" w:w="60"/>
              <w:left w:type="dxa" w:w="90"/>
              <w:bottom w:type="dxa" w:w="60"/>
              <w:right w:type="dxa" w:w="90"/>
            </w:tcMar>
            <w:vAlign w:val="center"/>
          </w:tcPr>
          <w:p>
            <w:pPr>
              <w:jc w:val="center"/>
            </w:pPr>
            <w:r>
              <w:rPr>
                <w:rFonts w:ascii="Calibri" w:cs="Calibri" w:eastAsia="Calibri" w:hAnsi="Calibri"/>
                <w:color w:val="000000"/>
                <w:sz w:val="18"/>
                <w:szCs w:val="18"/>
              </w:rPr>
              <w:t xml:space="preserve">1,593</w:t>
            </w:r>
          </w:p>
        </w:tc>
      </w:tr>
      <w:tr>
        <w:tc>
          <w:tcPr>
            <w:tcW w:type="dxa" w:w="3000"/>
            <w:tcMar>
              <w:top w:type="dxa" w:w="60"/>
              <w:left w:type="dxa" w:w="90"/>
              <w:bottom w:type="dxa" w:w="60"/>
              <w:right w:type="dxa" w:w="90"/>
            </w:tcMar>
            <w:vAlign w:val="center"/>
          </w:tcPr>
          <w:p>
            <w:pPr>
              <w:jc w:val="left"/>
            </w:pPr>
            <w:r>
              <w:rPr>
                <w:rFonts w:ascii="Calibri" w:cs="Calibri" w:eastAsia="Calibri" w:hAnsi="Calibri"/>
                <w:color w:val="000000"/>
                <w:sz w:val="18"/>
                <w:szCs w:val="18"/>
              </w:rPr>
              <w:t xml:space="preserve">data_quality_audit.csv</w:t>
            </w:r>
          </w:p>
        </w:tc>
        <w:tc>
          <w:tcPr>
            <w:tcW w:type="dxa" w:w="5300"/>
            <w:tcMar>
              <w:top w:type="dxa" w:w="60"/>
              <w:left w:type="dxa" w:w="90"/>
              <w:bottom w:type="dxa" w:w="60"/>
              <w:right w:type="dxa" w:w="90"/>
            </w:tcMar>
            <w:vAlign w:val="center"/>
          </w:tcPr>
          <w:p>
            <w:pPr>
              <w:jc w:val="center"/>
            </w:pPr>
            <w:r>
              <w:rPr>
                <w:rFonts w:ascii="Calibri" w:cs="Calibri" w:eastAsia="Calibri" w:hAnsi="Calibri"/>
                <w:color w:val="000000"/>
                <w:sz w:val="18"/>
                <w:szCs w:val="18"/>
              </w:rPr>
              <w:t xml:space="preserve">Row counts, duplicate counts and missing-value counts by table, used to verify data cleanliness</w:t>
            </w:r>
          </w:p>
        </w:tc>
        <w:tc>
          <w:tcPr>
            <w:tcW w:type="dxa" w:w="1400"/>
            <w:tcMar>
              <w:top w:type="dxa" w:w="60"/>
              <w:left w:type="dxa" w:w="90"/>
              <w:bottom w:type="dxa" w:w="60"/>
              <w:right w:type="dxa" w:w="90"/>
            </w:tcMar>
            <w:vAlign w:val="center"/>
          </w:tcPr>
          <w:p>
            <w:pPr>
              <w:jc w:val="center"/>
            </w:pPr>
            <w:r>
              <w:rPr>
                <w:rFonts w:ascii="Calibri" w:cs="Calibri" w:eastAsia="Calibri" w:hAnsi="Calibri"/>
                <w:color w:val="000000"/>
                <w:sz w:val="18"/>
                <w:szCs w:val="18"/>
              </w:rPr>
              <w:t xml:space="preserve">4</w:t>
            </w:r>
          </w:p>
        </w:tc>
      </w:tr>
    </w:tbl>
    <w:p>
      <w:pPr>
        <w:spacing w:after="200"/>
      </w:pPr>
    </w:p>
    <w:p>
      <w:pPr>
        <w:pStyle w:val="Heading2"/>
        <w:spacing w:after="140" w:before="280"/>
      </w:pPr>
      <w:r>
        <w:rPr>
          <w:rFonts w:ascii="Calibri" w:cs="Calibri" w:eastAsia="Calibri" w:hAnsi="Calibri"/>
          <w:b/>
          <w:bCs/>
          <w:color w:val="2E74B5"/>
          <w:sz w:val="25"/>
          <w:szCs w:val="25"/>
        </w:rPr>
        <w:t xml:space="preserve">3.2 Important Columns</w:t>
      </w:r>
    </w:p>
    <w:p>
      <w:pPr>
        <w:spacing w:after="160" w:line="276"/>
        <w:jc w:val="both"/>
      </w:pPr>
      <w:r>
        <w:rPr>
          <w:rFonts w:ascii="Calibri" w:cs="Calibri" w:eastAsia="Calibri" w:hAnsi="Calibri"/>
          <w:sz w:val="21"/>
          <w:szCs w:val="21"/>
        </w:rPr>
        <w:t xml:space="preserve">The sales fact table (sales_fact.csv) contains, among others, the following fields used throughout this analysis:</w:t>
      </w:r>
    </w:p>
    <w:p>
      <w:pPr>
        <w:pStyle w:val="ListParagraph"/>
        <w:numPr>
          <w:ilvl w:val="0"/>
          <w:numId w:val="2"/>
        </w:numPr>
        <w:spacing w:after="90"/>
      </w:pPr>
      <w:r>
        <w:rPr>
          <w:rFonts w:ascii="Calibri" w:cs="Calibri" w:eastAsia="Calibri" w:hAnsi="Calibri"/>
          <w:sz w:val="21"/>
          <w:szCs w:val="21"/>
        </w:rPr>
        <w:t xml:space="preserve">date, year, month, month_name, year_month, quarter, day_of_week — time dimensions used for trend and seasonality analysis</w:t>
      </w:r>
    </w:p>
    <w:p>
      <w:pPr>
        <w:pStyle w:val="ListParagraph"/>
        <w:numPr>
          <w:ilvl w:val="0"/>
          <w:numId w:val="2"/>
        </w:numPr>
        <w:spacing w:after="90"/>
      </w:pPr>
      <w:r>
        <w:rPr>
          <w:rFonts w:ascii="Calibri" w:cs="Calibri" w:eastAsia="Calibri" w:hAnsi="Calibri"/>
          <w:sz w:val="21"/>
          <w:szCs w:val="21"/>
        </w:rPr>
        <w:t xml:space="preserve">store_id, store_name, store_city, store_location, store_open_date — store dimensions</w:t>
      </w:r>
    </w:p>
    <w:p>
      <w:pPr>
        <w:pStyle w:val="ListParagraph"/>
        <w:numPr>
          <w:ilvl w:val="0"/>
          <w:numId w:val="2"/>
        </w:numPr>
        <w:spacing w:after="90"/>
      </w:pPr>
      <w:r>
        <w:rPr>
          <w:rFonts w:ascii="Calibri" w:cs="Calibri" w:eastAsia="Calibri" w:hAnsi="Calibri"/>
          <w:sz w:val="21"/>
          <w:szCs w:val="21"/>
        </w:rPr>
        <w:t xml:space="preserve">product_id, product_name, product_category, product_cost, product_price — product dimensions</w:t>
      </w:r>
    </w:p>
    <w:p>
      <w:pPr>
        <w:pStyle w:val="ListParagraph"/>
        <w:numPr>
          <w:ilvl w:val="0"/>
          <w:numId w:val="2"/>
        </w:numPr>
        <w:spacing w:after="90"/>
      </w:pPr>
      <w:r>
        <w:rPr>
          <w:rFonts w:ascii="Calibri" w:cs="Calibri" w:eastAsia="Calibri" w:hAnsi="Calibri"/>
          <w:sz w:val="21"/>
          <w:szCs w:val="21"/>
        </w:rPr>
        <w:t xml:space="preserve">units, revenue, cost, profit, profit_margin — the core transaction-level performance measures</w:t>
      </w:r>
    </w:p>
    <w:p>
      <w:pPr>
        <w:pStyle w:val="Heading2"/>
        <w:spacing w:after="140" w:before="280"/>
      </w:pPr>
      <w:r>
        <w:rPr>
          <w:rFonts w:ascii="Calibri" w:cs="Calibri" w:eastAsia="Calibri" w:hAnsi="Calibri"/>
          <w:b/>
          <w:bCs/>
          <w:color w:val="2E74B5"/>
          <w:sz w:val="25"/>
          <w:szCs w:val="25"/>
        </w:rPr>
        <w:t xml:space="preserve">3.3 Date Range and Relationships</w:t>
      </w:r>
    </w:p>
    <w:p>
      <w:pPr>
        <w:spacing w:after="160" w:line="276"/>
        <w:jc w:val="both"/>
      </w:pPr>
      <w:r>
        <w:rPr>
          <w:rFonts w:ascii="Calibri" w:cs="Calibri" w:eastAsia="Calibri" w:hAnsi="Calibri"/>
          <w:sz w:val="21"/>
          <w:szCs w:val="21"/>
        </w:rPr>
        <w:t xml:space="preserve">The sales fact table spans 2022-01-01 to 2023-09-30. Each sales record links to a product (via product_id/product_name and product_category) and a store (via store_id/store_name, store_city and store_location), which is how category-, store-, and city-level aggregates in this report were produced. The inventory table links to the same product and store identifiers, allowing stock on hand to be compared against actual units sold for each store-product combination.</w:t>
      </w:r>
    </w:p>
    <w:p>
      <w:r>
        <w:br w:type="page"/>
      </w:r>
    </w:p>
    <w:p>
      <w:pPr>
        <w:pStyle w:val="Heading1"/>
        <w:spacing w:after="180" w:before="360"/>
      </w:pPr>
      <w:r>
        <w:rPr>
          <w:rFonts w:ascii="Calibri" w:cs="Calibri" w:eastAsia="Calibri" w:hAnsi="Calibri"/>
          <w:b/>
          <w:bCs/>
          <w:color w:val="1F3864"/>
          <w:sz w:val="30"/>
          <w:szCs w:val="30"/>
        </w:rPr>
        <w:t xml:space="preserve">4. Data Quality &amp; Preparation</w:t>
      </w:r>
    </w:p>
    <w:p>
      <w:pPr>
        <w:spacing w:after="160" w:line="276"/>
        <w:jc w:val="both"/>
      </w:pPr>
      <w:r>
        <w:rPr>
          <w:rFonts w:ascii="Calibri" w:cs="Calibri" w:eastAsia="Calibri" w:hAnsi="Calibri"/>
          <w:sz w:val="21"/>
          <w:szCs w:val="21"/>
        </w:rPr>
        <w:t xml:space="preserve">A structured data-quality audit was run across the four core tables (sales, products, stores, inventory) prior to analysis, checking row counts, duplicate records, and missing values after cleaning. The results are summarized below.</w:t>
      </w:r>
    </w:p>
    <w:tbl>
      <w:tblPr>
        <w:tblW w:type="dxa" w:w="10700"/>
        <w:tblBorders>
          <w:top w:val="single" w:color="BFBFBF" w:sz="4"/>
          <w:left w:val="single" w:color="BFBFBF" w:sz="4"/>
          <w:bottom w:val="single" w:color="BFBFBF" w:sz="4"/>
          <w:right w:val="single" w:color="BFBFBF" w:sz="4"/>
          <w:insideH w:val="single" w:color="D9D9D9" w:sz="2"/>
          <w:insideV w:val="single" w:color="D9D9D9" w:sz="2"/>
        </w:tblBorders>
      </w:tblPr>
      <w:tblGrid>
        <w:gridCol w:w="1800"/>
        <w:gridCol w:w="1900"/>
        <w:gridCol w:w="1900"/>
        <w:gridCol w:w="2300"/>
        <w:gridCol w:w="2800"/>
      </w:tblGrid>
      <w:tr>
        <w:trPr>
          <w:tblHeader/>
        </w:trPr>
        <w:tc>
          <w:tcPr>
            <w:tcW w:type="dxa" w:w="1800"/>
            <w:shd w:fill="1F3864" w:val="clear"/>
            <w:tcMar>
              <w:top w:type="dxa" w:w="60"/>
              <w:left w:type="dxa" w:w="90"/>
              <w:bottom w:type="dxa" w:w="60"/>
              <w:right w:type="dxa" w:w="90"/>
            </w:tcMar>
            <w:vAlign w:val="center"/>
          </w:tcPr>
          <w:p>
            <w:pPr>
              <w:jc w:val="center"/>
            </w:pPr>
            <w:r>
              <w:rPr>
                <w:rFonts w:ascii="Calibri" w:cs="Calibri" w:eastAsia="Calibri" w:hAnsi="Calibri"/>
                <w:b/>
                <w:bCs/>
                <w:color w:val="FFFFFF"/>
                <w:sz w:val="18"/>
                <w:szCs w:val="18"/>
              </w:rPr>
              <w:t xml:space="preserve">Table</w:t>
            </w:r>
          </w:p>
        </w:tc>
        <w:tc>
          <w:tcPr>
            <w:tcW w:type="dxa" w:w="1900"/>
            <w:shd w:fill="1F3864" w:val="clear"/>
            <w:tcMar>
              <w:top w:type="dxa" w:w="60"/>
              <w:left w:type="dxa" w:w="90"/>
              <w:bottom w:type="dxa" w:w="60"/>
              <w:right w:type="dxa" w:w="90"/>
            </w:tcMar>
            <w:vAlign w:val="center"/>
          </w:tcPr>
          <w:p>
            <w:pPr>
              <w:jc w:val="center"/>
            </w:pPr>
            <w:r>
              <w:rPr>
                <w:rFonts w:ascii="Calibri" w:cs="Calibri" w:eastAsia="Calibri" w:hAnsi="Calibri"/>
                <w:b/>
                <w:bCs/>
                <w:color w:val="FFFFFF"/>
                <w:sz w:val="18"/>
                <w:szCs w:val="18"/>
              </w:rPr>
              <w:t xml:space="preserve">Initial Rows</w:t>
            </w:r>
          </w:p>
        </w:tc>
        <w:tc>
          <w:tcPr>
            <w:tcW w:type="dxa" w:w="1900"/>
            <w:shd w:fill="1F3864" w:val="clear"/>
            <w:tcMar>
              <w:top w:type="dxa" w:w="60"/>
              <w:left w:type="dxa" w:w="90"/>
              <w:bottom w:type="dxa" w:w="60"/>
              <w:right w:type="dxa" w:w="90"/>
            </w:tcMar>
            <w:vAlign w:val="center"/>
          </w:tcPr>
          <w:p>
            <w:pPr>
              <w:jc w:val="center"/>
            </w:pPr>
            <w:r>
              <w:rPr>
                <w:rFonts w:ascii="Calibri" w:cs="Calibri" w:eastAsia="Calibri" w:hAnsi="Calibri"/>
                <w:b/>
                <w:bCs/>
                <w:color w:val="FFFFFF"/>
                <w:sz w:val="18"/>
                <w:szCs w:val="18"/>
              </w:rPr>
              <w:t xml:space="preserve">Final Rows</w:t>
            </w:r>
          </w:p>
        </w:tc>
        <w:tc>
          <w:tcPr>
            <w:tcW w:type="dxa" w:w="2300"/>
            <w:shd w:fill="1F3864" w:val="clear"/>
            <w:tcMar>
              <w:top w:type="dxa" w:w="60"/>
              <w:left w:type="dxa" w:w="90"/>
              <w:bottom w:type="dxa" w:w="60"/>
              <w:right w:type="dxa" w:w="90"/>
            </w:tcMar>
            <w:vAlign w:val="center"/>
          </w:tcPr>
          <w:p>
            <w:pPr>
              <w:jc w:val="center"/>
            </w:pPr>
            <w:r>
              <w:rPr>
                <w:rFonts w:ascii="Calibri" w:cs="Calibri" w:eastAsia="Calibri" w:hAnsi="Calibri"/>
                <w:b/>
                <w:bCs/>
                <w:color w:val="FFFFFF"/>
                <w:sz w:val="18"/>
                <w:szCs w:val="18"/>
              </w:rPr>
              <w:t xml:space="preserve">Duplicates Removed</w:t>
            </w:r>
          </w:p>
        </w:tc>
        <w:tc>
          <w:tcPr>
            <w:tcW w:type="dxa" w:w="2800"/>
            <w:shd w:fill="1F3864" w:val="clear"/>
            <w:tcMar>
              <w:top w:type="dxa" w:w="60"/>
              <w:left w:type="dxa" w:w="90"/>
              <w:bottom w:type="dxa" w:w="60"/>
              <w:right w:type="dxa" w:w="90"/>
            </w:tcMar>
            <w:vAlign w:val="center"/>
          </w:tcPr>
          <w:p>
            <w:pPr>
              <w:jc w:val="center"/>
            </w:pPr>
            <w:r>
              <w:rPr>
                <w:rFonts w:ascii="Calibri" w:cs="Calibri" w:eastAsia="Calibri" w:hAnsi="Calibri"/>
                <w:b/>
                <w:bCs/>
                <w:color w:val="FFFFFF"/>
                <w:sz w:val="18"/>
                <w:szCs w:val="18"/>
              </w:rPr>
              <w:t xml:space="preserve">Missing Values After Cleaning</w:t>
            </w:r>
          </w:p>
        </w:tc>
      </w:tr>
      <w:tr>
        <w:tc>
          <w:tcPr>
            <w:tcW w:type="dxa" w:w="1800"/>
            <w:tcMar>
              <w:top w:type="dxa" w:w="60"/>
              <w:left w:type="dxa" w:w="90"/>
              <w:bottom w:type="dxa" w:w="60"/>
              <w:right w:type="dxa" w:w="90"/>
            </w:tcMar>
            <w:vAlign w:val="center"/>
          </w:tcPr>
          <w:p>
            <w:pPr>
              <w:jc w:val="left"/>
            </w:pPr>
            <w:r>
              <w:rPr>
                <w:rFonts w:ascii="Calibri" w:cs="Calibri" w:eastAsia="Calibri" w:hAnsi="Calibri"/>
                <w:color w:val="000000"/>
                <w:sz w:val="18"/>
                <w:szCs w:val="18"/>
              </w:rPr>
              <w:t xml:space="preserve">sales</w:t>
            </w:r>
          </w:p>
        </w:tc>
        <w:tc>
          <w:tcPr>
            <w:tcW w:type="dxa" w:w="1900"/>
            <w:tcMar>
              <w:top w:type="dxa" w:w="60"/>
              <w:left w:type="dxa" w:w="90"/>
              <w:bottom w:type="dxa" w:w="60"/>
              <w:right w:type="dxa" w:w="90"/>
            </w:tcMar>
            <w:vAlign w:val="center"/>
          </w:tcPr>
          <w:p>
            <w:pPr>
              <w:jc w:val="center"/>
            </w:pPr>
            <w:r>
              <w:rPr>
                <w:rFonts w:ascii="Calibri" w:cs="Calibri" w:eastAsia="Calibri" w:hAnsi="Calibri"/>
                <w:color w:val="000000"/>
                <w:sz w:val="18"/>
                <w:szCs w:val="18"/>
              </w:rPr>
              <w:t xml:space="preserve">829,262</w:t>
            </w:r>
          </w:p>
        </w:tc>
        <w:tc>
          <w:tcPr>
            <w:tcW w:type="dxa" w:w="1900"/>
            <w:tcMar>
              <w:top w:type="dxa" w:w="60"/>
              <w:left w:type="dxa" w:w="90"/>
              <w:bottom w:type="dxa" w:w="60"/>
              <w:right w:type="dxa" w:w="90"/>
            </w:tcMar>
            <w:vAlign w:val="center"/>
          </w:tcPr>
          <w:p>
            <w:pPr>
              <w:jc w:val="center"/>
            </w:pPr>
            <w:r>
              <w:rPr>
                <w:rFonts w:ascii="Calibri" w:cs="Calibri" w:eastAsia="Calibri" w:hAnsi="Calibri"/>
                <w:color w:val="000000"/>
                <w:sz w:val="18"/>
                <w:szCs w:val="18"/>
              </w:rPr>
              <w:t xml:space="preserve">829,262</w:t>
            </w:r>
          </w:p>
        </w:tc>
        <w:tc>
          <w:tcPr>
            <w:tcW w:type="dxa" w:w="2300"/>
            <w:tcMar>
              <w:top w:type="dxa" w:w="60"/>
              <w:left w:type="dxa" w:w="90"/>
              <w:bottom w:type="dxa" w:w="60"/>
              <w:right w:type="dxa" w:w="90"/>
            </w:tcMar>
            <w:vAlign w:val="center"/>
          </w:tcPr>
          <w:p>
            <w:pPr>
              <w:jc w:val="center"/>
            </w:pPr>
            <w:r>
              <w:rPr>
                <w:rFonts w:ascii="Calibri" w:cs="Calibri" w:eastAsia="Calibri" w:hAnsi="Calibri"/>
                <w:color w:val="000000"/>
                <w:sz w:val="18"/>
                <w:szCs w:val="18"/>
              </w:rPr>
              <w:t xml:space="preserve">0</w:t>
            </w:r>
          </w:p>
        </w:tc>
        <w:tc>
          <w:tcPr>
            <w:tcW w:type="dxa" w:w="2800"/>
            <w:tcMar>
              <w:top w:type="dxa" w:w="60"/>
              <w:left w:type="dxa" w:w="90"/>
              <w:bottom w:type="dxa" w:w="60"/>
              <w:right w:type="dxa" w:w="90"/>
            </w:tcMar>
            <w:vAlign w:val="center"/>
          </w:tcPr>
          <w:p>
            <w:pPr>
              <w:jc w:val="center"/>
            </w:pPr>
            <w:r>
              <w:rPr>
                <w:rFonts w:ascii="Calibri" w:cs="Calibri" w:eastAsia="Calibri" w:hAnsi="Calibri"/>
                <w:color w:val="000000"/>
                <w:sz w:val="18"/>
                <w:szCs w:val="18"/>
              </w:rPr>
              <w:t xml:space="preserve">0</w:t>
            </w:r>
          </w:p>
        </w:tc>
      </w:tr>
      <w:tr>
        <w:tc>
          <w:tcPr>
            <w:tcW w:type="dxa" w:w="1800"/>
            <w:shd w:fill="F2F2F2" w:val="clear"/>
            <w:tcMar>
              <w:top w:type="dxa" w:w="60"/>
              <w:left w:type="dxa" w:w="90"/>
              <w:bottom w:type="dxa" w:w="60"/>
              <w:right w:type="dxa" w:w="90"/>
            </w:tcMar>
            <w:vAlign w:val="center"/>
          </w:tcPr>
          <w:p>
            <w:pPr>
              <w:jc w:val="left"/>
            </w:pPr>
            <w:r>
              <w:rPr>
                <w:rFonts w:ascii="Calibri" w:cs="Calibri" w:eastAsia="Calibri" w:hAnsi="Calibri"/>
                <w:color w:val="000000"/>
                <w:sz w:val="18"/>
                <w:szCs w:val="18"/>
              </w:rPr>
              <w:t xml:space="preserve">products</w:t>
            </w:r>
          </w:p>
        </w:tc>
        <w:tc>
          <w:tcPr>
            <w:tcW w:type="dxa" w:w="1900"/>
            <w:shd w:fill="F2F2F2" w:val="clear"/>
            <w:tcMar>
              <w:top w:type="dxa" w:w="60"/>
              <w:left w:type="dxa" w:w="90"/>
              <w:bottom w:type="dxa" w:w="60"/>
              <w:right w:type="dxa" w:w="90"/>
            </w:tcMar>
            <w:vAlign w:val="center"/>
          </w:tcPr>
          <w:p>
            <w:pPr>
              <w:jc w:val="center"/>
            </w:pPr>
            <w:r>
              <w:rPr>
                <w:rFonts w:ascii="Calibri" w:cs="Calibri" w:eastAsia="Calibri" w:hAnsi="Calibri"/>
                <w:color w:val="000000"/>
                <w:sz w:val="18"/>
                <w:szCs w:val="18"/>
              </w:rPr>
              <w:t xml:space="preserve">35</w:t>
            </w:r>
          </w:p>
        </w:tc>
        <w:tc>
          <w:tcPr>
            <w:tcW w:type="dxa" w:w="1900"/>
            <w:shd w:fill="F2F2F2" w:val="clear"/>
            <w:tcMar>
              <w:top w:type="dxa" w:w="60"/>
              <w:left w:type="dxa" w:w="90"/>
              <w:bottom w:type="dxa" w:w="60"/>
              <w:right w:type="dxa" w:w="90"/>
            </w:tcMar>
            <w:vAlign w:val="center"/>
          </w:tcPr>
          <w:p>
            <w:pPr>
              <w:jc w:val="center"/>
            </w:pPr>
            <w:r>
              <w:rPr>
                <w:rFonts w:ascii="Calibri" w:cs="Calibri" w:eastAsia="Calibri" w:hAnsi="Calibri"/>
                <w:color w:val="000000"/>
                <w:sz w:val="18"/>
                <w:szCs w:val="18"/>
              </w:rPr>
              <w:t xml:space="preserve">35</w:t>
            </w:r>
          </w:p>
        </w:tc>
        <w:tc>
          <w:tcPr>
            <w:tcW w:type="dxa" w:w="2300"/>
            <w:shd w:fill="F2F2F2" w:val="clear"/>
            <w:tcMar>
              <w:top w:type="dxa" w:w="60"/>
              <w:left w:type="dxa" w:w="90"/>
              <w:bottom w:type="dxa" w:w="60"/>
              <w:right w:type="dxa" w:w="90"/>
            </w:tcMar>
            <w:vAlign w:val="center"/>
          </w:tcPr>
          <w:p>
            <w:pPr>
              <w:jc w:val="center"/>
            </w:pPr>
            <w:r>
              <w:rPr>
                <w:rFonts w:ascii="Calibri" w:cs="Calibri" w:eastAsia="Calibri" w:hAnsi="Calibri"/>
                <w:color w:val="000000"/>
                <w:sz w:val="18"/>
                <w:szCs w:val="18"/>
              </w:rPr>
              <w:t xml:space="preserve">0</w:t>
            </w:r>
          </w:p>
        </w:tc>
        <w:tc>
          <w:tcPr>
            <w:tcW w:type="dxa" w:w="2800"/>
            <w:shd w:fill="F2F2F2" w:val="clear"/>
            <w:tcMar>
              <w:top w:type="dxa" w:w="60"/>
              <w:left w:type="dxa" w:w="90"/>
              <w:bottom w:type="dxa" w:w="60"/>
              <w:right w:type="dxa" w:w="90"/>
            </w:tcMar>
            <w:vAlign w:val="center"/>
          </w:tcPr>
          <w:p>
            <w:pPr>
              <w:jc w:val="center"/>
            </w:pPr>
            <w:r>
              <w:rPr>
                <w:rFonts w:ascii="Calibri" w:cs="Calibri" w:eastAsia="Calibri" w:hAnsi="Calibri"/>
                <w:color w:val="000000"/>
                <w:sz w:val="18"/>
                <w:szCs w:val="18"/>
              </w:rPr>
              <w:t xml:space="preserve">0</w:t>
            </w:r>
          </w:p>
        </w:tc>
      </w:tr>
      <w:tr>
        <w:tc>
          <w:tcPr>
            <w:tcW w:type="dxa" w:w="1800"/>
            <w:tcMar>
              <w:top w:type="dxa" w:w="60"/>
              <w:left w:type="dxa" w:w="90"/>
              <w:bottom w:type="dxa" w:w="60"/>
              <w:right w:type="dxa" w:w="90"/>
            </w:tcMar>
            <w:vAlign w:val="center"/>
          </w:tcPr>
          <w:p>
            <w:pPr>
              <w:jc w:val="left"/>
            </w:pPr>
            <w:r>
              <w:rPr>
                <w:rFonts w:ascii="Calibri" w:cs="Calibri" w:eastAsia="Calibri" w:hAnsi="Calibri"/>
                <w:color w:val="000000"/>
                <w:sz w:val="18"/>
                <w:szCs w:val="18"/>
              </w:rPr>
              <w:t xml:space="preserve">stores</w:t>
            </w:r>
          </w:p>
        </w:tc>
        <w:tc>
          <w:tcPr>
            <w:tcW w:type="dxa" w:w="1900"/>
            <w:tcMar>
              <w:top w:type="dxa" w:w="60"/>
              <w:left w:type="dxa" w:w="90"/>
              <w:bottom w:type="dxa" w:w="60"/>
              <w:right w:type="dxa" w:w="90"/>
            </w:tcMar>
            <w:vAlign w:val="center"/>
          </w:tcPr>
          <w:p>
            <w:pPr>
              <w:jc w:val="center"/>
            </w:pPr>
            <w:r>
              <w:rPr>
                <w:rFonts w:ascii="Calibri" w:cs="Calibri" w:eastAsia="Calibri" w:hAnsi="Calibri"/>
                <w:color w:val="000000"/>
                <w:sz w:val="18"/>
                <w:szCs w:val="18"/>
              </w:rPr>
              <w:t xml:space="preserve">50</w:t>
            </w:r>
          </w:p>
        </w:tc>
        <w:tc>
          <w:tcPr>
            <w:tcW w:type="dxa" w:w="1900"/>
            <w:tcMar>
              <w:top w:type="dxa" w:w="60"/>
              <w:left w:type="dxa" w:w="90"/>
              <w:bottom w:type="dxa" w:w="60"/>
              <w:right w:type="dxa" w:w="90"/>
            </w:tcMar>
            <w:vAlign w:val="center"/>
          </w:tcPr>
          <w:p>
            <w:pPr>
              <w:jc w:val="center"/>
            </w:pPr>
            <w:r>
              <w:rPr>
                <w:rFonts w:ascii="Calibri" w:cs="Calibri" w:eastAsia="Calibri" w:hAnsi="Calibri"/>
                <w:color w:val="000000"/>
                <w:sz w:val="18"/>
                <w:szCs w:val="18"/>
              </w:rPr>
              <w:t xml:space="preserve">50</w:t>
            </w:r>
          </w:p>
        </w:tc>
        <w:tc>
          <w:tcPr>
            <w:tcW w:type="dxa" w:w="2300"/>
            <w:tcMar>
              <w:top w:type="dxa" w:w="60"/>
              <w:left w:type="dxa" w:w="90"/>
              <w:bottom w:type="dxa" w:w="60"/>
              <w:right w:type="dxa" w:w="90"/>
            </w:tcMar>
            <w:vAlign w:val="center"/>
          </w:tcPr>
          <w:p>
            <w:pPr>
              <w:jc w:val="center"/>
            </w:pPr>
            <w:r>
              <w:rPr>
                <w:rFonts w:ascii="Calibri" w:cs="Calibri" w:eastAsia="Calibri" w:hAnsi="Calibri"/>
                <w:color w:val="000000"/>
                <w:sz w:val="18"/>
                <w:szCs w:val="18"/>
              </w:rPr>
              <w:t xml:space="preserve">0</w:t>
            </w:r>
          </w:p>
        </w:tc>
        <w:tc>
          <w:tcPr>
            <w:tcW w:type="dxa" w:w="2800"/>
            <w:tcMar>
              <w:top w:type="dxa" w:w="60"/>
              <w:left w:type="dxa" w:w="90"/>
              <w:bottom w:type="dxa" w:w="60"/>
              <w:right w:type="dxa" w:w="90"/>
            </w:tcMar>
            <w:vAlign w:val="center"/>
          </w:tcPr>
          <w:p>
            <w:pPr>
              <w:jc w:val="center"/>
            </w:pPr>
            <w:r>
              <w:rPr>
                <w:rFonts w:ascii="Calibri" w:cs="Calibri" w:eastAsia="Calibri" w:hAnsi="Calibri"/>
                <w:color w:val="000000"/>
                <w:sz w:val="18"/>
                <w:szCs w:val="18"/>
              </w:rPr>
              <w:t xml:space="preserve">0</w:t>
            </w:r>
          </w:p>
        </w:tc>
      </w:tr>
      <w:tr>
        <w:tc>
          <w:tcPr>
            <w:tcW w:type="dxa" w:w="1800"/>
            <w:shd w:fill="F2F2F2" w:val="clear"/>
            <w:tcMar>
              <w:top w:type="dxa" w:w="60"/>
              <w:left w:type="dxa" w:w="90"/>
              <w:bottom w:type="dxa" w:w="60"/>
              <w:right w:type="dxa" w:w="90"/>
            </w:tcMar>
            <w:vAlign w:val="center"/>
          </w:tcPr>
          <w:p>
            <w:pPr>
              <w:jc w:val="left"/>
            </w:pPr>
            <w:r>
              <w:rPr>
                <w:rFonts w:ascii="Calibri" w:cs="Calibri" w:eastAsia="Calibri" w:hAnsi="Calibri"/>
                <w:color w:val="000000"/>
                <w:sz w:val="18"/>
                <w:szCs w:val="18"/>
              </w:rPr>
              <w:t xml:space="preserve">inventory</w:t>
            </w:r>
          </w:p>
        </w:tc>
        <w:tc>
          <w:tcPr>
            <w:tcW w:type="dxa" w:w="1900"/>
            <w:shd w:fill="F2F2F2" w:val="clear"/>
            <w:tcMar>
              <w:top w:type="dxa" w:w="60"/>
              <w:left w:type="dxa" w:w="90"/>
              <w:bottom w:type="dxa" w:w="60"/>
              <w:right w:type="dxa" w:w="90"/>
            </w:tcMar>
            <w:vAlign w:val="center"/>
          </w:tcPr>
          <w:p>
            <w:pPr>
              <w:jc w:val="center"/>
            </w:pPr>
            <w:r>
              <w:rPr>
                <w:rFonts w:ascii="Calibri" w:cs="Calibri" w:eastAsia="Calibri" w:hAnsi="Calibri"/>
                <w:color w:val="000000"/>
                <w:sz w:val="18"/>
                <w:szCs w:val="18"/>
              </w:rPr>
              <w:t xml:space="preserve">1,593</w:t>
            </w:r>
          </w:p>
        </w:tc>
        <w:tc>
          <w:tcPr>
            <w:tcW w:type="dxa" w:w="1900"/>
            <w:shd w:fill="F2F2F2" w:val="clear"/>
            <w:tcMar>
              <w:top w:type="dxa" w:w="60"/>
              <w:left w:type="dxa" w:w="90"/>
              <w:bottom w:type="dxa" w:w="60"/>
              <w:right w:type="dxa" w:w="90"/>
            </w:tcMar>
            <w:vAlign w:val="center"/>
          </w:tcPr>
          <w:p>
            <w:pPr>
              <w:jc w:val="center"/>
            </w:pPr>
            <w:r>
              <w:rPr>
                <w:rFonts w:ascii="Calibri" w:cs="Calibri" w:eastAsia="Calibri" w:hAnsi="Calibri"/>
                <w:color w:val="000000"/>
                <w:sz w:val="18"/>
                <w:szCs w:val="18"/>
              </w:rPr>
              <w:t xml:space="preserve">1,593</w:t>
            </w:r>
          </w:p>
        </w:tc>
        <w:tc>
          <w:tcPr>
            <w:tcW w:type="dxa" w:w="2300"/>
            <w:shd w:fill="F2F2F2" w:val="clear"/>
            <w:tcMar>
              <w:top w:type="dxa" w:w="60"/>
              <w:left w:type="dxa" w:w="90"/>
              <w:bottom w:type="dxa" w:w="60"/>
              <w:right w:type="dxa" w:w="90"/>
            </w:tcMar>
            <w:vAlign w:val="center"/>
          </w:tcPr>
          <w:p>
            <w:pPr>
              <w:jc w:val="center"/>
            </w:pPr>
            <w:r>
              <w:rPr>
                <w:rFonts w:ascii="Calibri" w:cs="Calibri" w:eastAsia="Calibri" w:hAnsi="Calibri"/>
                <w:color w:val="000000"/>
                <w:sz w:val="18"/>
                <w:szCs w:val="18"/>
              </w:rPr>
              <w:t xml:space="preserve">0</w:t>
            </w:r>
          </w:p>
        </w:tc>
        <w:tc>
          <w:tcPr>
            <w:tcW w:type="dxa" w:w="2800"/>
            <w:shd w:fill="F2F2F2" w:val="clear"/>
            <w:tcMar>
              <w:top w:type="dxa" w:w="60"/>
              <w:left w:type="dxa" w:w="90"/>
              <w:bottom w:type="dxa" w:w="60"/>
              <w:right w:type="dxa" w:w="90"/>
            </w:tcMar>
            <w:vAlign w:val="center"/>
          </w:tcPr>
          <w:p>
            <w:pPr>
              <w:jc w:val="center"/>
            </w:pPr>
            <w:r>
              <w:rPr>
                <w:rFonts w:ascii="Calibri" w:cs="Calibri" w:eastAsia="Calibri" w:hAnsi="Calibri"/>
                <w:color w:val="000000"/>
                <w:sz w:val="18"/>
                <w:szCs w:val="18"/>
              </w:rPr>
              <w:t xml:space="preserve">0</w:t>
            </w:r>
          </w:p>
        </w:tc>
      </w:tr>
    </w:tbl>
    <w:p>
      <w:pPr>
        <w:spacing w:after="200"/>
      </w:pPr>
    </w:p>
    <w:p>
      <w:pPr>
        <w:spacing w:after="160" w:line="276"/>
        <w:jc w:val="both"/>
      </w:pPr>
      <w:r>
        <w:rPr>
          <w:rFonts w:ascii="Calibri" w:cs="Calibri" w:eastAsia="Calibri" w:hAnsi="Calibri"/>
          <w:sz w:val="21"/>
          <w:szCs w:val="21"/>
        </w:rPr>
        <w:t xml:space="preserve">No duplicate records and no missing values were found in any of the four tables at the point of analysis, and no rows were removed during the audit. A column-level check of the sales fact table confirmed zero null values across all 23 fields (date, store, product, revenue, cost, profit, margin, and the associated time and category dimensions), and all numeric fields (units, revenue, cost, profit, profit_margin) were correctly typed as numeric rather than text.</w:t>
      </w:r>
    </w:p>
    <w:p>
      <w:pPr>
        <w:pStyle w:val="Heading2"/>
        <w:spacing w:after="140" w:before="280"/>
      </w:pPr>
      <w:r>
        <w:rPr>
          <w:rFonts w:ascii="Calibri" w:cs="Calibri" w:eastAsia="Calibri" w:hAnsi="Calibri"/>
          <w:b/>
          <w:bCs/>
          <w:color w:val="2E74B5"/>
          <w:sz w:val="25"/>
          <w:szCs w:val="25"/>
        </w:rPr>
        <w:t xml:space="preserve">4.1 Data Quality Summary</w:t>
      </w:r>
    </w:p>
    <w:tbl>
      <w:tblPr>
        <w:tblW w:type="dxa" w:w="10000"/>
        <w:tblBorders>
          <w:top w:val="single" w:color="BFBFBF" w:sz="4"/>
          <w:left w:val="single" w:color="BFBFBF" w:sz="4"/>
          <w:bottom w:val="single" w:color="BFBFBF" w:sz="4"/>
          <w:right w:val="single" w:color="BFBFBF" w:sz="4"/>
          <w:insideH w:val="single" w:color="D9D9D9" w:sz="2"/>
          <w:insideV w:val="single" w:color="D9D9D9" w:sz="2"/>
        </w:tblBorders>
      </w:tblPr>
      <w:tblGrid>
        <w:gridCol w:w="3200"/>
        <w:gridCol w:w="3400"/>
        <w:gridCol w:w="3400"/>
      </w:tblGrid>
      <w:tr>
        <w:trPr>
          <w:tblHeader/>
        </w:trPr>
        <w:tc>
          <w:tcPr>
            <w:tcW w:type="dxa" w:w="3200"/>
            <w:shd w:fill="1F3864" w:val="clear"/>
            <w:tcMar>
              <w:top w:type="dxa" w:w="60"/>
              <w:left w:type="dxa" w:w="90"/>
              <w:bottom w:type="dxa" w:w="60"/>
              <w:right w:type="dxa" w:w="90"/>
            </w:tcMar>
            <w:vAlign w:val="center"/>
          </w:tcPr>
          <w:p>
            <w:pPr>
              <w:jc w:val="center"/>
            </w:pPr>
            <w:r>
              <w:rPr>
                <w:rFonts w:ascii="Calibri" w:cs="Calibri" w:eastAsia="Calibri" w:hAnsi="Calibri"/>
                <w:b/>
                <w:bCs/>
                <w:color w:val="FFFFFF"/>
                <w:sz w:val="18"/>
                <w:szCs w:val="18"/>
              </w:rPr>
              <w:t xml:space="preserve">Issue Checked</w:t>
            </w:r>
          </w:p>
        </w:tc>
        <w:tc>
          <w:tcPr>
            <w:tcW w:type="dxa" w:w="3400"/>
            <w:shd w:fill="1F3864" w:val="clear"/>
            <w:tcMar>
              <w:top w:type="dxa" w:w="60"/>
              <w:left w:type="dxa" w:w="90"/>
              <w:bottom w:type="dxa" w:w="60"/>
              <w:right w:type="dxa" w:w="90"/>
            </w:tcMar>
            <w:vAlign w:val="center"/>
          </w:tcPr>
          <w:p>
            <w:pPr>
              <w:jc w:val="center"/>
            </w:pPr>
            <w:r>
              <w:rPr>
                <w:rFonts w:ascii="Calibri" w:cs="Calibri" w:eastAsia="Calibri" w:hAnsi="Calibri"/>
                <w:b/>
                <w:bCs/>
                <w:color w:val="FFFFFF"/>
                <w:sz w:val="18"/>
                <w:szCs w:val="18"/>
              </w:rPr>
              <w:t xml:space="preserve">Impact if Present</w:t>
            </w:r>
          </w:p>
        </w:tc>
        <w:tc>
          <w:tcPr>
            <w:tcW w:type="dxa" w:w="3400"/>
            <w:shd w:fill="1F3864" w:val="clear"/>
            <w:tcMar>
              <w:top w:type="dxa" w:w="60"/>
              <w:left w:type="dxa" w:w="90"/>
              <w:bottom w:type="dxa" w:w="60"/>
              <w:right w:type="dxa" w:w="90"/>
            </w:tcMar>
            <w:vAlign w:val="center"/>
          </w:tcPr>
          <w:p>
            <w:pPr>
              <w:jc w:val="center"/>
            </w:pPr>
            <w:r>
              <w:rPr>
                <w:rFonts w:ascii="Calibri" w:cs="Calibri" w:eastAsia="Calibri" w:hAnsi="Calibri"/>
                <w:b/>
                <w:bCs/>
                <w:color w:val="FFFFFF"/>
                <w:sz w:val="18"/>
                <w:szCs w:val="18"/>
              </w:rPr>
              <w:t xml:space="preserve">Treatment / Outcome</w:t>
            </w:r>
          </w:p>
        </w:tc>
      </w:tr>
      <w:tr>
        <w:tc>
          <w:tcPr>
            <w:tcW w:type="dxa" w:w="3200"/>
            <w:tcMar>
              <w:top w:type="dxa" w:w="60"/>
              <w:left w:type="dxa" w:w="90"/>
              <w:bottom w:type="dxa" w:w="60"/>
              <w:right w:type="dxa" w:w="90"/>
            </w:tcMar>
            <w:vAlign w:val="center"/>
          </w:tcPr>
          <w:p>
            <w:pPr>
              <w:jc w:val="left"/>
            </w:pPr>
            <w:r>
              <w:rPr>
                <w:rFonts w:ascii="Calibri" w:cs="Calibri" w:eastAsia="Calibri" w:hAnsi="Calibri"/>
                <w:color w:val="000000"/>
                <w:sz w:val="18"/>
                <w:szCs w:val="18"/>
              </w:rPr>
              <w:t xml:space="preserve">Duplicate transaction records</w:t>
            </w:r>
          </w:p>
        </w:tc>
        <w:tc>
          <w:tcPr>
            <w:tcW w:type="dxa" w:w="3400"/>
            <w:tcMar>
              <w:top w:type="dxa" w:w="60"/>
              <w:left w:type="dxa" w:w="90"/>
              <w:bottom w:type="dxa" w:w="60"/>
              <w:right w:type="dxa" w:w="90"/>
            </w:tcMar>
            <w:vAlign w:val="center"/>
          </w:tcPr>
          <w:p>
            <w:pPr>
              <w:jc w:val="center"/>
            </w:pPr>
            <w:r>
              <w:rPr>
                <w:rFonts w:ascii="Calibri" w:cs="Calibri" w:eastAsia="Calibri" w:hAnsi="Calibri"/>
                <w:color w:val="000000"/>
                <w:sz w:val="18"/>
                <w:szCs w:val="18"/>
              </w:rPr>
              <w:t xml:space="preserve">Would inflate revenue, profit and unit totals</w:t>
            </w:r>
          </w:p>
        </w:tc>
        <w:tc>
          <w:tcPr>
            <w:tcW w:type="dxa" w:w="3400"/>
            <w:tcMar>
              <w:top w:type="dxa" w:w="60"/>
              <w:left w:type="dxa" w:w="90"/>
              <w:bottom w:type="dxa" w:w="60"/>
              <w:right w:type="dxa" w:w="90"/>
            </w:tcMar>
            <w:vAlign w:val="center"/>
          </w:tcPr>
          <w:p>
            <w:pPr>
              <w:jc w:val="center"/>
            </w:pPr>
            <w:r>
              <w:rPr>
                <w:rFonts w:ascii="Calibri" w:cs="Calibri" w:eastAsia="Calibri" w:hAnsi="Calibri"/>
                <w:color w:val="000000"/>
                <w:sz w:val="18"/>
                <w:szCs w:val="18"/>
              </w:rPr>
              <w:t xml:space="preserve">None found — 0 duplicates removed across sales, products, stores and inventory</w:t>
            </w:r>
          </w:p>
        </w:tc>
      </w:tr>
      <w:tr>
        <w:tc>
          <w:tcPr>
            <w:tcW w:type="dxa" w:w="3200"/>
            <w:shd w:fill="F2F2F2" w:val="clear"/>
            <w:tcMar>
              <w:top w:type="dxa" w:w="60"/>
              <w:left w:type="dxa" w:w="90"/>
              <w:bottom w:type="dxa" w:w="60"/>
              <w:right w:type="dxa" w:w="90"/>
            </w:tcMar>
            <w:vAlign w:val="center"/>
          </w:tcPr>
          <w:p>
            <w:pPr>
              <w:jc w:val="left"/>
            </w:pPr>
            <w:r>
              <w:rPr>
                <w:rFonts w:ascii="Calibri" w:cs="Calibri" w:eastAsia="Calibri" w:hAnsi="Calibri"/>
                <w:color w:val="000000"/>
                <w:sz w:val="18"/>
                <w:szCs w:val="18"/>
              </w:rPr>
              <w:t xml:space="preserve">Missing values</w:t>
            </w:r>
          </w:p>
        </w:tc>
        <w:tc>
          <w:tcPr>
            <w:tcW w:type="dxa" w:w="3400"/>
            <w:shd w:fill="F2F2F2" w:val="clear"/>
            <w:tcMar>
              <w:top w:type="dxa" w:w="60"/>
              <w:left w:type="dxa" w:w="90"/>
              <w:bottom w:type="dxa" w:w="60"/>
              <w:right w:type="dxa" w:w="90"/>
            </w:tcMar>
            <w:vAlign w:val="center"/>
          </w:tcPr>
          <w:p>
            <w:pPr>
              <w:jc w:val="center"/>
            </w:pPr>
            <w:r>
              <w:rPr>
                <w:rFonts w:ascii="Calibri" w:cs="Calibri" w:eastAsia="Calibri" w:hAnsi="Calibri"/>
                <w:color w:val="000000"/>
                <w:sz w:val="18"/>
                <w:szCs w:val="18"/>
              </w:rPr>
              <w:t xml:space="preserve">Would bias aggregates or require row exclusion</w:t>
            </w:r>
          </w:p>
        </w:tc>
        <w:tc>
          <w:tcPr>
            <w:tcW w:type="dxa" w:w="3400"/>
            <w:shd w:fill="F2F2F2" w:val="clear"/>
            <w:tcMar>
              <w:top w:type="dxa" w:w="60"/>
              <w:left w:type="dxa" w:w="90"/>
              <w:bottom w:type="dxa" w:w="60"/>
              <w:right w:type="dxa" w:w="90"/>
            </w:tcMar>
            <w:vAlign w:val="center"/>
          </w:tcPr>
          <w:p>
            <w:pPr>
              <w:jc w:val="center"/>
            </w:pPr>
            <w:r>
              <w:rPr>
                <w:rFonts w:ascii="Calibri" w:cs="Calibri" w:eastAsia="Calibri" w:hAnsi="Calibri"/>
                <w:color w:val="000000"/>
                <w:sz w:val="18"/>
                <w:szCs w:val="18"/>
              </w:rPr>
              <w:t xml:space="preserve">None found — 0 missing values after cleaning in all four tables</w:t>
            </w:r>
          </w:p>
        </w:tc>
      </w:tr>
      <w:tr>
        <w:tc>
          <w:tcPr>
            <w:tcW w:type="dxa" w:w="3200"/>
            <w:tcMar>
              <w:top w:type="dxa" w:w="60"/>
              <w:left w:type="dxa" w:w="90"/>
              <w:bottom w:type="dxa" w:w="60"/>
              <w:right w:type="dxa" w:w="90"/>
            </w:tcMar>
            <w:vAlign w:val="center"/>
          </w:tcPr>
          <w:p>
            <w:pPr>
              <w:jc w:val="left"/>
            </w:pPr>
            <w:r>
              <w:rPr>
                <w:rFonts w:ascii="Calibri" w:cs="Calibri" w:eastAsia="Calibri" w:hAnsi="Calibri"/>
                <w:color w:val="000000"/>
                <w:sz w:val="18"/>
                <w:szCs w:val="18"/>
              </w:rPr>
              <w:t xml:space="preserve">Incorrect data types</w:t>
            </w:r>
          </w:p>
        </w:tc>
        <w:tc>
          <w:tcPr>
            <w:tcW w:type="dxa" w:w="3400"/>
            <w:tcMar>
              <w:top w:type="dxa" w:w="60"/>
              <w:left w:type="dxa" w:w="90"/>
              <w:bottom w:type="dxa" w:w="60"/>
              <w:right w:type="dxa" w:w="90"/>
            </w:tcMar>
            <w:vAlign w:val="center"/>
          </w:tcPr>
          <w:p>
            <w:pPr>
              <w:jc w:val="center"/>
            </w:pPr>
            <w:r>
              <w:rPr>
                <w:rFonts w:ascii="Calibri" w:cs="Calibri" w:eastAsia="Calibri" w:hAnsi="Calibri"/>
                <w:color w:val="000000"/>
                <w:sz w:val="18"/>
                <w:szCs w:val="18"/>
              </w:rPr>
              <w:t xml:space="preserve">Would prevent correct aggregation (e.g. revenue stored as text)</w:t>
            </w:r>
          </w:p>
        </w:tc>
        <w:tc>
          <w:tcPr>
            <w:tcW w:type="dxa" w:w="3400"/>
            <w:tcMar>
              <w:top w:type="dxa" w:w="60"/>
              <w:left w:type="dxa" w:w="90"/>
              <w:bottom w:type="dxa" w:w="60"/>
              <w:right w:type="dxa" w:w="90"/>
            </w:tcMar>
            <w:vAlign w:val="center"/>
          </w:tcPr>
          <w:p>
            <w:pPr>
              <w:jc w:val="center"/>
            </w:pPr>
            <w:r>
              <w:rPr>
                <w:rFonts w:ascii="Calibri" w:cs="Calibri" w:eastAsia="Calibri" w:hAnsi="Calibri"/>
                <w:color w:val="000000"/>
                <w:sz w:val="18"/>
                <w:szCs w:val="18"/>
              </w:rPr>
              <w:t xml:space="preserve">Verified — revenue, cost, profit, profit_margin and units are numeric</w:t>
            </w:r>
          </w:p>
        </w:tc>
      </w:tr>
      <w:tr>
        <w:tc>
          <w:tcPr>
            <w:tcW w:type="dxa" w:w="3200"/>
            <w:shd w:fill="F2F2F2" w:val="clear"/>
            <w:tcMar>
              <w:top w:type="dxa" w:w="60"/>
              <w:left w:type="dxa" w:w="90"/>
              <w:bottom w:type="dxa" w:w="60"/>
              <w:right w:type="dxa" w:w="90"/>
            </w:tcMar>
            <w:vAlign w:val="center"/>
          </w:tcPr>
          <w:p>
            <w:pPr>
              <w:jc w:val="left"/>
            </w:pPr>
            <w:r>
              <w:rPr>
                <w:rFonts w:ascii="Calibri" w:cs="Calibri" w:eastAsia="Calibri" w:hAnsi="Calibri"/>
                <w:color w:val="000000"/>
                <w:sz w:val="18"/>
                <w:szCs w:val="18"/>
              </w:rPr>
              <w:t xml:space="preserve">Zero stock-on-hand in inventory</w:t>
            </w:r>
          </w:p>
        </w:tc>
        <w:tc>
          <w:tcPr>
            <w:tcW w:type="dxa" w:w="3400"/>
            <w:shd w:fill="F2F2F2" w:val="clear"/>
            <w:tcMar>
              <w:top w:type="dxa" w:w="60"/>
              <w:left w:type="dxa" w:w="90"/>
              <w:bottom w:type="dxa" w:w="60"/>
              <w:right w:type="dxa" w:w="90"/>
            </w:tcMar>
            <w:vAlign w:val="center"/>
          </w:tcPr>
          <w:p>
            <w:pPr>
              <w:jc w:val="center"/>
            </w:pPr>
            <w:r>
              <w:rPr>
                <w:rFonts w:ascii="Calibri" w:cs="Calibri" w:eastAsia="Calibri" w:hAnsi="Calibri"/>
                <w:color w:val="000000"/>
                <w:sz w:val="18"/>
                <w:szCs w:val="18"/>
              </w:rPr>
              <w:t xml:space="preserve">Produces an undefined sales-velocity ratio (division by zero)</w:t>
            </w:r>
          </w:p>
        </w:tc>
        <w:tc>
          <w:tcPr>
            <w:tcW w:type="dxa" w:w="3400"/>
            <w:shd w:fill="F2F2F2" w:val="clear"/>
            <w:tcMar>
              <w:top w:type="dxa" w:w="60"/>
              <w:left w:type="dxa" w:w="90"/>
              <w:bottom w:type="dxa" w:w="60"/>
              <w:right w:type="dxa" w:w="90"/>
            </w:tcMar>
            <w:vAlign w:val="center"/>
          </w:tcPr>
          <w:p>
            <w:pPr>
              <w:jc w:val="center"/>
            </w:pPr>
            <w:r>
              <w:rPr>
                <w:rFonts w:ascii="Calibri" w:cs="Calibri" w:eastAsia="Calibri" w:hAnsi="Calibri"/>
                <w:color w:val="000000"/>
                <w:sz w:val="18"/>
                <w:szCs w:val="18"/>
              </w:rPr>
              <w:t xml:space="preserve">Retained as-is and treated separately as a stock-out risk rather than dropped</w:t>
            </w:r>
          </w:p>
        </w:tc>
      </w:tr>
    </w:tbl>
    <w:p>
      <w:pPr>
        <w:spacing w:after="200"/>
      </w:pPr>
    </w:p>
    <w:p>
      <w:pPr>
        <w:spacing w:after="160" w:line="276"/>
        <w:jc w:val="both"/>
      </w:pPr>
      <w:r>
        <w:rPr>
          <w:rFonts w:ascii="Calibri" w:cs="Calibri" w:eastAsia="Calibri" w:hAnsi="Calibri"/>
          <w:sz w:val="21"/>
          <w:szCs w:val="21"/>
        </w:rPr>
        <w:t xml:space="preserve">One item worth noting rather than 'fixing': a small number of store-product combinations in the inventory table have a stock_on_hand value of zero, which makes the sales_velocity (units sold ÷ stock on hand) mathematically undefined for that row. Rather than discard these rows, they were kept and treated separately in the inventory analysis (Section 11), since a stock level of zero next to non-zero historical unit sales is itself a meaningful signal of a potential stock-out.</w:t>
      </w:r>
    </w:p>
    <w:p>
      <w:r>
        <w:br w:type="page"/>
      </w:r>
    </w:p>
    <w:p>
      <w:pPr>
        <w:pStyle w:val="Heading1"/>
        <w:spacing w:after="180" w:before="360"/>
      </w:pPr>
      <w:r>
        <w:rPr>
          <w:rFonts w:ascii="Calibri" w:cs="Calibri" w:eastAsia="Calibri" w:hAnsi="Calibri"/>
          <w:b/>
          <w:bCs/>
          <w:color w:val="1F3864"/>
          <w:sz w:val="30"/>
          <w:szCs w:val="30"/>
        </w:rPr>
        <w:t xml:space="preserve">5. Feature Engineering</w:t>
      </w:r>
    </w:p>
    <w:p>
      <w:pPr>
        <w:spacing w:after="160" w:line="276"/>
        <w:jc w:val="both"/>
      </w:pPr>
      <w:r>
        <w:rPr>
          <w:rFonts w:ascii="Calibri" w:cs="Calibri" w:eastAsia="Calibri" w:hAnsi="Calibri"/>
          <w:sz w:val="21"/>
          <w:szCs w:val="21"/>
        </w:rPr>
        <w:t xml:space="preserve">The following calculated fields, present in the analysis, underpin every result in this report:</w:t>
      </w:r>
    </w:p>
    <w:tbl>
      <w:tblPr>
        <w:tblW w:type="dxa" w:w="9000"/>
        <w:tblBorders>
          <w:top w:val="single" w:color="BFBFBF" w:sz="4"/>
          <w:left w:val="single" w:color="BFBFBF" w:sz="4"/>
          <w:bottom w:val="single" w:color="BFBFBF" w:sz="4"/>
          <w:right w:val="single" w:color="BFBFBF" w:sz="4"/>
          <w:insideH w:val="single" w:color="D9D9D9" w:sz="2"/>
          <w:insideV w:val="single" w:color="D9D9D9" w:sz="2"/>
        </w:tblBorders>
      </w:tblPr>
      <w:tblGrid>
        <w:gridCol w:w="2400"/>
        <w:gridCol w:w="3800"/>
        <w:gridCol w:w="2800"/>
      </w:tblGrid>
      <w:tr>
        <w:trPr>
          <w:tblHeader/>
        </w:trPr>
        <w:tc>
          <w:tcPr>
            <w:tcW w:type="dxa" w:w="2400"/>
            <w:shd w:fill="1F3864" w:val="clear"/>
            <w:tcMar>
              <w:top w:type="dxa" w:w="60"/>
              <w:left w:type="dxa" w:w="90"/>
              <w:bottom w:type="dxa" w:w="60"/>
              <w:right w:type="dxa" w:w="90"/>
            </w:tcMar>
            <w:vAlign w:val="center"/>
          </w:tcPr>
          <w:p>
            <w:pPr>
              <w:jc w:val="center"/>
            </w:pPr>
            <w:r>
              <w:rPr>
                <w:rFonts w:ascii="Calibri" w:cs="Calibri" w:eastAsia="Calibri" w:hAnsi="Calibri"/>
                <w:b/>
                <w:bCs/>
                <w:color w:val="FFFFFF"/>
                <w:sz w:val="18"/>
                <w:szCs w:val="18"/>
              </w:rPr>
              <w:t xml:space="preserve">Field</w:t>
            </w:r>
          </w:p>
        </w:tc>
        <w:tc>
          <w:tcPr>
            <w:tcW w:type="dxa" w:w="3800"/>
            <w:shd w:fill="1F3864" w:val="clear"/>
            <w:tcMar>
              <w:top w:type="dxa" w:w="60"/>
              <w:left w:type="dxa" w:w="90"/>
              <w:bottom w:type="dxa" w:w="60"/>
              <w:right w:type="dxa" w:w="90"/>
            </w:tcMar>
            <w:vAlign w:val="center"/>
          </w:tcPr>
          <w:p>
            <w:pPr>
              <w:jc w:val="center"/>
            </w:pPr>
            <w:r>
              <w:rPr>
                <w:rFonts w:ascii="Calibri" w:cs="Calibri" w:eastAsia="Calibri" w:hAnsi="Calibri"/>
                <w:b/>
                <w:bCs/>
                <w:color w:val="FFFFFF"/>
                <w:sz w:val="18"/>
                <w:szCs w:val="18"/>
              </w:rPr>
              <w:t xml:space="preserve">Definition</w:t>
            </w:r>
          </w:p>
        </w:tc>
        <w:tc>
          <w:tcPr>
            <w:tcW w:type="dxa" w:w="2800"/>
            <w:shd w:fill="1F3864" w:val="clear"/>
            <w:tcMar>
              <w:top w:type="dxa" w:w="60"/>
              <w:left w:type="dxa" w:w="90"/>
              <w:bottom w:type="dxa" w:w="60"/>
              <w:right w:type="dxa" w:w="90"/>
            </w:tcMar>
            <w:vAlign w:val="center"/>
          </w:tcPr>
          <w:p>
            <w:pPr>
              <w:jc w:val="center"/>
            </w:pPr>
            <w:r>
              <w:rPr>
                <w:rFonts w:ascii="Calibri" w:cs="Calibri" w:eastAsia="Calibri" w:hAnsi="Calibri"/>
                <w:b/>
                <w:bCs/>
                <w:color w:val="FFFFFF"/>
                <w:sz w:val="18"/>
                <w:szCs w:val="18"/>
              </w:rPr>
              <w:t xml:space="preserve">Used For</w:t>
            </w:r>
          </w:p>
        </w:tc>
      </w:tr>
      <w:tr>
        <w:tc>
          <w:tcPr>
            <w:tcW w:type="dxa" w:w="2400"/>
            <w:tcMar>
              <w:top w:type="dxa" w:w="60"/>
              <w:left w:type="dxa" w:w="90"/>
              <w:bottom w:type="dxa" w:w="60"/>
              <w:right w:type="dxa" w:w="90"/>
            </w:tcMar>
            <w:vAlign w:val="center"/>
          </w:tcPr>
          <w:p>
            <w:pPr>
              <w:jc w:val="left"/>
            </w:pPr>
            <w:r>
              <w:rPr>
                <w:rFonts w:ascii="Calibri" w:cs="Calibri" w:eastAsia="Calibri" w:hAnsi="Calibri"/>
                <w:color w:val="000000"/>
                <w:sz w:val="18"/>
                <w:szCs w:val="18"/>
              </w:rPr>
              <w:t xml:space="preserve">Revenue</w:t>
            </w:r>
          </w:p>
        </w:tc>
        <w:tc>
          <w:tcPr>
            <w:tcW w:type="dxa" w:w="3800"/>
            <w:tcMar>
              <w:top w:type="dxa" w:w="60"/>
              <w:left w:type="dxa" w:w="90"/>
              <w:bottom w:type="dxa" w:w="60"/>
              <w:right w:type="dxa" w:w="90"/>
            </w:tcMar>
            <w:vAlign w:val="center"/>
          </w:tcPr>
          <w:p>
            <w:pPr>
              <w:jc w:val="center"/>
            </w:pPr>
            <w:r>
              <w:rPr>
                <w:rFonts w:ascii="Calibri" w:cs="Calibri" w:eastAsia="Calibri" w:hAnsi="Calibri"/>
                <w:color w:val="000000"/>
                <w:sz w:val="18"/>
                <w:szCs w:val="18"/>
              </w:rPr>
              <w:t xml:space="preserve">units × product_price, summed per transaction</w:t>
            </w:r>
          </w:p>
        </w:tc>
        <w:tc>
          <w:tcPr>
            <w:tcW w:type="dxa" w:w="2800"/>
            <w:tcMar>
              <w:top w:type="dxa" w:w="60"/>
              <w:left w:type="dxa" w:w="90"/>
              <w:bottom w:type="dxa" w:w="60"/>
              <w:right w:type="dxa" w:w="90"/>
            </w:tcMar>
            <w:vAlign w:val="center"/>
          </w:tcPr>
          <w:p>
            <w:pPr>
              <w:jc w:val="center"/>
            </w:pPr>
            <w:r>
              <w:rPr>
                <w:rFonts w:ascii="Calibri" w:cs="Calibri" w:eastAsia="Calibri" w:hAnsi="Calibri"/>
                <w:color w:val="000000"/>
                <w:sz w:val="18"/>
                <w:szCs w:val="18"/>
              </w:rPr>
              <w:t xml:space="preserve">All revenue-based rankings and totals</w:t>
            </w:r>
          </w:p>
        </w:tc>
      </w:tr>
      <w:tr>
        <w:tc>
          <w:tcPr>
            <w:tcW w:type="dxa" w:w="2400"/>
            <w:shd w:fill="F2F2F2" w:val="clear"/>
            <w:tcMar>
              <w:top w:type="dxa" w:w="60"/>
              <w:left w:type="dxa" w:w="90"/>
              <w:bottom w:type="dxa" w:w="60"/>
              <w:right w:type="dxa" w:w="90"/>
            </w:tcMar>
            <w:vAlign w:val="center"/>
          </w:tcPr>
          <w:p>
            <w:pPr>
              <w:jc w:val="left"/>
            </w:pPr>
            <w:r>
              <w:rPr>
                <w:rFonts w:ascii="Calibri" w:cs="Calibri" w:eastAsia="Calibri" w:hAnsi="Calibri"/>
                <w:color w:val="000000"/>
                <w:sz w:val="18"/>
                <w:szCs w:val="18"/>
              </w:rPr>
              <w:t xml:space="preserve">Cost</w:t>
            </w:r>
          </w:p>
        </w:tc>
        <w:tc>
          <w:tcPr>
            <w:tcW w:type="dxa" w:w="3800"/>
            <w:shd w:fill="F2F2F2" w:val="clear"/>
            <w:tcMar>
              <w:top w:type="dxa" w:w="60"/>
              <w:left w:type="dxa" w:w="90"/>
              <w:bottom w:type="dxa" w:w="60"/>
              <w:right w:type="dxa" w:w="90"/>
            </w:tcMar>
            <w:vAlign w:val="center"/>
          </w:tcPr>
          <w:p>
            <w:pPr>
              <w:jc w:val="center"/>
            </w:pPr>
            <w:r>
              <w:rPr>
                <w:rFonts w:ascii="Calibri" w:cs="Calibri" w:eastAsia="Calibri" w:hAnsi="Calibri"/>
                <w:color w:val="000000"/>
                <w:sz w:val="18"/>
                <w:szCs w:val="18"/>
              </w:rPr>
              <w:t xml:space="preserve">units × product_cost</w:t>
            </w:r>
          </w:p>
        </w:tc>
        <w:tc>
          <w:tcPr>
            <w:tcW w:type="dxa" w:w="2800"/>
            <w:shd w:fill="F2F2F2" w:val="clear"/>
            <w:tcMar>
              <w:top w:type="dxa" w:w="60"/>
              <w:left w:type="dxa" w:w="90"/>
              <w:bottom w:type="dxa" w:w="60"/>
              <w:right w:type="dxa" w:w="90"/>
            </w:tcMar>
            <w:vAlign w:val="center"/>
          </w:tcPr>
          <w:p>
            <w:pPr>
              <w:jc w:val="center"/>
            </w:pPr>
            <w:r>
              <w:rPr>
                <w:rFonts w:ascii="Calibri" w:cs="Calibri" w:eastAsia="Calibri" w:hAnsi="Calibri"/>
                <w:color w:val="000000"/>
                <w:sz w:val="18"/>
                <w:szCs w:val="18"/>
              </w:rPr>
              <w:t xml:space="preserve">Basis for profit calculation</w:t>
            </w:r>
          </w:p>
        </w:tc>
      </w:tr>
      <w:tr>
        <w:tc>
          <w:tcPr>
            <w:tcW w:type="dxa" w:w="2400"/>
            <w:tcMar>
              <w:top w:type="dxa" w:w="60"/>
              <w:left w:type="dxa" w:w="90"/>
              <w:bottom w:type="dxa" w:w="60"/>
              <w:right w:type="dxa" w:w="90"/>
            </w:tcMar>
            <w:vAlign w:val="center"/>
          </w:tcPr>
          <w:p>
            <w:pPr>
              <w:jc w:val="left"/>
            </w:pPr>
            <w:r>
              <w:rPr>
                <w:rFonts w:ascii="Calibri" w:cs="Calibri" w:eastAsia="Calibri" w:hAnsi="Calibri"/>
                <w:color w:val="000000"/>
                <w:sz w:val="18"/>
                <w:szCs w:val="18"/>
              </w:rPr>
              <w:t xml:space="preserve">Profit</w:t>
            </w:r>
          </w:p>
        </w:tc>
        <w:tc>
          <w:tcPr>
            <w:tcW w:type="dxa" w:w="3800"/>
            <w:tcMar>
              <w:top w:type="dxa" w:w="60"/>
              <w:left w:type="dxa" w:w="90"/>
              <w:bottom w:type="dxa" w:w="60"/>
              <w:right w:type="dxa" w:w="90"/>
            </w:tcMar>
            <w:vAlign w:val="center"/>
          </w:tcPr>
          <w:p>
            <w:pPr>
              <w:jc w:val="center"/>
            </w:pPr>
            <w:r>
              <w:rPr>
                <w:rFonts w:ascii="Calibri" w:cs="Calibri" w:eastAsia="Calibri" w:hAnsi="Calibri"/>
                <w:color w:val="000000"/>
                <w:sz w:val="18"/>
                <w:szCs w:val="18"/>
              </w:rPr>
              <w:t xml:space="preserve">Revenue − Cost</w:t>
            </w:r>
          </w:p>
        </w:tc>
        <w:tc>
          <w:tcPr>
            <w:tcW w:type="dxa" w:w="2800"/>
            <w:tcMar>
              <w:top w:type="dxa" w:w="60"/>
              <w:left w:type="dxa" w:w="90"/>
              <w:bottom w:type="dxa" w:w="60"/>
              <w:right w:type="dxa" w:w="90"/>
            </w:tcMar>
            <w:vAlign w:val="center"/>
          </w:tcPr>
          <w:p>
            <w:pPr>
              <w:jc w:val="center"/>
            </w:pPr>
            <w:r>
              <w:rPr>
                <w:rFonts w:ascii="Calibri" w:cs="Calibri" w:eastAsia="Calibri" w:hAnsi="Calibri"/>
                <w:color w:val="000000"/>
                <w:sz w:val="18"/>
                <w:szCs w:val="18"/>
              </w:rPr>
              <w:t xml:space="preserve">All profit-based rankings and totals</w:t>
            </w:r>
          </w:p>
        </w:tc>
      </w:tr>
      <w:tr>
        <w:tc>
          <w:tcPr>
            <w:tcW w:type="dxa" w:w="2400"/>
            <w:shd w:fill="F2F2F2" w:val="clear"/>
            <w:tcMar>
              <w:top w:type="dxa" w:w="60"/>
              <w:left w:type="dxa" w:w="90"/>
              <w:bottom w:type="dxa" w:w="60"/>
              <w:right w:type="dxa" w:w="90"/>
            </w:tcMar>
            <w:vAlign w:val="center"/>
          </w:tcPr>
          <w:p>
            <w:pPr>
              <w:jc w:val="left"/>
            </w:pPr>
            <w:r>
              <w:rPr>
                <w:rFonts w:ascii="Calibri" w:cs="Calibri" w:eastAsia="Calibri" w:hAnsi="Calibri"/>
                <w:color w:val="000000"/>
                <w:sz w:val="18"/>
                <w:szCs w:val="18"/>
              </w:rPr>
              <w:t xml:space="preserve">Profit Margin (%)</w:t>
            </w:r>
          </w:p>
        </w:tc>
        <w:tc>
          <w:tcPr>
            <w:tcW w:type="dxa" w:w="3800"/>
            <w:shd w:fill="F2F2F2" w:val="clear"/>
            <w:tcMar>
              <w:top w:type="dxa" w:w="60"/>
              <w:left w:type="dxa" w:w="90"/>
              <w:bottom w:type="dxa" w:w="60"/>
              <w:right w:type="dxa" w:w="90"/>
            </w:tcMar>
            <w:vAlign w:val="center"/>
          </w:tcPr>
          <w:p>
            <w:pPr>
              <w:jc w:val="center"/>
            </w:pPr>
            <w:r>
              <w:rPr>
                <w:rFonts w:ascii="Calibri" w:cs="Calibri" w:eastAsia="Calibri" w:hAnsi="Calibri"/>
                <w:color w:val="000000"/>
                <w:sz w:val="18"/>
                <w:szCs w:val="18"/>
              </w:rPr>
              <w:t xml:space="preserve">(Profit ÷ Revenue) × 100</w:t>
            </w:r>
          </w:p>
        </w:tc>
        <w:tc>
          <w:tcPr>
            <w:tcW w:type="dxa" w:w="2800"/>
            <w:shd w:fill="F2F2F2" w:val="clear"/>
            <w:tcMar>
              <w:top w:type="dxa" w:w="60"/>
              <w:left w:type="dxa" w:w="90"/>
              <w:bottom w:type="dxa" w:w="60"/>
              <w:right w:type="dxa" w:w="90"/>
            </w:tcMar>
            <w:vAlign w:val="center"/>
          </w:tcPr>
          <w:p>
            <w:pPr>
              <w:jc w:val="center"/>
            </w:pPr>
            <w:r>
              <w:rPr>
                <w:rFonts w:ascii="Calibri" w:cs="Calibri" w:eastAsia="Calibri" w:hAnsi="Calibri"/>
                <w:color w:val="000000"/>
                <w:sz w:val="18"/>
                <w:szCs w:val="18"/>
              </w:rPr>
              <w:t xml:space="preserve">Comparing profitability independent of scale</w:t>
            </w:r>
          </w:p>
        </w:tc>
      </w:tr>
      <w:tr>
        <w:tc>
          <w:tcPr>
            <w:tcW w:type="dxa" w:w="2400"/>
            <w:tcMar>
              <w:top w:type="dxa" w:w="60"/>
              <w:left w:type="dxa" w:w="90"/>
              <w:bottom w:type="dxa" w:w="60"/>
              <w:right w:type="dxa" w:w="90"/>
            </w:tcMar>
            <w:vAlign w:val="center"/>
          </w:tcPr>
          <w:p>
            <w:pPr>
              <w:jc w:val="left"/>
            </w:pPr>
            <w:r>
              <w:rPr>
                <w:rFonts w:ascii="Calibri" w:cs="Calibri" w:eastAsia="Calibri" w:hAnsi="Calibri"/>
                <w:color w:val="000000"/>
                <w:sz w:val="18"/>
                <w:szCs w:val="18"/>
              </w:rPr>
              <w:t xml:space="preserve">Year / Month / Quarter</w:t>
            </w:r>
          </w:p>
        </w:tc>
        <w:tc>
          <w:tcPr>
            <w:tcW w:type="dxa" w:w="3800"/>
            <w:tcMar>
              <w:top w:type="dxa" w:w="60"/>
              <w:left w:type="dxa" w:w="90"/>
              <w:bottom w:type="dxa" w:w="60"/>
              <w:right w:type="dxa" w:w="90"/>
            </w:tcMar>
            <w:vAlign w:val="center"/>
          </w:tcPr>
          <w:p>
            <w:pPr>
              <w:jc w:val="center"/>
            </w:pPr>
            <w:r>
              <w:rPr>
                <w:rFonts w:ascii="Calibri" w:cs="Calibri" w:eastAsia="Calibri" w:hAnsi="Calibri"/>
                <w:color w:val="000000"/>
                <w:sz w:val="18"/>
                <w:szCs w:val="18"/>
              </w:rPr>
              <w:t xml:space="preserve">Extracted from the transaction date</w:t>
            </w:r>
          </w:p>
        </w:tc>
        <w:tc>
          <w:tcPr>
            <w:tcW w:type="dxa" w:w="2800"/>
            <w:tcMar>
              <w:top w:type="dxa" w:w="60"/>
              <w:left w:type="dxa" w:w="90"/>
              <w:bottom w:type="dxa" w:w="60"/>
              <w:right w:type="dxa" w:w="90"/>
            </w:tcMar>
            <w:vAlign w:val="center"/>
          </w:tcPr>
          <w:p>
            <w:pPr>
              <w:jc w:val="center"/>
            </w:pPr>
            <w:r>
              <w:rPr>
                <w:rFonts w:ascii="Calibri" w:cs="Calibri" w:eastAsia="Calibri" w:hAnsi="Calibri"/>
                <w:color w:val="000000"/>
                <w:sz w:val="18"/>
                <w:szCs w:val="18"/>
              </w:rPr>
              <w:t xml:space="preserve">Monthly and quarterly trend and seasonality analysis</w:t>
            </w:r>
          </w:p>
        </w:tc>
      </w:tr>
      <w:tr>
        <w:tc>
          <w:tcPr>
            <w:tcW w:type="dxa" w:w="2400"/>
            <w:shd w:fill="F2F2F2" w:val="clear"/>
            <w:tcMar>
              <w:top w:type="dxa" w:w="60"/>
              <w:left w:type="dxa" w:w="90"/>
              <w:bottom w:type="dxa" w:w="60"/>
              <w:right w:type="dxa" w:w="90"/>
            </w:tcMar>
            <w:vAlign w:val="center"/>
          </w:tcPr>
          <w:p>
            <w:pPr>
              <w:jc w:val="left"/>
            </w:pPr>
            <w:r>
              <w:rPr>
                <w:rFonts w:ascii="Calibri" w:cs="Calibri" w:eastAsia="Calibri" w:hAnsi="Calibri"/>
                <w:color w:val="000000"/>
                <w:sz w:val="18"/>
                <w:szCs w:val="18"/>
              </w:rPr>
              <w:t xml:space="preserve">Sales Velocity</w:t>
            </w:r>
          </w:p>
        </w:tc>
        <w:tc>
          <w:tcPr>
            <w:tcW w:type="dxa" w:w="3800"/>
            <w:shd w:fill="F2F2F2" w:val="clear"/>
            <w:tcMar>
              <w:top w:type="dxa" w:w="60"/>
              <w:left w:type="dxa" w:w="90"/>
              <w:bottom w:type="dxa" w:w="60"/>
              <w:right w:type="dxa" w:w="90"/>
            </w:tcMar>
            <w:vAlign w:val="center"/>
          </w:tcPr>
          <w:p>
            <w:pPr>
              <w:jc w:val="center"/>
            </w:pPr>
            <w:r>
              <w:rPr>
                <w:rFonts w:ascii="Calibri" w:cs="Calibri" w:eastAsia="Calibri" w:hAnsi="Calibri"/>
                <w:color w:val="000000"/>
                <w:sz w:val="18"/>
                <w:szCs w:val="18"/>
              </w:rPr>
              <w:t xml:space="preserve">units_sold ÷ stock_on_hand (inventory table)</w:t>
            </w:r>
          </w:p>
        </w:tc>
        <w:tc>
          <w:tcPr>
            <w:tcW w:type="dxa" w:w="2800"/>
            <w:shd w:fill="F2F2F2" w:val="clear"/>
            <w:tcMar>
              <w:top w:type="dxa" w:w="60"/>
              <w:left w:type="dxa" w:w="90"/>
              <w:bottom w:type="dxa" w:w="60"/>
              <w:right w:type="dxa" w:w="90"/>
            </w:tcMar>
            <w:vAlign w:val="center"/>
          </w:tcPr>
          <w:p>
            <w:pPr>
              <w:jc w:val="center"/>
            </w:pPr>
            <w:r>
              <w:rPr>
                <w:rFonts w:ascii="Calibri" w:cs="Calibri" w:eastAsia="Calibri" w:hAnsi="Calibri"/>
                <w:color w:val="000000"/>
                <w:sz w:val="18"/>
                <w:szCs w:val="18"/>
              </w:rPr>
              <w:t xml:space="preserve">Identifying fast-moving and low-inventory products</w:t>
            </w:r>
          </w:p>
        </w:tc>
      </w:tr>
    </w:tbl>
    <w:p>
      <w:pPr>
        <w:spacing w:after="200"/>
      </w:pPr>
    </w:p>
    <w:p>
      <w:pPr>
        <w:spacing w:after="160" w:line="276"/>
        <w:jc w:val="both"/>
      </w:pPr>
      <w:r>
        <w:rPr>
          <w:rFonts w:ascii="Calibri" w:cs="Calibri" w:eastAsia="Calibri" w:hAnsi="Calibri"/>
          <w:sz w:val="21"/>
          <w:szCs w:val="21"/>
        </w:rPr>
        <w:t xml:space="preserve">These fields were calculated in the EDA notebook (03_eda.ipynb) and validated against the pre-aggregated performance tables (product_performance.csv, category_performance.csv, store_performance.csv, monthly_sales.csv) supplied alongside the transaction-level sales_fact.csv.</w:t>
      </w:r>
    </w:p>
    <w:p>
      <w:r>
        <w:br w:type="page"/>
      </w:r>
    </w:p>
    <w:p>
      <w:pPr>
        <w:pStyle w:val="Heading1"/>
        <w:spacing w:after="180" w:before="360"/>
      </w:pPr>
      <w:r>
        <w:rPr>
          <w:rFonts w:ascii="Calibri" w:cs="Calibri" w:eastAsia="Calibri" w:hAnsi="Calibri"/>
          <w:b/>
          <w:bCs/>
          <w:color w:val="1F3864"/>
          <w:sz w:val="30"/>
          <w:szCs w:val="30"/>
        </w:rPr>
        <w:t xml:space="preserve">6. Sales Performance Analysis</w:t>
      </w:r>
    </w:p>
    <w:p>
      <w:pPr>
        <w:pStyle w:val="Heading2"/>
        <w:spacing w:after="140" w:before="280"/>
      </w:pPr>
      <w:r>
        <w:rPr>
          <w:rFonts w:ascii="Calibri" w:cs="Calibri" w:eastAsia="Calibri" w:hAnsi="Calibri"/>
          <w:b/>
          <w:bCs/>
          <w:color w:val="2E74B5"/>
          <w:sz w:val="25"/>
          <w:szCs w:val="25"/>
        </w:rPr>
        <w:t xml:space="preserve">6.1 Total Revenue and Overall Scale</w:t>
      </w:r>
    </w:p>
    <w:p>
      <w:pPr>
        <w:spacing w:after="160" w:line="276"/>
        <w:jc w:val="both"/>
      </w:pPr>
      <w:r>
        <w:rPr>
          <w:rFonts w:ascii="Calibri" w:cs="Calibri" w:eastAsia="Calibri" w:hAnsi="Calibri"/>
          <w:sz w:val="21"/>
          <w:szCs w:val="21"/>
        </w:rPr>
        <w:t xml:space="preserve">Across the full analysis period (January 2022 – September 2023), Maven Toys generated total revenue of $14,444,572.35 from 1,090,565 units sold, across 829,262 individual sales transactions, 35 products, and 50 stores.</w:t>
      </w:r>
    </w:p>
    <w:p>
      <w:pPr>
        <w:pStyle w:val="Heading2"/>
        <w:spacing w:after="140" w:before="280"/>
      </w:pPr>
      <w:r>
        <w:rPr>
          <w:rFonts w:ascii="Calibri" w:cs="Calibri" w:eastAsia="Calibri" w:hAnsi="Calibri"/>
          <w:b/>
          <w:bCs/>
          <w:color w:val="2E74B5"/>
          <w:sz w:val="25"/>
          <w:szCs w:val="25"/>
        </w:rPr>
        <w:t xml:space="preserve">6.2 Sales Trend Over Time</w:t>
      </w:r>
    </w:p>
    <w:p>
      <w:pPr>
        <w:spacing w:after="40" w:before="160"/>
        <w:jc w:val="center"/>
      </w:pPr>
      <w:r>
        <w:drawing>
          <wp:inline distT="0" distB="0" distL="0" distR="0">
            <wp:extent cx="4762500" cy="1857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1857375"/>
                    </a:xfrm>
                    <a:prstGeom prst="rect">
                      <a:avLst/>
                    </a:prstGeom>
                  </pic:spPr>
                </pic:pic>
              </a:graphicData>
            </a:graphic>
          </wp:inline>
        </w:drawing>
      </w:r>
    </w:p>
    <w:p>
      <w:pPr>
        <w:spacing w:after="220" w:before="80"/>
        <w:jc w:val="center"/>
      </w:pPr>
      <w:r>
        <w:rPr>
          <w:rFonts w:ascii="Calibri" w:cs="Calibri" w:eastAsia="Calibri" w:hAnsi="Calibri"/>
          <w:i/>
          <w:iCs/>
          <w:color w:val="595959"/>
          <w:sz w:val="19"/>
          <w:szCs w:val="19"/>
        </w:rPr>
        <w:t xml:space="preserve">Figure 1. Monthly Revenue Trend (Jan 2022 – Sep 2023)</w:t>
      </w:r>
    </w:p>
    <w:p>
      <w:pPr>
        <w:spacing w:after="160" w:line="276"/>
        <w:jc w:val="both"/>
      </w:pPr>
      <w:r>
        <w:rPr>
          <w:rFonts w:ascii="Calibri" w:cs="Calibri" w:eastAsia="Calibri" w:hAnsi="Calibri"/>
          <w:sz w:val="21"/>
          <w:szCs w:val="21"/>
        </w:rPr>
        <w:t xml:space="preserve">Monthly revenue shows a clear upward trend across the period, rising from roughly $540,000–$590,000 per month in the first quarter of 2022 to a range of $800,000–$880,000 per month for most of 2023. The trend is not perfectly smooth: there is a pronounced dip in mid-2022 (bottoming out in August 2022 at $489,422.73, the single lowest month in the dataset) followed by a sharp recovery into the final quarter of 2022, and a similar, smaller dip appears again in the second half of 2023.</w:t>
      </w:r>
    </w:p>
    <w:p>
      <w:pPr>
        <w:spacing w:after="40" w:before="160"/>
        <w:jc w:val="center"/>
      </w:pPr>
      <w:r>
        <w:drawing>
          <wp:inline distT="0" distB="0" distL="0" distR="0">
            <wp:extent cx="4762500" cy="1857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1857375"/>
                    </a:xfrm>
                    <a:prstGeom prst="rect">
                      <a:avLst/>
                    </a:prstGeom>
                  </pic:spPr>
                </pic:pic>
              </a:graphicData>
            </a:graphic>
          </wp:inline>
        </w:drawing>
      </w:r>
    </w:p>
    <w:p>
      <w:pPr>
        <w:spacing w:after="220" w:before="80"/>
        <w:jc w:val="center"/>
      </w:pPr>
      <w:r>
        <w:rPr>
          <w:rFonts w:ascii="Calibri" w:cs="Calibri" w:eastAsia="Calibri" w:hAnsi="Calibri"/>
          <w:i/>
          <w:iCs/>
          <w:color w:val="595959"/>
          <w:sz w:val="19"/>
          <w:szCs w:val="19"/>
        </w:rPr>
        <w:t xml:space="preserve">Figure 2. Monthly Units Sold (Jan 2022 – Sep 2023)</w:t>
      </w:r>
    </w:p>
    <w:p>
      <w:pPr>
        <w:spacing w:after="160" w:line="276"/>
        <w:jc w:val="both"/>
      </w:pPr>
      <w:r>
        <w:rPr>
          <w:rFonts w:ascii="Calibri" w:cs="Calibri" w:eastAsia="Calibri" w:hAnsi="Calibri"/>
          <w:sz w:val="21"/>
          <w:szCs w:val="21"/>
        </w:rPr>
        <w:t xml:space="preserve">Units sold follow a very similar pattern to revenue, moving from roughly 37,000–40,000 units per month in early 2022 up to a peak of 69,336 units in March 2023, with the same mid-2022 dip and a comparable softening late in the series.</w:t>
      </w:r>
    </w:p>
    <w:p>
      <w:pPr>
        <w:pStyle w:val="Heading2"/>
        <w:spacing w:after="140" w:before="280"/>
      </w:pPr>
      <w:r>
        <w:rPr>
          <w:rFonts w:ascii="Calibri" w:cs="Calibri" w:eastAsia="Calibri" w:hAnsi="Calibri"/>
          <w:b/>
          <w:bCs/>
          <w:color w:val="2E74B5"/>
          <w:sz w:val="25"/>
          <w:szCs w:val="25"/>
        </w:rPr>
        <w:t xml:space="preserve">6.3 Best and Worst Performing Months</w:t>
      </w:r>
    </w:p>
    <w:tbl>
      <w:tblPr>
        <w:tblW w:type="dxa" w:w="9500"/>
        <w:tblBorders>
          <w:top w:val="single" w:color="BFBFBF" w:sz="4"/>
          <w:left w:val="single" w:color="BFBFBF" w:sz="4"/>
          <w:bottom w:val="single" w:color="BFBFBF" w:sz="4"/>
          <w:right w:val="single" w:color="BFBFBF" w:sz="4"/>
          <w:insideH w:val="single" w:color="D9D9D9" w:sz="2"/>
          <w:insideV w:val="single" w:color="D9D9D9" w:sz="2"/>
        </w:tblBorders>
      </w:tblPr>
      <w:tblGrid>
        <w:gridCol w:w="1500"/>
        <w:gridCol w:w="2200"/>
        <w:gridCol w:w="2000"/>
        <w:gridCol w:w="2000"/>
        <w:gridCol w:w="1800"/>
      </w:tblGrid>
      <w:tr>
        <w:trPr>
          <w:tblHeader/>
        </w:trPr>
        <w:tc>
          <w:tcPr>
            <w:tcW w:type="dxa" w:w="1500"/>
            <w:shd w:fill="1F3864" w:val="clear"/>
            <w:tcMar>
              <w:top w:type="dxa" w:w="60"/>
              <w:left w:type="dxa" w:w="90"/>
              <w:bottom w:type="dxa" w:w="60"/>
              <w:right w:type="dxa" w:w="90"/>
            </w:tcMar>
            <w:vAlign w:val="center"/>
          </w:tcPr>
          <w:p>
            <w:pPr>
              <w:jc w:val="center"/>
            </w:pPr>
            <w:r>
              <w:rPr>
                <w:rFonts w:ascii="Calibri" w:cs="Calibri" w:eastAsia="Calibri" w:hAnsi="Calibri"/>
                <w:b/>
                <w:bCs/>
                <w:color w:val="FFFFFF"/>
                <w:sz w:val="18"/>
                <w:szCs w:val="18"/>
              </w:rPr>
              <w:t xml:space="preserve">Rank</w:t>
            </w:r>
          </w:p>
        </w:tc>
        <w:tc>
          <w:tcPr>
            <w:tcW w:type="dxa" w:w="2200"/>
            <w:shd w:fill="1F3864" w:val="clear"/>
            <w:tcMar>
              <w:top w:type="dxa" w:w="60"/>
              <w:left w:type="dxa" w:w="90"/>
              <w:bottom w:type="dxa" w:w="60"/>
              <w:right w:type="dxa" w:w="90"/>
            </w:tcMar>
            <w:vAlign w:val="center"/>
          </w:tcPr>
          <w:p>
            <w:pPr>
              <w:jc w:val="center"/>
            </w:pPr>
            <w:r>
              <w:rPr>
                <w:rFonts w:ascii="Calibri" w:cs="Calibri" w:eastAsia="Calibri" w:hAnsi="Calibri"/>
                <w:b/>
                <w:bCs/>
                <w:color w:val="FFFFFF"/>
                <w:sz w:val="18"/>
                <w:szCs w:val="18"/>
              </w:rPr>
              <w:t xml:space="preserve">Month</w:t>
            </w:r>
          </w:p>
        </w:tc>
        <w:tc>
          <w:tcPr>
            <w:tcW w:type="dxa" w:w="2000"/>
            <w:shd w:fill="1F3864" w:val="clear"/>
            <w:tcMar>
              <w:top w:type="dxa" w:w="60"/>
              <w:left w:type="dxa" w:w="90"/>
              <w:bottom w:type="dxa" w:w="60"/>
              <w:right w:type="dxa" w:w="90"/>
            </w:tcMar>
            <w:vAlign w:val="center"/>
          </w:tcPr>
          <w:p>
            <w:pPr>
              <w:jc w:val="center"/>
            </w:pPr>
            <w:r>
              <w:rPr>
                <w:rFonts w:ascii="Calibri" w:cs="Calibri" w:eastAsia="Calibri" w:hAnsi="Calibri"/>
                <w:b/>
                <w:bCs/>
                <w:color w:val="FFFFFF"/>
                <w:sz w:val="18"/>
                <w:szCs w:val="18"/>
              </w:rPr>
              <w:t xml:space="preserve">Revenue</w:t>
            </w:r>
          </w:p>
        </w:tc>
        <w:tc>
          <w:tcPr>
            <w:tcW w:type="dxa" w:w="2000"/>
            <w:shd w:fill="1F3864" w:val="clear"/>
            <w:tcMar>
              <w:top w:type="dxa" w:w="60"/>
              <w:left w:type="dxa" w:w="90"/>
              <w:bottom w:type="dxa" w:w="60"/>
              <w:right w:type="dxa" w:w="90"/>
            </w:tcMar>
            <w:vAlign w:val="center"/>
          </w:tcPr>
          <w:p>
            <w:pPr>
              <w:jc w:val="center"/>
            </w:pPr>
            <w:r>
              <w:rPr>
                <w:rFonts w:ascii="Calibri" w:cs="Calibri" w:eastAsia="Calibri" w:hAnsi="Calibri"/>
                <w:b/>
                <w:bCs/>
                <w:color w:val="FFFFFF"/>
                <w:sz w:val="18"/>
                <w:szCs w:val="18"/>
              </w:rPr>
              <w:t xml:space="preserve">Profit</w:t>
            </w:r>
          </w:p>
        </w:tc>
        <w:tc>
          <w:tcPr>
            <w:tcW w:type="dxa" w:w="1800"/>
            <w:shd w:fill="1F3864" w:val="clear"/>
            <w:tcMar>
              <w:top w:type="dxa" w:w="60"/>
              <w:left w:type="dxa" w:w="90"/>
              <w:bottom w:type="dxa" w:w="60"/>
              <w:right w:type="dxa" w:w="90"/>
            </w:tcMar>
            <w:vAlign w:val="center"/>
          </w:tcPr>
          <w:p>
            <w:pPr>
              <w:jc w:val="center"/>
            </w:pPr>
            <w:r>
              <w:rPr>
                <w:rFonts w:ascii="Calibri" w:cs="Calibri" w:eastAsia="Calibri" w:hAnsi="Calibri"/>
                <w:b/>
                <w:bCs/>
                <w:color w:val="FFFFFF"/>
                <w:sz w:val="18"/>
                <w:szCs w:val="18"/>
              </w:rPr>
              <w:t xml:space="preserve">Units Sold</w:t>
            </w:r>
          </w:p>
        </w:tc>
      </w:tr>
      <w:tr>
        <w:tc>
          <w:tcPr>
            <w:tcW w:type="dxa" w:w="1500"/>
            <w:tcMar>
              <w:top w:type="dxa" w:w="60"/>
              <w:left w:type="dxa" w:w="90"/>
              <w:bottom w:type="dxa" w:w="60"/>
              <w:right w:type="dxa" w:w="90"/>
            </w:tcMar>
            <w:vAlign w:val="center"/>
          </w:tcPr>
          <w:p>
            <w:pPr>
              <w:jc w:val="left"/>
            </w:pPr>
            <w:r>
              <w:rPr>
                <w:rFonts w:ascii="Calibri" w:cs="Calibri" w:eastAsia="Calibri" w:hAnsi="Calibri"/>
                <w:color w:val="000000"/>
                <w:sz w:val="18"/>
                <w:szCs w:val="18"/>
              </w:rPr>
              <w:t xml:space="preserve">Best (1)</w:t>
            </w:r>
          </w:p>
        </w:tc>
        <w:tc>
          <w:tcPr>
            <w:tcW w:type="dxa" w:w="2200"/>
            <w:tcMar>
              <w:top w:type="dxa" w:w="60"/>
              <w:left w:type="dxa" w:w="90"/>
              <w:bottom w:type="dxa" w:w="60"/>
              <w:right w:type="dxa" w:w="90"/>
            </w:tcMar>
            <w:vAlign w:val="center"/>
          </w:tcPr>
          <w:p>
            <w:pPr>
              <w:jc w:val="center"/>
            </w:pPr>
            <w:r>
              <w:rPr>
                <w:rFonts w:ascii="Calibri" w:cs="Calibri" w:eastAsia="Calibri" w:hAnsi="Calibri"/>
                <w:color w:val="000000"/>
                <w:sz w:val="18"/>
                <w:szCs w:val="18"/>
              </w:rPr>
              <w:t xml:space="preserve">March 2023</w:t>
            </w:r>
          </w:p>
        </w:tc>
        <w:tc>
          <w:tcPr>
            <w:tcW w:type="dxa" w:w="2000"/>
            <w:tcMar>
              <w:top w:type="dxa" w:w="60"/>
              <w:left w:type="dxa" w:w="90"/>
              <w:bottom w:type="dxa" w:w="60"/>
              <w:right w:type="dxa" w:w="90"/>
            </w:tcMar>
            <w:vAlign w:val="center"/>
          </w:tcPr>
          <w:p>
            <w:pPr>
              <w:jc w:val="center"/>
            </w:pPr>
            <w:r>
              <w:rPr>
                <w:rFonts w:ascii="Calibri" w:cs="Calibri" w:eastAsia="Calibri" w:hAnsi="Calibri"/>
                <w:color w:val="000000"/>
                <w:sz w:val="18"/>
                <w:szCs w:val="18"/>
              </w:rPr>
              <w:t xml:space="preserve">$883,515.64</w:t>
            </w:r>
          </w:p>
        </w:tc>
        <w:tc>
          <w:tcPr>
            <w:tcW w:type="dxa" w:w="2000"/>
            <w:tcMar>
              <w:top w:type="dxa" w:w="60"/>
              <w:left w:type="dxa" w:w="90"/>
              <w:bottom w:type="dxa" w:w="60"/>
              <w:right w:type="dxa" w:w="90"/>
            </w:tcMar>
            <w:vAlign w:val="center"/>
          </w:tcPr>
          <w:p>
            <w:pPr>
              <w:jc w:val="center"/>
            </w:pPr>
            <w:r>
              <w:rPr>
                <w:rFonts w:ascii="Calibri" w:cs="Calibri" w:eastAsia="Calibri" w:hAnsi="Calibri"/>
                <w:color w:val="000000"/>
                <w:sz w:val="18"/>
                <w:szCs w:val="18"/>
              </w:rPr>
              <w:t xml:space="preserve">$231,909.00</w:t>
            </w:r>
          </w:p>
        </w:tc>
        <w:tc>
          <w:tcPr>
            <w:tcW w:type="dxa" w:w="1800"/>
            <w:tcMar>
              <w:top w:type="dxa" w:w="60"/>
              <w:left w:type="dxa" w:w="90"/>
              <w:bottom w:type="dxa" w:w="60"/>
              <w:right w:type="dxa" w:w="90"/>
            </w:tcMar>
            <w:vAlign w:val="center"/>
          </w:tcPr>
          <w:p>
            <w:pPr>
              <w:jc w:val="center"/>
            </w:pPr>
            <w:r>
              <w:rPr>
                <w:rFonts w:ascii="Calibri" w:cs="Calibri" w:eastAsia="Calibri" w:hAnsi="Calibri"/>
                <w:color w:val="000000"/>
                <w:sz w:val="18"/>
                <w:szCs w:val="18"/>
              </w:rPr>
              <w:t xml:space="preserve">69,336</w:t>
            </w:r>
          </w:p>
        </w:tc>
      </w:tr>
      <w:tr>
        <w:tc>
          <w:tcPr>
            <w:tcW w:type="dxa" w:w="1500"/>
            <w:shd w:fill="F2F2F2" w:val="clear"/>
            <w:tcMar>
              <w:top w:type="dxa" w:w="60"/>
              <w:left w:type="dxa" w:w="90"/>
              <w:bottom w:type="dxa" w:w="60"/>
              <w:right w:type="dxa" w:w="90"/>
            </w:tcMar>
            <w:vAlign w:val="center"/>
          </w:tcPr>
          <w:p>
            <w:pPr>
              <w:jc w:val="left"/>
            </w:pPr>
            <w:r>
              <w:rPr>
                <w:rFonts w:ascii="Calibri" w:cs="Calibri" w:eastAsia="Calibri" w:hAnsi="Calibri"/>
                <w:color w:val="000000"/>
                <w:sz w:val="18"/>
                <w:szCs w:val="18"/>
              </w:rPr>
              <w:t xml:space="preserve">Best (2)</w:t>
            </w:r>
          </w:p>
        </w:tc>
        <w:tc>
          <w:tcPr>
            <w:tcW w:type="dxa" w:w="2200"/>
            <w:shd w:fill="F2F2F2" w:val="clear"/>
            <w:tcMar>
              <w:top w:type="dxa" w:w="60"/>
              <w:left w:type="dxa" w:w="90"/>
              <w:bottom w:type="dxa" w:w="60"/>
              <w:right w:type="dxa" w:w="90"/>
            </w:tcMar>
            <w:vAlign w:val="center"/>
          </w:tcPr>
          <w:p>
            <w:pPr>
              <w:jc w:val="center"/>
            </w:pPr>
            <w:r>
              <w:rPr>
                <w:rFonts w:ascii="Calibri" w:cs="Calibri" w:eastAsia="Calibri" w:hAnsi="Calibri"/>
                <w:color w:val="000000"/>
                <w:sz w:val="18"/>
                <w:szCs w:val="18"/>
              </w:rPr>
              <w:t xml:space="preserve">December 2022</w:t>
            </w:r>
          </w:p>
        </w:tc>
        <w:tc>
          <w:tcPr>
            <w:tcW w:type="dxa" w:w="2000"/>
            <w:shd w:fill="F2F2F2" w:val="clear"/>
            <w:tcMar>
              <w:top w:type="dxa" w:w="60"/>
              <w:left w:type="dxa" w:w="90"/>
              <w:bottom w:type="dxa" w:w="60"/>
              <w:right w:type="dxa" w:w="90"/>
            </w:tcMar>
            <w:vAlign w:val="center"/>
          </w:tcPr>
          <w:p>
            <w:pPr>
              <w:jc w:val="center"/>
            </w:pPr>
            <w:r>
              <w:rPr>
                <w:rFonts w:ascii="Calibri" w:cs="Calibri" w:eastAsia="Calibri" w:hAnsi="Calibri"/>
                <w:color w:val="000000"/>
                <w:sz w:val="18"/>
                <w:szCs w:val="18"/>
              </w:rPr>
              <w:t xml:space="preserve">$877,203.69</w:t>
            </w:r>
          </w:p>
        </w:tc>
        <w:tc>
          <w:tcPr>
            <w:tcW w:type="dxa" w:w="2000"/>
            <w:shd w:fill="F2F2F2" w:val="clear"/>
            <w:tcMar>
              <w:top w:type="dxa" w:w="60"/>
              <w:left w:type="dxa" w:w="90"/>
              <w:bottom w:type="dxa" w:w="60"/>
              <w:right w:type="dxa" w:w="90"/>
            </w:tcMar>
            <w:vAlign w:val="center"/>
          </w:tcPr>
          <w:p>
            <w:pPr>
              <w:jc w:val="center"/>
            </w:pPr>
            <w:r>
              <w:rPr>
                <w:rFonts w:ascii="Calibri" w:cs="Calibri" w:eastAsia="Calibri" w:hAnsi="Calibri"/>
                <w:color w:val="000000"/>
                <w:sz w:val="18"/>
                <w:szCs w:val="18"/>
              </w:rPr>
              <w:t xml:space="preserve">$246,078.00</w:t>
            </w:r>
          </w:p>
        </w:tc>
        <w:tc>
          <w:tcPr>
            <w:tcW w:type="dxa" w:w="1800"/>
            <w:shd w:fill="F2F2F2" w:val="clear"/>
            <w:tcMar>
              <w:top w:type="dxa" w:w="60"/>
              <w:left w:type="dxa" w:w="90"/>
              <w:bottom w:type="dxa" w:w="60"/>
              <w:right w:type="dxa" w:w="90"/>
            </w:tcMar>
            <w:vAlign w:val="center"/>
          </w:tcPr>
          <w:p>
            <w:pPr>
              <w:jc w:val="center"/>
            </w:pPr>
            <w:r>
              <w:rPr>
                <w:rFonts w:ascii="Calibri" w:cs="Calibri" w:eastAsia="Calibri" w:hAnsi="Calibri"/>
                <w:color w:val="000000"/>
                <w:sz w:val="18"/>
                <w:szCs w:val="18"/>
              </w:rPr>
              <w:t xml:space="preserve">66,031</w:t>
            </w:r>
          </w:p>
        </w:tc>
      </w:tr>
      <w:tr>
        <w:tc>
          <w:tcPr>
            <w:tcW w:type="dxa" w:w="1500"/>
            <w:tcMar>
              <w:top w:type="dxa" w:w="60"/>
              <w:left w:type="dxa" w:w="90"/>
              <w:bottom w:type="dxa" w:w="60"/>
              <w:right w:type="dxa" w:w="90"/>
            </w:tcMar>
            <w:vAlign w:val="center"/>
          </w:tcPr>
          <w:p>
            <w:pPr>
              <w:jc w:val="left"/>
            </w:pPr>
            <w:r>
              <w:rPr>
                <w:rFonts w:ascii="Calibri" w:cs="Calibri" w:eastAsia="Calibri" w:hAnsi="Calibri"/>
                <w:color w:val="000000"/>
                <w:sz w:val="18"/>
                <w:szCs w:val="18"/>
              </w:rPr>
              <w:t xml:space="preserve">Best (3)</w:t>
            </w:r>
          </w:p>
        </w:tc>
        <w:tc>
          <w:tcPr>
            <w:tcW w:type="dxa" w:w="2200"/>
            <w:tcMar>
              <w:top w:type="dxa" w:w="60"/>
              <w:left w:type="dxa" w:w="90"/>
              <w:bottom w:type="dxa" w:w="60"/>
              <w:right w:type="dxa" w:w="90"/>
            </w:tcMar>
            <w:vAlign w:val="center"/>
          </w:tcPr>
          <w:p>
            <w:pPr>
              <w:jc w:val="center"/>
            </w:pPr>
            <w:r>
              <w:rPr>
                <w:rFonts w:ascii="Calibri" w:cs="Calibri" w:eastAsia="Calibri" w:hAnsi="Calibri"/>
                <w:color w:val="000000"/>
                <w:sz w:val="18"/>
                <w:szCs w:val="18"/>
              </w:rPr>
              <w:t xml:space="preserve">July 2023</w:t>
            </w:r>
          </w:p>
        </w:tc>
        <w:tc>
          <w:tcPr>
            <w:tcW w:type="dxa" w:w="2000"/>
            <w:tcMar>
              <w:top w:type="dxa" w:w="60"/>
              <w:left w:type="dxa" w:w="90"/>
              <w:bottom w:type="dxa" w:w="60"/>
              <w:right w:type="dxa" w:w="90"/>
            </w:tcMar>
            <w:vAlign w:val="center"/>
          </w:tcPr>
          <w:p>
            <w:pPr>
              <w:jc w:val="center"/>
            </w:pPr>
            <w:r>
              <w:rPr>
                <w:rFonts w:ascii="Calibri" w:cs="Calibri" w:eastAsia="Calibri" w:hAnsi="Calibri"/>
                <w:color w:val="000000"/>
                <w:sz w:val="18"/>
                <w:szCs w:val="18"/>
              </w:rPr>
              <w:t xml:space="preserve">$828,348.86</w:t>
            </w:r>
          </w:p>
        </w:tc>
        <w:tc>
          <w:tcPr>
            <w:tcW w:type="dxa" w:w="2000"/>
            <w:tcMar>
              <w:top w:type="dxa" w:w="60"/>
              <w:left w:type="dxa" w:w="90"/>
              <w:bottom w:type="dxa" w:w="60"/>
              <w:right w:type="dxa" w:w="90"/>
            </w:tcMar>
            <w:vAlign w:val="center"/>
          </w:tcPr>
          <w:p>
            <w:pPr>
              <w:jc w:val="center"/>
            </w:pPr>
            <w:r>
              <w:rPr>
                <w:rFonts w:ascii="Calibri" w:cs="Calibri" w:eastAsia="Calibri" w:hAnsi="Calibri"/>
                <w:color w:val="000000"/>
                <w:sz w:val="18"/>
                <w:szCs w:val="18"/>
              </w:rPr>
              <w:t xml:space="preserve">$209,807.00</w:t>
            </w:r>
          </w:p>
        </w:tc>
        <w:tc>
          <w:tcPr>
            <w:tcW w:type="dxa" w:w="1800"/>
            <w:tcMar>
              <w:top w:type="dxa" w:w="60"/>
              <w:left w:type="dxa" w:w="90"/>
              <w:bottom w:type="dxa" w:w="60"/>
              <w:right w:type="dxa" w:w="90"/>
            </w:tcMar>
            <w:vAlign w:val="center"/>
          </w:tcPr>
          <w:p>
            <w:pPr>
              <w:jc w:val="center"/>
            </w:pPr>
            <w:r>
              <w:rPr>
                <w:rFonts w:ascii="Calibri" w:cs="Calibri" w:eastAsia="Calibri" w:hAnsi="Calibri"/>
                <w:color w:val="000000"/>
                <w:sz w:val="18"/>
                <w:szCs w:val="18"/>
              </w:rPr>
              <w:t xml:space="preserve">63,614</w:t>
            </w:r>
          </w:p>
        </w:tc>
      </w:tr>
      <w:tr>
        <w:tc>
          <w:tcPr>
            <w:tcW w:type="dxa" w:w="1500"/>
            <w:shd w:fill="F2F2F2" w:val="clear"/>
            <w:tcMar>
              <w:top w:type="dxa" w:w="60"/>
              <w:left w:type="dxa" w:w="90"/>
              <w:bottom w:type="dxa" w:w="60"/>
              <w:right w:type="dxa" w:w="90"/>
            </w:tcMar>
            <w:vAlign w:val="center"/>
          </w:tcPr>
          <w:p>
            <w:pPr>
              <w:jc w:val="left"/>
            </w:pPr>
            <w:r>
              <w:rPr>
                <w:rFonts w:ascii="Calibri" w:cs="Calibri" w:eastAsia="Calibri" w:hAnsi="Calibri"/>
                <w:color w:val="000000"/>
                <w:sz w:val="18"/>
                <w:szCs w:val="18"/>
              </w:rPr>
              <w:t xml:space="preserve">Worst (1)</w:t>
            </w:r>
          </w:p>
        </w:tc>
        <w:tc>
          <w:tcPr>
            <w:tcW w:type="dxa" w:w="2200"/>
            <w:shd w:fill="F2F2F2" w:val="clear"/>
            <w:tcMar>
              <w:top w:type="dxa" w:w="60"/>
              <w:left w:type="dxa" w:w="90"/>
              <w:bottom w:type="dxa" w:w="60"/>
              <w:right w:type="dxa" w:w="90"/>
            </w:tcMar>
            <w:vAlign w:val="center"/>
          </w:tcPr>
          <w:p>
            <w:pPr>
              <w:jc w:val="center"/>
            </w:pPr>
            <w:r>
              <w:rPr>
                <w:rFonts w:ascii="Calibri" w:cs="Calibri" w:eastAsia="Calibri" w:hAnsi="Calibri"/>
                <w:color w:val="000000"/>
                <w:sz w:val="18"/>
                <w:szCs w:val="18"/>
              </w:rPr>
              <w:t xml:space="preserve">August 2022</w:t>
            </w:r>
          </w:p>
        </w:tc>
        <w:tc>
          <w:tcPr>
            <w:tcW w:type="dxa" w:w="2000"/>
            <w:shd w:fill="F2F2F2" w:val="clear"/>
            <w:tcMar>
              <w:top w:type="dxa" w:w="60"/>
              <w:left w:type="dxa" w:w="90"/>
              <w:bottom w:type="dxa" w:w="60"/>
              <w:right w:type="dxa" w:w="90"/>
            </w:tcMar>
            <w:vAlign w:val="center"/>
          </w:tcPr>
          <w:p>
            <w:pPr>
              <w:jc w:val="center"/>
            </w:pPr>
            <w:r>
              <w:rPr>
                <w:rFonts w:ascii="Calibri" w:cs="Calibri" w:eastAsia="Calibri" w:hAnsi="Calibri"/>
                <w:color w:val="000000"/>
                <w:sz w:val="18"/>
                <w:szCs w:val="18"/>
              </w:rPr>
              <w:t xml:space="preserve">$489,422.73</w:t>
            </w:r>
          </w:p>
        </w:tc>
        <w:tc>
          <w:tcPr>
            <w:tcW w:type="dxa" w:w="2000"/>
            <w:shd w:fill="F2F2F2" w:val="clear"/>
            <w:tcMar>
              <w:top w:type="dxa" w:w="60"/>
              <w:left w:type="dxa" w:w="90"/>
              <w:bottom w:type="dxa" w:w="60"/>
              <w:right w:type="dxa" w:w="90"/>
            </w:tcMar>
            <w:vAlign w:val="center"/>
          </w:tcPr>
          <w:p>
            <w:pPr>
              <w:jc w:val="center"/>
            </w:pPr>
            <w:r>
              <w:rPr>
                <w:rFonts w:ascii="Calibri" w:cs="Calibri" w:eastAsia="Calibri" w:hAnsi="Calibri"/>
                <w:color w:val="000000"/>
                <w:sz w:val="18"/>
                <w:szCs w:val="18"/>
              </w:rPr>
              <w:t xml:space="preserve">$158,931.00</w:t>
            </w:r>
          </w:p>
        </w:tc>
        <w:tc>
          <w:tcPr>
            <w:tcW w:type="dxa" w:w="1800"/>
            <w:shd w:fill="F2F2F2" w:val="clear"/>
            <w:tcMar>
              <w:top w:type="dxa" w:w="60"/>
              <w:left w:type="dxa" w:w="90"/>
              <w:bottom w:type="dxa" w:w="60"/>
              <w:right w:type="dxa" w:w="90"/>
            </w:tcMar>
            <w:vAlign w:val="center"/>
          </w:tcPr>
          <w:p>
            <w:pPr>
              <w:jc w:val="center"/>
            </w:pPr>
            <w:r>
              <w:rPr>
                <w:rFonts w:ascii="Calibri" w:cs="Calibri" w:eastAsia="Calibri" w:hAnsi="Calibri"/>
                <w:color w:val="000000"/>
                <w:sz w:val="18"/>
                <w:szCs w:val="18"/>
              </w:rPr>
              <w:t xml:space="preserve">39,927</w:t>
            </w:r>
          </w:p>
        </w:tc>
      </w:tr>
      <w:tr>
        <w:tc>
          <w:tcPr>
            <w:tcW w:type="dxa" w:w="1500"/>
            <w:tcMar>
              <w:top w:type="dxa" w:w="60"/>
              <w:left w:type="dxa" w:w="90"/>
              <w:bottom w:type="dxa" w:w="60"/>
              <w:right w:type="dxa" w:w="90"/>
            </w:tcMar>
            <w:vAlign w:val="center"/>
          </w:tcPr>
          <w:p>
            <w:pPr>
              <w:jc w:val="left"/>
            </w:pPr>
            <w:r>
              <w:rPr>
                <w:rFonts w:ascii="Calibri" w:cs="Calibri" w:eastAsia="Calibri" w:hAnsi="Calibri"/>
                <w:color w:val="000000"/>
                <w:sz w:val="18"/>
                <w:szCs w:val="18"/>
              </w:rPr>
              <w:t xml:space="preserve">Worst (2)</w:t>
            </w:r>
          </w:p>
        </w:tc>
        <w:tc>
          <w:tcPr>
            <w:tcW w:type="dxa" w:w="2200"/>
            <w:tcMar>
              <w:top w:type="dxa" w:w="60"/>
              <w:left w:type="dxa" w:w="90"/>
              <w:bottom w:type="dxa" w:w="60"/>
              <w:right w:type="dxa" w:w="90"/>
            </w:tcMar>
            <w:vAlign w:val="center"/>
          </w:tcPr>
          <w:p>
            <w:pPr>
              <w:jc w:val="center"/>
            </w:pPr>
            <w:r>
              <w:rPr>
                <w:rFonts w:ascii="Calibri" w:cs="Calibri" w:eastAsia="Calibri" w:hAnsi="Calibri"/>
                <w:color w:val="000000"/>
                <w:sz w:val="18"/>
                <w:szCs w:val="18"/>
              </w:rPr>
              <w:t xml:space="preserve">February 2022</w:t>
            </w:r>
          </w:p>
        </w:tc>
        <w:tc>
          <w:tcPr>
            <w:tcW w:type="dxa" w:w="2000"/>
            <w:tcMar>
              <w:top w:type="dxa" w:w="60"/>
              <w:left w:type="dxa" w:w="90"/>
              <w:bottom w:type="dxa" w:w="60"/>
              <w:right w:type="dxa" w:w="90"/>
            </w:tcMar>
            <w:vAlign w:val="center"/>
          </w:tcPr>
          <w:p>
            <w:pPr>
              <w:jc w:val="center"/>
            </w:pPr>
            <w:r>
              <w:rPr>
                <w:rFonts w:ascii="Calibri" w:cs="Calibri" w:eastAsia="Calibri" w:hAnsi="Calibri"/>
                <w:color w:val="000000"/>
                <w:sz w:val="18"/>
                <w:szCs w:val="18"/>
              </w:rPr>
              <w:t xml:space="preserve">$541,351.65</w:t>
            </w:r>
          </w:p>
        </w:tc>
        <w:tc>
          <w:tcPr>
            <w:tcW w:type="dxa" w:w="2000"/>
            <w:tcMar>
              <w:top w:type="dxa" w:w="60"/>
              <w:left w:type="dxa" w:w="90"/>
              <w:bottom w:type="dxa" w:w="60"/>
              <w:right w:type="dxa" w:w="90"/>
            </w:tcMar>
            <w:vAlign w:val="center"/>
          </w:tcPr>
          <w:p>
            <w:pPr>
              <w:jc w:val="center"/>
            </w:pPr>
            <w:r>
              <w:rPr>
                <w:rFonts w:ascii="Calibri" w:cs="Calibri" w:eastAsia="Calibri" w:hAnsi="Calibri"/>
                <w:color w:val="000000"/>
                <w:sz w:val="18"/>
                <w:szCs w:val="18"/>
              </w:rPr>
              <w:t xml:space="preserve">$161,861.00</w:t>
            </w:r>
          </w:p>
        </w:tc>
        <w:tc>
          <w:tcPr>
            <w:tcW w:type="dxa" w:w="1800"/>
            <w:tcMar>
              <w:top w:type="dxa" w:w="60"/>
              <w:left w:type="dxa" w:w="90"/>
              <w:bottom w:type="dxa" w:w="60"/>
              <w:right w:type="dxa" w:w="90"/>
            </w:tcMar>
            <w:vAlign w:val="center"/>
          </w:tcPr>
          <w:p>
            <w:pPr>
              <w:jc w:val="center"/>
            </w:pPr>
            <w:r>
              <w:rPr>
                <w:rFonts w:ascii="Calibri" w:cs="Calibri" w:eastAsia="Calibri" w:hAnsi="Calibri"/>
                <w:color w:val="000000"/>
                <w:sz w:val="18"/>
                <w:szCs w:val="18"/>
              </w:rPr>
              <w:t xml:space="preserve">36,935</w:t>
            </w:r>
          </w:p>
        </w:tc>
      </w:tr>
      <w:tr>
        <w:tc>
          <w:tcPr>
            <w:tcW w:type="dxa" w:w="1500"/>
            <w:shd w:fill="F2F2F2" w:val="clear"/>
            <w:tcMar>
              <w:top w:type="dxa" w:w="60"/>
              <w:left w:type="dxa" w:w="90"/>
              <w:bottom w:type="dxa" w:w="60"/>
              <w:right w:type="dxa" w:w="90"/>
            </w:tcMar>
            <w:vAlign w:val="center"/>
          </w:tcPr>
          <w:p>
            <w:pPr>
              <w:jc w:val="left"/>
            </w:pPr>
            <w:r>
              <w:rPr>
                <w:rFonts w:ascii="Calibri" w:cs="Calibri" w:eastAsia="Calibri" w:hAnsi="Calibri"/>
                <w:color w:val="000000"/>
                <w:sz w:val="18"/>
                <w:szCs w:val="18"/>
              </w:rPr>
              <w:t xml:space="preserve">Worst (3)</w:t>
            </w:r>
          </w:p>
        </w:tc>
        <w:tc>
          <w:tcPr>
            <w:tcW w:type="dxa" w:w="2200"/>
            <w:shd w:fill="F2F2F2" w:val="clear"/>
            <w:tcMar>
              <w:top w:type="dxa" w:w="60"/>
              <w:left w:type="dxa" w:w="90"/>
              <w:bottom w:type="dxa" w:w="60"/>
              <w:right w:type="dxa" w:w="90"/>
            </w:tcMar>
            <w:vAlign w:val="center"/>
          </w:tcPr>
          <w:p>
            <w:pPr>
              <w:jc w:val="center"/>
            </w:pPr>
            <w:r>
              <w:rPr>
                <w:rFonts w:ascii="Calibri" w:cs="Calibri" w:eastAsia="Calibri" w:hAnsi="Calibri"/>
                <w:color w:val="000000"/>
                <w:sz w:val="18"/>
                <w:szCs w:val="18"/>
              </w:rPr>
              <w:t xml:space="preserve">January 2022</w:t>
            </w:r>
          </w:p>
        </w:tc>
        <w:tc>
          <w:tcPr>
            <w:tcW w:type="dxa" w:w="2000"/>
            <w:shd w:fill="F2F2F2" w:val="clear"/>
            <w:tcMar>
              <w:top w:type="dxa" w:w="60"/>
              <w:left w:type="dxa" w:w="90"/>
              <w:bottom w:type="dxa" w:w="60"/>
              <w:right w:type="dxa" w:w="90"/>
            </w:tcMar>
            <w:vAlign w:val="center"/>
          </w:tcPr>
          <w:p>
            <w:pPr>
              <w:jc w:val="center"/>
            </w:pPr>
            <w:r>
              <w:rPr>
                <w:rFonts w:ascii="Calibri" w:cs="Calibri" w:eastAsia="Calibri" w:hAnsi="Calibri"/>
                <w:color w:val="000000"/>
                <w:sz w:val="18"/>
                <w:szCs w:val="18"/>
              </w:rPr>
              <w:t xml:space="preserve">$542,554.91</w:t>
            </w:r>
          </w:p>
        </w:tc>
        <w:tc>
          <w:tcPr>
            <w:tcW w:type="dxa" w:w="2000"/>
            <w:shd w:fill="F2F2F2" w:val="clear"/>
            <w:tcMar>
              <w:top w:type="dxa" w:w="60"/>
              <w:left w:type="dxa" w:w="90"/>
              <w:bottom w:type="dxa" w:w="60"/>
              <w:right w:type="dxa" w:w="90"/>
            </w:tcMar>
            <w:vAlign w:val="center"/>
          </w:tcPr>
          <w:p>
            <w:pPr>
              <w:jc w:val="center"/>
            </w:pPr>
            <w:r>
              <w:rPr>
                <w:rFonts w:ascii="Calibri" w:cs="Calibri" w:eastAsia="Calibri" w:hAnsi="Calibri"/>
                <w:color w:val="000000"/>
                <w:sz w:val="18"/>
                <w:szCs w:val="18"/>
              </w:rPr>
              <w:t xml:space="preserve">$167,126.00</w:t>
            </w:r>
          </w:p>
        </w:tc>
        <w:tc>
          <w:tcPr>
            <w:tcW w:type="dxa" w:w="1800"/>
            <w:shd w:fill="F2F2F2" w:val="clear"/>
            <w:tcMar>
              <w:top w:type="dxa" w:w="60"/>
              <w:left w:type="dxa" w:w="90"/>
              <w:bottom w:type="dxa" w:w="60"/>
              <w:right w:type="dxa" w:w="90"/>
            </w:tcMar>
            <w:vAlign w:val="center"/>
          </w:tcPr>
          <w:p>
            <w:pPr>
              <w:jc w:val="center"/>
            </w:pPr>
            <w:r>
              <w:rPr>
                <w:rFonts w:ascii="Calibri" w:cs="Calibri" w:eastAsia="Calibri" w:hAnsi="Calibri"/>
                <w:color w:val="000000"/>
                <w:sz w:val="18"/>
                <w:szCs w:val="18"/>
              </w:rPr>
              <w:t xml:space="preserve">38,009</w:t>
            </w:r>
          </w:p>
        </w:tc>
      </w:tr>
    </w:tbl>
    <w:p>
      <w:pPr>
        <w:spacing w:after="220" w:before="80"/>
        <w:jc w:val="center"/>
      </w:pPr>
      <w:r>
        <w:rPr>
          <w:rFonts w:ascii="Calibri" w:cs="Calibri" w:eastAsia="Calibri" w:hAnsi="Calibri"/>
          <w:i/>
          <w:iCs/>
          <w:color w:val="595959"/>
          <w:sz w:val="19"/>
          <w:szCs w:val="19"/>
        </w:rPr>
        <w:t xml:space="preserve">Table 1. Best and Worst Performing Months by Revenue</w:t>
      </w:r>
    </w:p>
    <w:p>
      <w:pPr>
        <w:spacing w:after="160" w:line="276"/>
        <w:jc w:val="both"/>
      </w:pPr>
      <w:r>
        <w:rPr>
          <w:rFonts w:ascii="Calibri" w:cs="Calibri" w:eastAsia="Calibri" w:hAnsi="Calibri"/>
          <w:sz w:val="21"/>
          <w:szCs w:val="21"/>
        </w:rPr>
        <w:t xml:space="preserve">March 2023 was the single highest-revenue month in the dataset, while December 2022 delivered the highest profit of any month ($246,078.00), even though its revenue was slightly below March 2023. August 2022 stands out as a clear low point across revenue, profit, and units simultaneously, and is examined further in Section 15, Seasonality.</w:t>
      </w:r>
    </w:p>
    <w:p>
      <w:pPr>
        <w:pStyle w:val="Heading2"/>
        <w:spacing w:after="140" w:before="280"/>
      </w:pPr>
      <w:r>
        <w:rPr>
          <w:rFonts w:ascii="Calibri" w:cs="Calibri" w:eastAsia="Calibri" w:hAnsi="Calibri"/>
          <w:b/>
          <w:bCs/>
          <w:color w:val="2E74B5"/>
          <w:sz w:val="25"/>
          <w:szCs w:val="25"/>
        </w:rPr>
        <w:t xml:space="preserve">6.4 Category Revenue Performance</w:t>
      </w:r>
    </w:p>
    <w:p>
      <w:pPr>
        <w:spacing w:after="40" w:before="160"/>
        <w:jc w:val="center"/>
      </w:pPr>
      <w:r>
        <w:drawing>
          <wp:inline distT="0" distB="0" distL="0" distR="0">
            <wp:extent cx="43815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2381250"/>
                    </a:xfrm>
                    <a:prstGeom prst="rect">
                      <a:avLst/>
                    </a:prstGeom>
                  </pic:spPr>
                </pic:pic>
              </a:graphicData>
            </a:graphic>
          </wp:inline>
        </w:drawing>
      </w:r>
    </w:p>
    <w:p>
      <w:pPr>
        <w:spacing w:after="220" w:before="80"/>
        <w:jc w:val="center"/>
      </w:pPr>
      <w:r>
        <w:rPr>
          <w:rFonts w:ascii="Calibri" w:cs="Calibri" w:eastAsia="Calibri" w:hAnsi="Calibri"/>
          <w:i/>
          <w:iCs/>
          <w:color w:val="595959"/>
          <w:sz w:val="19"/>
          <w:szCs w:val="19"/>
        </w:rPr>
        <w:t xml:space="preserve">Figure 3. Revenue by Category</w:t>
      </w:r>
    </w:p>
    <w:p>
      <w:pPr>
        <w:spacing w:after="160" w:line="276"/>
        <w:jc w:val="both"/>
      </w:pPr>
      <w:r>
        <w:rPr>
          <w:rFonts w:ascii="Calibri" w:cs="Calibri" w:eastAsia="Calibri" w:hAnsi="Calibri"/>
          <w:sz w:val="21"/>
          <w:szCs w:val="21"/>
        </w:rPr>
        <w:t xml:space="preserve">Toys is by a wide margin the largest revenue-generating category at $5,093,241.00, more than double the revenue of the second-placed category. Art &amp; Crafts follows at $2,705,364.26, with Electronics ($2,246,771.25), Games ($2,226,836.27) and Sports &amp; Outdoors ($2,172,359.57) clustered closely together behind it.</w:t>
      </w:r>
    </w:p>
    <w:p>
      <w:pPr>
        <w:pStyle w:val="Heading2"/>
        <w:spacing w:after="140" w:before="280"/>
      </w:pPr>
      <w:r>
        <w:rPr>
          <w:rFonts w:ascii="Calibri" w:cs="Calibri" w:eastAsia="Calibri" w:hAnsi="Calibri"/>
          <w:b/>
          <w:bCs/>
          <w:color w:val="2E74B5"/>
          <w:sz w:val="25"/>
          <w:szCs w:val="25"/>
        </w:rPr>
        <w:t xml:space="preserve">6.5 Units Sold</w:t>
      </w:r>
    </w:p>
    <w:p>
      <w:pPr>
        <w:spacing w:after="160" w:line="276"/>
        <w:jc w:val="both"/>
      </w:pPr>
      <w:r>
        <w:rPr>
          <w:rFonts w:ascii="Calibri" w:cs="Calibri" w:eastAsia="Calibri" w:hAnsi="Calibri"/>
          <w:sz w:val="21"/>
          <w:szCs w:val="21"/>
        </w:rPr>
        <w:t xml:space="preserve">Total units sold across the period were 1,090,565. At the category level, Art &amp; Crafts sold the most units (325,574) despite ranking second in revenue, reflecting its mix of lower-priced items, while Toys led on revenue (267,200 units) and Electronics sold the fewest units of any category (134,075) despite generating substantial revenue and the highest profit margin — evidence of a higher average selling price in that category.</w:t>
      </w:r>
    </w:p>
    <w:p>
      <w:r>
        <w:br w:type="page"/>
      </w:r>
    </w:p>
    <w:p>
      <w:pPr>
        <w:pStyle w:val="Heading1"/>
        <w:spacing w:after="180" w:before="360"/>
      </w:pPr>
      <w:r>
        <w:rPr>
          <w:rFonts w:ascii="Calibri" w:cs="Calibri" w:eastAsia="Calibri" w:hAnsi="Calibri"/>
          <w:b/>
          <w:bCs/>
          <w:color w:val="1F3864"/>
          <w:sz w:val="30"/>
          <w:szCs w:val="30"/>
        </w:rPr>
        <w:t xml:space="preserve">7. Product Performance Analysis</w:t>
      </w:r>
    </w:p>
    <w:p>
      <w:pPr>
        <w:pStyle w:val="Heading2"/>
        <w:spacing w:after="140" w:before="280"/>
      </w:pPr>
      <w:r>
        <w:rPr>
          <w:rFonts w:ascii="Calibri" w:cs="Calibri" w:eastAsia="Calibri" w:hAnsi="Calibri"/>
          <w:b/>
          <w:bCs/>
          <w:color w:val="2E74B5"/>
          <w:sz w:val="25"/>
          <w:szCs w:val="25"/>
        </w:rPr>
        <w:t xml:space="preserve">7.1 Top Products by Revenue</w:t>
      </w:r>
    </w:p>
    <w:p>
      <w:pPr>
        <w:spacing w:after="40" w:before="160"/>
        <w:jc w:val="center"/>
      </w:pPr>
      <w:r>
        <w:drawing>
          <wp:inline distT="0" distB="0" distL="0" distR="0">
            <wp:extent cx="47625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2476500"/>
                    </a:xfrm>
                    <a:prstGeom prst="rect">
                      <a:avLst/>
                    </a:prstGeom>
                  </pic:spPr>
                </pic:pic>
              </a:graphicData>
            </a:graphic>
          </wp:inline>
        </w:drawing>
      </w:r>
    </w:p>
    <w:p>
      <w:pPr>
        <w:spacing w:after="220" w:before="80"/>
        <w:jc w:val="center"/>
      </w:pPr>
      <w:r>
        <w:rPr>
          <w:rFonts w:ascii="Calibri" w:cs="Calibri" w:eastAsia="Calibri" w:hAnsi="Calibri"/>
          <w:i/>
          <w:iCs/>
          <w:color w:val="595959"/>
          <w:sz w:val="19"/>
          <w:szCs w:val="19"/>
        </w:rPr>
        <w:t xml:space="preserve">Figure 4. Top 10 Products by Revenue</w:t>
      </w:r>
    </w:p>
    <w:p>
      <w:pPr>
        <w:spacing w:after="160" w:line="276"/>
        <w:jc w:val="both"/>
      </w:pPr>
      <w:r>
        <w:rPr>
          <w:rFonts w:ascii="Calibri" w:cs="Calibri" w:eastAsia="Calibri" w:hAnsi="Calibri"/>
          <w:sz w:val="21"/>
          <w:szCs w:val="21"/>
        </w:rPr>
        <w:t xml:space="preserve">Lego Bricks is the clear revenue leader at $2,388,882.63, well ahead of Colorbuds ($1,564,476.32) in second place. Magic Sand, Action Figure and Rubik's Cube round out the top five, each generating between roughly $0.9 million and $1.0 million in revenue.</w:t>
      </w:r>
    </w:p>
    <w:tbl>
      <w:tblPr>
        <w:tblW w:type="dxa" w:w="9500"/>
        <w:tblBorders>
          <w:top w:val="single" w:color="BFBFBF" w:sz="4"/>
          <w:left w:val="single" w:color="BFBFBF" w:sz="4"/>
          <w:bottom w:val="single" w:color="BFBFBF" w:sz="4"/>
          <w:right w:val="single" w:color="BFBFBF" w:sz="4"/>
          <w:insideH w:val="single" w:color="D9D9D9" w:sz="2"/>
          <w:insideV w:val="single" w:color="D9D9D9" w:sz="2"/>
        </w:tblBorders>
      </w:tblPr>
      <w:tblGrid>
        <w:gridCol w:w="1000"/>
        <w:gridCol w:w="2400"/>
        <w:gridCol w:w="2200"/>
        <w:gridCol w:w="2000"/>
        <w:gridCol w:w="1900"/>
      </w:tblGrid>
      <w:tr>
        <w:trPr>
          <w:tblHeader/>
        </w:trPr>
        <w:tc>
          <w:tcPr>
            <w:tcW w:type="dxa" w:w="1000"/>
            <w:shd w:fill="1F3864" w:val="clear"/>
            <w:tcMar>
              <w:top w:type="dxa" w:w="60"/>
              <w:left w:type="dxa" w:w="90"/>
              <w:bottom w:type="dxa" w:w="60"/>
              <w:right w:type="dxa" w:w="90"/>
            </w:tcMar>
            <w:vAlign w:val="center"/>
          </w:tcPr>
          <w:p>
            <w:pPr>
              <w:jc w:val="center"/>
            </w:pPr>
            <w:r>
              <w:rPr>
                <w:rFonts w:ascii="Calibri" w:cs="Calibri" w:eastAsia="Calibri" w:hAnsi="Calibri"/>
                <w:b/>
                <w:bCs/>
                <w:color w:val="FFFFFF"/>
                <w:sz w:val="18"/>
                <w:szCs w:val="18"/>
              </w:rPr>
              <w:t xml:space="preserve">Rank</w:t>
            </w:r>
          </w:p>
        </w:tc>
        <w:tc>
          <w:tcPr>
            <w:tcW w:type="dxa" w:w="2400"/>
            <w:shd w:fill="1F3864" w:val="clear"/>
            <w:tcMar>
              <w:top w:type="dxa" w:w="60"/>
              <w:left w:type="dxa" w:w="90"/>
              <w:bottom w:type="dxa" w:w="60"/>
              <w:right w:type="dxa" w:w="90"/>
            </w:tcMar>
            <w:vAlign w:val="center"/>
          </w:tcPr>
          <w:p>
            <w:pPr>
              <w:jc w:val="center"/>
            </w:pPr>
            <w:r>
              <w:rPr>
                <w:rFonts w:ascii="Calibri" w:cs="Calibri" w:eastAsia="Calibri" w:hAnsi="Calibri"/>
                <w:b/>
                <w:bCs/>
                <w:color w:val="FFFFFF"/>
                <w:sz w:val="18"/>
                <w:szCs w:val="18"/>
              </w:rPr>
              <w:t xml:space="preserve">Product</w:t>
            </w:r>
          </w:p>
        </w:tc>
        <w:tc>
          <w:tcPr>
            <w:tcW w:type="dxa" w:w="2200"/>
            <w:shd w:fill="1F3864" w:val="clear"/>
            <w:tcMar>
              <w:top w:type="dxa" w:w="60"/>
              <w:left w:type="dxa" w:w="90"/>
              <w:bottom w:type="dxa" w:w="60"/>
              <w:right w:type="dxa" w:w="90"/>
            </w:tcMar>
            <w:vAlign w:val="center"/>
          </w:tcPr>
          <w:p>
            <w:pPr>
              <w:jc w:val="center"/>
            </w:pPr>
            <w:r>
              <w:rPr>
                <w:rFonts w:ascii="Calibri" w:cs="Calibri" w:eastAsia="Calibri" w:hAnsi="Calibri"/>
                <w:b/>
                <w:bCs/>
                <w:color w:val="FFFFFF"/>
                <w:sz w:val="18"/>
                <w:szCs w:val="18"/>
              </w:rPr>
              <w:t xml:space="preserve">Revenue</w:t>
            </w:r>
          </w:p>
        </w:tc>
        <w:tc>
          <w:tcPr>
            <w:tcW w:type="dxa" w:w="2000"/>
            <w:shd w:fill="1F3864" w:val="clear"/>
            <w:tcMar>
              <w:top w:type="dxa" w:w="60"/>
              <w:left w:type="dxa" w:w="90"/>
              <w:bottom w:type="dxa" w:w="60"/>
              <w:right w:type="dxa" w:w="90"/>
            </w:tcMar>
            <w:vAlign w:val="center"/>
          </w:tcPr>
          <w:p>
            <w:pPr>
              <w:jc w:val="center"/>
            </w:pPr>
            <w:r>
              <w:rPr>
                <w:rFonts w:ascii="Calibri" w:cs="Calibri" w:eastAsia="Calibri" w:hAnsi="Calibri"/>
                <w:b/>
                <w:bCs/>
                <w:color w:val="FFFFFF"/>
                <w:sz w:val="18"/>
                <w:szCs w:val="18"/>
              </w:rPr>
              <w:t xml:space="preserve">Units Sold</w:t>
            </w:r>
          </w:p>
        </w:tc>
        <w:tc>
          <w:tcPr>
            <w:tcW w:type="dxa" w:w="1900"/>
            <w:shd w:fill="1F3864" w:val="clear"/>
            <w:tcMar>
              <w:top w:type="dxa" w:w="60"/>
              <w:left w:type="dxa" w:w="90"/>
              <w:bottom w:type="dxa" w:w="60"/>
              <w:right w:type="dxa" w:w="90"/>
            </w:tcMar>
            <w:vAlign w:val="center"/>
          </w:tcPr>
          <w:p>
            <w:pPr>
              <w:jc w:val="center"/>
            </w:pPr>
            <w:r>
              <w:rPr>
                <w:rFonts w:ascii="Calibri" w:cs="Calibri" w:eastAsia="Calibri" w:hAnsi="Calibri"/>
                <w:b/>
                <w:bCs/>
                <w:color w:val="FFFFFF"/>
                <w:sz w:val="18"/>
                <w:szCs w:val="18"/>
              </w:rPr>
              <w:t xml:space="preserve">Avg. Price</w:t>
            </w:r>
          </w:p>
        </w:tc>
      </w:tr>
      <w:tr>
        <w:tc>
          <w:tcPr>
            <w:tcW w:type="dxa" w:w="1000"/>
            <w:tcMar>
              <w:top w:type="dxa" w:w="60"/>
              <w:left w:type="dxa" w:w="90"/>
              <w:bottom w:type="dxa" w:w="60"/>
              <w:right w:type="dxa" w:w="90"/>
            </w:tcMar>
            <w:vAlign w:val="center"/>
          </w:tcPr>
          <w:p>
            <w:pPr>
              <w:jc w:val="left"/>
            </w:pPr>
            <w:r>
              <w:rPr>
                <w:rFonts w:ascii="Calibri" w:cs="Calibri" w:eastAsia="Calibri" w:hAnsi="Calibri"/>
                <w:color w:val="000000"/>
                <w:sz w:val="18"/>
                <w:szCs w:val="18"/>
              </w:rPr>
              <w:t xml:space="preserve">1</w:t>
            </w:r>
          </w:p>
        </w:tc>
        <w:tc>
          <w:tcPr>
            <w:tcW w:type="dxa" w:w="2400"/>
            <w:tcMar>
              <w:top w:type="dxa" w:w="60"/>
              <w:left w:type="dxa" w:w="90"/>
              <w:bottom w:type="dxa" w:w="60"/>
              <w:right w:type="dxa" w:w="90"/>
            </w:tcMar>
            <w:vAlign w:val="center"/>
          </w:tcPr>
          <w:p>
            <w:pPr>
              <w:jc w:val="center"/>
            </w:pPr>
            <w:r>
              <w:rPr>
                <w:rFonts w:ascii="Calibri" w:cs="Calibri" w:eastAsia="Calibri" w:hAnsi="Calibri"/>
                <w:color w:val="000000"/>
                <w:sz w:val="18"/>
                <w:szCs w:val="18"/>
              </w:rPr>
              <w:t xml:space="preserve">Lego Bricks</w:t>
            </w:r>
          </w:p>
        </w:tc>
        <w:tc>
          <w:tcPr>
            <w:tcW w:type="dxa" w:w="2200"/>
            <w:tcMar>
              <w:top w:type="dxa" w:w="60"/>
              <w:left w:type="dxa" w:w="90"/>
              <w:bottom w:type="dxa" w:w="60"/>
              <w:right w:type="dxa" w:w="90"/>
            </w:tcMar>
            <w:vAlign w:val="center"/>
          </w:tcPr>
          <w:p>
            <w:pPr>
              <w:jc w:val="center"/>
            </w:pPr>
            <w:r>
              <w:rPr>
                <w:rFonts w:ascii="Calibri" w:cs="Calibri" w:eastAsia="Calibri" w:hAnsi="Calibri"/>
                <w:color w:val="000000"/>
                <w:sz w:val="18"/>
                <w:szCs w:val="18"/>
              </w:rPr>
              <w:t xml:space="preserve">$2,388,882.63</w:t>
            </w:r>
          </w:p>
        </w:tc>
        <w:tc>
          <w:tcPr>
            <w:tcW w:type="dxa" w:w="2000"/>
            <w:tcMar>
              <w:top w:type="dxa" w:w="60"/>
              <w:left w:type="dxa" w:w="90"/>
              <w:bottom w:type="dxa" w:w="60"/>
              <w:right w:type="dxa" w:w="90"/>
            </w:tcMar>
            <w:vAlign w:val="center"/>
          </w:tcPr>
          <w:p>
            <w:pPr>
              <w:jc w:val="center"/>
            </w:pPr>
            <w:r>
              <w:rPr>
                <w:rFonts w:ascii="Calibri" w:cs="Calibri" w:eastAsia="Calibri" w:hAnsi="Calibri"/>
                <w:color w:val="000000"/>
                <w:sz w:val="18"/>
                <w:szCs w:val="18"/>
              </w:rPr>
              <w:t xml:space="preserve">59,737</w:t>
            </w:r>
          </w:p>
        </w:tc>
        <w:tc>
          <w:tcPr>
            <w:tcW w:type="dxa" w:w="1900"/>
            <w:tcMar>
              <w:top w:type="dxa" w:w="60"/>
              <w:left w:type="dxa" w:w="90"/>
              <w:bottom w:type="dxa" w:w="60"/>
              <w:right w:type="dxa" w:w="90"/>
            </w:tcMar>
            <w:vAlign w:val="center"/>
          </w:tcPr>
          <w:p>
            <w:pPr>
              <w:jc w:val="center"/>
            </w:pPr>
            <w:r>
              <w:rPr>
                <w:rFonts w:ascii="Calibri" w:cs="Calibri" w:eastAsia="Calibri" w:hAnsi="Calibri"/>
                <w:color w:val="000000"/>
                <w:sz w:val="18"/>
                <w:szCs w:val="18"/>
              </w:rPr>
              <w:t xml:space="preserve">$39.99</w:t>
            </w:r>
          </w:p>
        </w:tc>
      </w:tr>
      <w:tr>
        <w:tc>
          <w:tcPr>
            <w:tcW w:type="dxa" w:w="1000"/>
            <w:shd w:fill="F2F2F2" w:val="clear"/>
            <w:tcMar>
              <w:top w:type="dxa" w:w="60"/>
              <w:left w:type="dxa" w:w="90"/>
              <w:bottom w:type="dxa" w:w="60"/>
              <w:right w:type="dxa" w:w="90"/>
            </w:tcMar>
            <w:vAlign w:val="center"/>
          </w:tcPr>
          <w:p>
            <w:pPr>
              <w:jc w:val="left"/>
            </w:pPr>
            <w:r>
              <w:rPr>
                <w:rFonts w:ascii="Calibri" w:cs="Calibri" w:eastAsia="Calibri" w:hAnsi="Calibri"/>
                <w:color w:val="000000"/>
                <w:sz w:val="18"/>
                <w:szCs w:val="18"/>
              </w:rPr>
              <w:t xml:space="preserve">2</w:t>
            </w:r>
          </w:p>
        </w:tc>
        <w:tc>
          <w:tcPr>
            <w:tcW w:type="dxa" w:w="2400"/>
            <w:shd w:fill="F2F2F2" w:val="clear"/>
            <w:tcMar>
              <w:top w:type="dxa" w:w="60"/>
              <w:left w:type="dxa" w:w="90"/>
              <w:bottom w:type="dxa" w:w="60"/>
              <w:right w:type="dxa" w:w="90"/>
            </w:tcMar>
            <w:vAlign w:val="center"/>
          </w:tcPr>
          <w:p>
            <w:pPr>
              <w:jc w:val="center"/>
            </w:pPr>
            <w:r>
              <w:rPr>
                <w:rFonts w:ascii="Calibri" w:cs="Calibri" w:eastAsia="Calibri" w:hAnsi="Calibri"/>
                <w:color w:val="000000"/>
                <w:sz w:val="18"/>
                <w:szCs w:val="18"/>
              </w:rPr>
              <w:t xml:space="preserve">Colorbuds</w:t>
            </w:r>
          </w:p>
        </w:tc>
        <w:tc>
          <w:tcPr>
            <w:tcW w:type="dxa" w:w="2200"/>
            <w:shd w:fill="F2F2F2" w:val="clear"/>
            <w:tcMar>
              <w:top w:type="dxa" w:w="60"/>
              <w:left w:type="dxa" w:w="90"/>
              <w:bottom w:type="dxa" w:w="60"/>
              <w:right w:type="dxa" w:w="90"/>
            </w:tcMar>
            <w:vAlign w:val="center"/>
          </w:tcPr>
          <w:p>
            <w:pPr>
              <w:jc w:val="center"/>
            </w:pPr>
            <w:r>
              <w:rPr>
                <w:rFonts w:ascii="Calibri" w:cs="Calibri" w:eastAsia="Calibri" w:hAnsi="Calibri"/>
                <w:color w:val="000000"/>
                <w:sz w:val="18"/>
                <w:szCs w:val="18"/>
              </w:rPr>
              <w:t xml:space="preserve">$1,564,476.32</w:t>
            </w:r>
          </w:p>
        </w:tc>
        <w:tc>
          <w:tcPr>
            <w:tcW w:type="dxa" w:w="2000"/>
            <w:shd w:fill="F2F2F2" w:val="clear"/>
            <w:tcMar>
              <w:top w:type="dxa" w:w="60"/>
              <w:left w:type="dxa" w:w="90"/>
              <w:bottom w:type="dxa" w:w="60"/>
              <w:right w:type="dxa" w:w="90"/>
            </w:tcMar>
            <w:vAlign w:val="center"/>
          </w:tcPr>
          <w:p>
            <w:pPr>
              <w:jc w:val="center"/>
            </w:pPr>
            <w:r>
              <w:rPr>
                <w:rFonts w:ascii="Calibri" w:cs="Calibri" w:eastAsia="Calibri" w:hAnsi="Calibri"/>
                <w:color w:val="000000"/>
                <w:sz w:val="18"/>
                <w:szCs w:val="18"/>
              </w:rPr>
              <w:t xml:space="preserve">104,368</w:t>
            </w:r>
          </w:p>
        </w:tc>
        <w:tc>
          <w:tcPr>
            <w:tcW w:type="dxa" w:w="1900"/>
            <w:shd w:fill="F2F2F2" w:val="clear"/>
            <w:tcMar>
              <w:top w:type="dxa" w:w="60"/>
              <w:left w:type="dxa" w:w="90"/>
              <w:bottom w:type="dxa" w:w="60"/>
              <w:right w:type="dxa" w:w="90"/>
            </w:tcMar>
            <w:vAlign w:val="center"/>
          </w:tcPr>
          <w:p>
            <w:pPr>
              <w:jc w:val="center"/>
            </w:pPr>
            <w:r>
              <w:rPr>
                <w:rFonts w:ascii="Calibri" w:cs="Calibri" w:eastAsia="Calibri" w:hAnsi="Calibri"/>
                <w:color w:val="000000"/>
                <w:sz w:val="18"/>
                <w:szCs w:val="18"/>
              </w:rPr>
              <w:t xml:space="preserve">$14.99</w:t>
            </w:r>
          </w:p>
        </w:tc>
      </w:tr>
      <w:tr>
        <w:tc>
          <w:tcPr>
            <w:tcW w:type="dxa" w:w="1000"/>
            <w:tcMar>
              <w:top w:type="dxa" w:w="60"/>
              <w:left w:type="dxa" w:w="90"/>
              <w:bottom w:type="dxa" w:w="60"/>
              <w:right w:type="dxa" w:w="90"/>
            </w:tcMar>
            <w:vAlign w:val="center"/>
          </w:tcPr>
          <w:p>
            <w:pPr>
              <w:jc w:val="left"/>
            </w:pPr>
            <w:r>
              <w:rPr>
                <w:rFonts w:ascii="Calibri" w:cs="Calibri" w:eastAsia="Calibri" w:hAnsi="Calibri"/>
                <w:color w:val="000000"/>
                <w:sz w:val="18"/>
                <w:szCs w:val="18"/>
              </w:rPr>
              <w:t xml:space="preserve">3</w:t>
            </w:r>
          </w:p>
        </w:tc>
        <w:tc>
          <w:tcPr>
            <w:tcW w:type="dxa" w:w="2400"/>
            <w:tcMar>
              <w:top w:type="dxa" w:w="60"/>
              <w:left w:type="dxa" w:w="90"/>
              <w:bottom w:type="dxa" w:w="60"/>
              <w:right w:type="dxa" w:w="90"/>
            </w:tcMar>
            <w:vAlign w:val="center"/>
          </w:tcPr>
          <w:p>
            <w:pPr>
              <w:jc w:val="center"/>
            </w:pPr>
            <w:r>
              <w:rPr>
                <w:rFonts w:ascii="Calibri" w:cs="Calibri" w:eastAsia="Calibri" w:hAnsi="Calibri"/>
                <w:color w:val="000000"/>
                <w:sz w:val="18"/>
                <w:szCs w:val="18"/>
              </w:rPr>
              <w:t xml:space="preserve">Magic Sand</w:t>
            </w:r>
          </w:p>
        </w:tc>
        <w:tc>
          <w:tcPr>
            <w:tcW w:type="dxa" w:w="2200"/>
            <w:tcMar>
              <w:top w:type="dxa" w:w="60"/>
              <w:left w:type="dxa" w:w="90"/>
              <w:bottom w:type="dxa" w:w="60"/>
              <w:right w:type="dxa" w:w="90"/>
            </w:tcMar>
            <w:vAlign w:val="center"/>
          </w:tcPr>
          <w:p>
            <w:pPr>
              <w:jc w:val="center"/>
            </w:pPr>
            <w:r>
              <w:rPr>
                <w:rFonts w:ascii="Calibri" w:cs="Calibri" w:eastAsia="Calibri" w:hAnsi="Calibri"/>
                <w:color w:val="000000"/>
                <w:sz w:val="18"/>
                <w:szCs w:val="18"/>
              </w:rPr>
              <w:t xml:space="preserve">$968,962.02</w:t>
            </w:r>
          </w:p>
        </w:tc>
        <w:tc>
          <w:tcPr>
            <w:tcW w:type="dxa" w:w="2000"/>
            <w:tcMar>
              <w:top w:type="dxa" w:w="60"/>
              <w:left w:type="dxa" w:w="90"/>
              <w:bottom w:type="dxa" w:w="60"/>
              <w:right w:type="dxa" w:w="90"/>
            </w:tcMar>
            <w:vAlign w:val="center"/>
          </w:tcPr>
          <w:p>
            <w:pPr>
              <w:jc w:val="center"/>
            </w:pPr>
            <w:r>
              <w:rPr>
                <w:rFonts w:ascii="Calibri" w:cs="Calibri" w:eastAsia="Calibri" w:hAnsi="Calibri"/>
                <w:color w:val="000000"/>
                <w:sz w:val="18"/>
                <w:szCs w:val="18"/>
              </w:rPr>
              <w:t xml:space="preserve">60,598</w:t>
            </w:r>
          </w:p>
        </w:tc>
        <w:tc>
          <w:tcPr>
            <w:tcW w:type="dxa" w:w="1900"/>
            <w:tcMar>
              <w:top w:type="dxa" w:w="60"/>
              <w:left w:type="dxa" w:w="90"/>
              <w:bottom w:type="dxa" w:w="60"/>
              <w:right w:type="dxa" w:w="90"/>
            </w:tcMar>
            <w:vAlign w:val="center"/>
          </w:tcPr>
          <w:p>
            <w:pPr>
              <w:jc w:val="center"/>
            </w:pPr>
            <w:r>
              <w:rPr>
                <w:rFonts w:ascii="Calibri" w:cs="Calibri" w:eastAsia="Calibri" w:hAnsi="Calibri"/>
                <w:color w:val="000000"/>
                <w:sz w:val="18"/>
                <w:szCs w:val="18"/>
              </w:rPr>
              <w:t xml:space="preserve">$15.99</w:t>
            </w:r>
          </w:p>
        </w:tc>
      </w:tr>
      <w:tr>
        <w:tc>
          <w:tcPr>
            <w:tcW w:type="dxa" w:w="1000"/>
            <w:shd w:fill="F2F2F2" w:val="clear"/>
            <w:tcMar>
              <w:top w:type="dxa" w:w="60"/>
              <w:left w:type="dxa" w:w="90"/>
              <w:bottom w:type="dxa" w:w="60"/>
              <w:right w:type="dxa" w:w="90"/>
            </w:tcMar>
            <w:vAlign w:val="center"/>
          </w:tcPr>
          <w:p>
            <w:pPr>
              <w:jc w:val="left"/>
            </w:pPr>
            <w:r>
              <w:rPr>
                <w:rFonts w:ascii="Calibri" w:cs="Calibri" w:eastAsia="Calibri" w:hAnsi="Calibri"/>
                <w:color w:val="000000"/>
                <w:sz w:val="18"/>
                <w:szCs w:val="18"/>
              </w:rPr>
              <w:t xml:space="preserve">4</w:t>
            </w:r>
          </w:p>
        </w:tc>
        <w:tc>
          <w:tcPr>
            <w:tcW w:type="dxa" w:w="2400"/>
            <w:shd w:fill="F2F2F2" w:val="clear"/>
            <w:tcMar>
              <w:top w:type="dxa" w:w="60"/>
              <w:left w:type="dxa" w:w="90"/>
              <w:bottom w:type="dxa" w:w="60"/>
              <w:right w:type="dxa" w:w="90"/>
            </w:tcMar>
            <w:vAlign w:val="center"/>
          </w:tcPr>
          <w:p>
            <w:pPr>
              <w:jc w:val="center"/>
            </w:pPr>
            <w:r>
              <w:rPr>
                <w:rFonts w:ascii="Calibri" w:cs="Calibri" w:eastAsia="Calibri" w:hAnsi="Calibri"/>
                <w:color w:val="000000"/>
                <w:sz w:val="18"/>
                <w:szCs w:val="18"/>
              </w:rPr>
              <w:t xml:space="preserve">Action Figure</w:t>
            </w:r>
          </w:p>
        </w:tc>
        <w:tc>
          <w:tcPr>
            <w:tcW w:type="dxa" w:w="2200"/>
            <w:shd w:fill="F2F2F2" w:val="clear"/>
            <w:tcMar>
              <w:top w:type="dxa" w:w="60"/>
              <w:left w:type="dxa" w:w="90"/>
              <w:bottom w:type="dxa" w:w="60"/>
              <w:right w:type="dxa" w:w="90"/>
            </w:tcMar>
            <w:vAlign w:val="center"/>
          </w:tcPr>
          <w:p>
            <w:pPr>
              <w:jc w:val="center"/>
            </w:pPr>
            <w:r>
              <w:rPr>
                <w:rFonts w:ascii="Calibri" w:cs="Calibri" w:eastAsia="Calibri" w:hAnsi="Calibri"/>
                <w:color w:val="000000"/>
                <w:sz w:val="18"/>
                <w:szCs w:val="18"/>
              </w:rPr>
              <w:t xml:space="preserve">$926,748.42</w:t>
            </w:r>
          </w:p>
        </w:tc>
        <w:tc>
          <w:tcPr>
            <w:tcW w:type="dxa" w:w="2000"/>
            <w:shd w:fill="F2F2F2" w:val="clear"/>
            <w:tcMar>
              <w:top w:type="dxa" w:w="60"/>
              <w:left w:type="dxa" w:w="90"/>
              <w:bottom w:type="dxa" w:w="60"/>
              <w:right w:type="dxa" w:w="90"/>
            </w:tcMar>
            <w:vAlign w:val="center"/>
          </w:tcPr>
          <w:p>
            <w:pPr>
              <w:jc w:val="center"/>
            </w:pPr>
            <w:r>
              <w:rPr>
                <w:rFonts w:ascii="Calibri" w:cs="Calibri" w:eastAsia="Calibri" w:hAnsi="Calibri"/>
                <w:color w:val="000000"/>
                <w:sz w:val="18"/>
                <w:szCs w:val="18"/>
              </w:rPr>
              <w:t xml:space="preserve">57,958</w:t>
            </w:r>
          </w:p>
        </w:tc>
        <w:tc>
          <w:tcPr>
            <w:tcW w:type="dxa" w:w="1900"/>
            <w:shd w:fill="F2F2F2" w:val="clear"/>
            <w:tcMar>
              <w:top w:type="dxa" w:w="60"/>
              <w:left w:type="dxa" w:w="90"/>
              <w:bottom w:type="dxa" w:w="60"/>
              <w:right w:type="dxa" w:w="90"/>
            </w:tcMar>
            <w:vAlign w:val="center"/>
          </w:tcPr>
          <w:p>
            <w:pPr>
              <w:jc w:val="center"/>
            </w:pPr>
            <w:r>
              <w:rPr>
                <w:rFonts w:ascii="Calibri" w:cs="Calibri" w:eastAsia="Calibri" w:hAnsi="Calibri"/>
                <w:color w:val="000000"/>
                <w:sz w:val="18"/>
                <w:szCs w:val="18"/>
              </w:rPr>
              <w:t xml:space="preserve">$15.99</w:t>
            </w:r>
          </w:p>
        </w:tc>
      </w:tr>
      <w:tr>
        <w:tc>
          <w:tcPr>
            <w:tcW w:type="dxa" w:w="1000"/>
            <w:tcMar>
              <w:top w:type="dxa" w:w="60"/>
              <w:left w:type="dxa" w:w="90"/>
              <w:bottom w:type="dxa" w:w="60"/>
              <w:right w:type="dxa" w:w="90"/>
            </w:tcMar>
            <w:vAlign w:val="center"/>
          </w:tcPr>
          <w:p>
            <w:pPr>
              <w:jc w:val="left"/>
            </w:pPr>
            <w:r>
              <w:rPr>
                <w:rFonts w:ascii="Calibri" w:cs="Calibri" w:eastAsia="Calibri" w:hAnsi="Calibri"/>
                <w:color w:val="000000"/>
                <w:sz w:val="18"/>
                <w:szCs w:val="18"/>
              </w:rPr>
              <w:t xml:space="preserve">5</w:t>
            </w:r>
          </w:p>
        </w:tc>
        <w:tc>
          <w:tcPr>
            <w:tcW w:type="dxa" w:w="2400"/>
            <w:tcMar>
              <w:top w:type="dxa" w:w="60"/>
              <w:left w:type="dxa" w:w="90"/>
              <w:bottom w:type="dxa" w:w="60"/>
              <w:right w:type="dxa" w:w="90"/>
            </w:tcMar>
            <w:vAlign w:val="center"/>
          </w:tcPr>
          <w:p>
            <w:pPr>
              <w:jc w:val="center"/>
            </w:pPr>
            <w:r>
              <w:rPr>
                <w:rFonts w:ascii="Calibri" w:cs="Calibri" w:eastAsia="Calibri" w:hAnsi="Calibri"/>
                <w:color w:val="000000"/>
                <w:sz w:val="18"/>
                <w:szCs w:val="18"/>
              </w:rPr>
              <w:t xml:space="preserve">Rubik's Cube</w:t>
            </w:r>
          </w:p>
        </w:tc>
        <w:tc>
          <w:tcPr>
            <w:tcW w:type="dxa" w:w="2200"/>
            <w:tcMar>
              <w:top w:type="dxa" w:w="60"/>
              <w:left w:type="dxa" w:w="90"/>
              <w:bottom w:type="dxa" w:w="60"/>
              <w:right w:type="dxa" w:w="90"/>
            </w:tcMar>
            <w:vAlign w:val="center"/>
          </w:tcPr>
          <w:p>
            <w:pPr>
              <w:jc w:val="center"/>
            </w:pPr>
            <w:r>
              <w:rPr>
                <w:rFonts w:ascii="Calibri" w:cs="Calibri" w:eastAsia="Calibri" w:hAnsi="Calibri"/>
                <w:color w:val="000000"/>
                <w:sz w:val="18"/>
                <w:szCs w:val="18"/>
              </w:rPr>
              <w:t xml:space="preserve">$912,983.28</w:t>
            </w:r>
          </w:p>
        </w:tc>
        <w:tc>
          <w:tcPr>
            <w:tcW w:type="dxa" w:w="2000"/>
            <w:tcMar>
              <w:top w:type="dxa" w:w="60"/>
              <w:left w:type="dxa" w:w="90"/>
              <w:bottom w:type="dxa" w:w="60"/>
              <w:right w:type="dxa" w:w="90"/>
            </w:tcMar>
            <w:vAlign w:val="center"/>
          </w:tcPr>
          <w:p>
            <w:pPr>
              <w:jc w:val="center"/>
            </w:pPr>
            <w:r>
              <w:rPr>
                <w:rFonts w:ascii="Calibri" w:cs="Calibri" w:eastAsia="Calibri" w:hAnsi="Calibri"/>
                <w:color w:val="000000"/>
                <w:sz w:val="18"/>
                <w:szCs w:val="18"/>
              </w:rPr>
              <w:t xml:space="preserve">45,672</w:t>
            </w:r>
          </w:p>
        </w:tc>
        <w:tc>
          <w:tcPr>
            <w:tcW w:type="dxa" w:w="1900"/>
            <w:tcMar>
              <w:top w:type="dxa" w:w="60"/>
              <w:left w:type="dxa" w:w="90"/>
              <w:bottom w:type="dxa" w:w="60"/>
              <w:right w:type="dxa" w:w="90"/>
            </w:tcMar>
            <w:vAlign w:val="center"/>
          </w:tcPr>
          <w:p>
            <w:pPr>
              <w:jc w:val="center"/>
            </w:pPr>
            <w:r>
              <w:rPr>
                <w:rFonts w:ascii="Calibri" w:cs="Calibri" w:eastAsia="Calibri" w:hAnsi="Calibri"/>
                <w:color w:val="000000"/>
                <w:sz w:val="18"/>
                <w:szCs w:val="18"/>
              </w:rPr>
              <w:t xml:space="preserve">$19.99</w:t>
            </w:r>
          </w:p>
        </w:tc>
      </w:tr>
    </w:tbl>
    <w:p>
      <w:pPr>
        <w:spacing w:after="220" w:before="80"/>
        <w:jc w:val="center"/>
      </w:pPr>
      <w:r>
        <w:rPr>
          <w:rFonts w:ascii="Calibri" w:cs="Calibri" w:eastAsia="Calibri" w:hAnsi="Calibri"/>
          <w:i/>
          <w:iCs/>
          <w:color w:val="595959"/>
          <w:sz w:val="19"/>
          <w:szCs w:val="19"/>
        </w:rPr>
        <w:t xml:space="preserve">Table 2. Top 5 Products by Revenue</w:t>
      </w:r>
    </w:p>
    <w:p>
      <w:pPr>
        <w:pStyle w:val="Heading2"/>
        <w:spacing w:after="140" w:before="280"/>
      </w:pPr>
      <w:r>
        <w:rPr>
          <w:rFonts w:ascii="Calibri" w:cs="Calibri" w:eastAsia="Calibri" w:hAnsi="Calibri"/>
          <w:b/>
          <w:bCs/>
          <w:color w:val="2E74B5"/>
          <w:sz w:val="25"/>
          <w:szCs w:val="25"/>
        </w:rPr>
        <w:t xml:space="preserve">7.2 Top Products by Profit</w:t>
      </w:r>
    </w:p>
    <w:p>
      <w:pPr>
        <w:spacing w:after="40" w:before="160"/>
        <w:jc w:val="center"/>
      </w:pPr>
      <w:r>
        <w:drawing>
          <wp:inline distT="0" distB="0" distL="0" distR="0">
            <wp:extent cx="47625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2476500"/>
                    </a:xfrm>
                    <a:prstGeom prst="rect">
                      <a:avLst/>
                    </a:prstGeom>
                  </pic:spPr>
                </pic:pic>
              </a:graphicData>
            </a:graphic>
          </wp:inline>
        </w:drawing>
      </w:r>
    </w:p>
    <w:p>
      <w:pPr>
        <w:spacing w:after="220" w:before="80"/>
        <w:jc w:val="center"/>
      </w:pPr>
      <w:r>
        <w:rPr>
          <w:rFonts w:ascii="Calibri" w:cs="Calibri" w:eastAsia="Calibri" w:hAnsi="Calibri"/>
          <w:i/>
          <w:iCs/>
          <w:color w:val="595959"/>
          <w:sz w:val="19"/>
          <w:szCs w:val="19"/>
        </w:rPr>
        <w:t xml:space="preserve">Figure 5. Top 10 Products by Profit</w:t>
      </w:r>
    </w:p>
    <w:p>
      <w:pPr>
        <w:spacing w:after="160" w:line="276"/>
        <w:jc w:val="both"/>
      </w:pPr>
      <w:r>
        <w:rPr>
          <w:rFonts w:ascii="Calibri" w:cs="Calibri" w:eastAsia="Calibri" w:hAnsi="Calibri"/>
          <w:sz w:val="21"/>
          <w:szCs w:val="21"/>
        </w:rPr>
        <w:t xml:space="preserve">The profit ranking tells a different story from the revenue ranking. Colorbuds generates by far the highest profit of any product, $834,944.00, more than double the second-placed Action Figure ($347,748.00), even though Colorbuds ranks only second in revenue. Lego Bricks, the revenue leader, drops to third place in profit ($298,685.00) because of its comparatively low margin.</w:t>
      </w:r>
    </w:p>
    <w:p>
      <w:pPr>
        <w:pStyle w:val="Heading2"/>
        <w:spacing w:after="140" w:before="280"/>
      </w:pPr>
      <w:r>
        <w:rPr>
          <w:rFonts w:ascii="Calibri" w:cs="Calibri" w:eastAsia="Calibri" w:hAnsi="Calibri"/>
          <w:b/>
          <w:bCs/>
          <w:color w:val="2E74B5"/>
          <w:sz w:val="25"/>
          <w:szCs w:val="25"/>
        </w:rPr>
        <w:t xml:space="preserve">7.3 Products with the Highest Profit Margins</w:t>
      </w:r>
    </w:p>
    <w:p>
      <w:pPr>
        <w:spacing w:after="40" w:before="160"/>
        <w:jc w:val="center"/>
      </w:pPr>
      <w:r>
        <w:drawing>
          <wp:inline distT="0" distB="0" distL="0" distR="0">
            <wp:extent cx="47625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2381250"/>
                    </a:xfrm>
                    <a:prstGeom prst="rect">
                      <a:avLst/>
                    </a:prstGeom>
                  </pic:spPr>
                </pic:pic>
              </a:graphicData>
            </a:graphic>
          </wp:inline>
        </w:drawing>
      </w:r>
    </w:p>
    <w:p>
      <w:pPr>
        <w:spacing w:after="220" w:before="80"/>
        <w:jc w:val="center"/>
      </w:pPr>
      <w:r>
        <w:rPr>
          <w:rFonts w:ascii="Calibri" w:cs="Calibri" w:eastAsia="Calibri" w:hAnsi="Calibri"/>
          <w:i/>
          <w:iCs/>
          <w:color w:val="595959"/>
          <w:sz w:val="19"/>
          <w:szCs w:val="19"/>
        </w:rPr>
        <w:t xml:space="preserve">Figure 6. Top Products by Profit Margin</w:t>
      </w:r>
    </w:p>
    <w:p>
      <w:pPr>
        <w:spacing w:after="160" w:line="276"/>
        <w:jc w:val="both"/>
      </w:pPr>
      <w:r>
        <w:rPr>
          <w:rFonts w:ascii="Calibri" w:cs="Calibri" w:eastAsia="Calibri" w:hAnsi="Calibri"/>
          <w:sz w:val="21"/>
          <w:szCs w:val="21"/>
        </w:rPr>
        <w:t xml:space="preserve">Jenga has the highest profit margin of any product at 70.07%, followed by Mini Basketball Hoop (64.03%) and Playfoam (63.69%). These are all comparatively low-revenue, low-volume products, illustrating that the highest-margin items are not the same as the highest-revenue or highest-profit items.</w:t>
      </w:r>
    </w:p>
    <w:p>
      <w:pPr>
        <w:pStyle w:val="Heading2"/>
        <w:spacing w:after="140" w:before="280"/>
      </w:pPr>
      <w:r>
        <w:rPr>
          <w:rFonts w:ascii="Calibri" w:cs="Calibri" w:eastAsia="Calibri" w:hAnsi="Calibri"/>
          <w:b/>
          <w:bCs/>
          <w:color w:val="2E74B5"/>
          <w:sz w:val="25"/>
          <w:szCs w:val="25"/>
        </w:rPr>
        <w:t xml:space="preserve">7.4 High Sales, Comparatively Low Profit</w:t>
      </w:r>
    </w:p>
    <w:p>
      <w:pPr>
        <w:spacing w:after="160" w:line="276"/>
        <w:jc w:val="both"/>
      </w:pPr>
      <w:r>
        <w:rPr>
          <w:rFonts w:ascii="Calibri" w:cs="Calibri" w:eastAsia="Calibri" w:hAnsi="Calibri"/>
          <w:sz w:val="21"/>
          <w:szCs w:val="21"/>
        </w:rPr>
        <w:t xml:space="preserve">Several products combine strong revenue or unit sales with a relatively low profit margin. Lego Bricks is the most notable example: it is the top revenue-generating product ($2,388,882.63) but earns only a 12.50% margin, the second-lowest margin of any product with meaningful revenue. Magic Sand (revenue rank 3, 12.51% margin) and Rubik's Cube (revenue rank 5, 10.01% margin, the lowest margin in the dataset) show the same pattern. Splash Balls likewise sells well (60,248 units, $541,629.52 in revenue) at an 11.12% margin.</w:t>
      </w:r>
    </w:p>
    <w:p>
      <w:pPr>
        <w:pStyle w:val="Heading2"/>
        <w:spacing w:after="140" w:before="280"/>
      </w:pPr>
      <w:r>
        <w:rPr>
          <w:rFonts w:ascii="Calibri" w:cs="Calibri" w:eastAsia="Calibri" w:hAnsi="Calibri"/>
          <w:b/>
          <w:bCs/>
          <w:color w:val="2E74B5"/>
          <w:sz w:val="25"/>
          <w:szCs w:val="25"/>
        </w:rPr>
        <w:t xml:space="preserve">7.5 Weaker-Performing Products</w:t>
      </w:r>
    </w:p>
    <w:p>
      <w:pPr>
        <w:spacing w:after="160" w:line="276"/>
        <w:jc w:val="both"/>
      </w:pPr>
      <w:r>
        <w:rPr>
          <w:rFonts w:ascii="Calibri" w:cs="Calibri" w:eastAsia="Calibri" w:hAnsi="Calibri"/>
          <w:sz w:val="21"/>
          <w:szCs w:val="21"/>
        </w:rPr>
        <w:t xml:space="preserve">At the other end of the scale, Uno Card Game ($21,652.90), Classic Dominoes ($44,665.29), Playfoam ($45,696.42) and Chutes &amp; Ladders ($49,738.71) generated the least revenue of the 35 products, and Classic Dominoes ($8,942.00), Uno Card Game ($10,840.00) and Chutes &amp; Ladders ($11,487.00) generated the least profit. Notably, Playfoam still carries a strong 63.69% margin despite low revenue, so it is weak on scale rather than on profitability; Classic Dominoes and Chutes &amp; Ladders are comparatively weak on both scale and margin (20.02% and 23.09% respectively).</w:t>
      </w:r>
    </w:p>
    <w:p>
      <w:r>
        <w:br w:type="page"/>
      </w:r>
    </w:p>
    <w:p>
      <w:pPr>
        <w:pStyle w:val="Heading1"/>
        <w:spacing w:after="180" w:before="360"/>
      </w:pPr>
      <w:r>
        <w:rPr>
          <w:rFonts w:ascii="Calibri" w:cs="Calibri" w:eastAsia="Calibri" w:hAnsi="Calibri"/>
          <w:b/>
          <w:bCs/>
          <w:color w:val="1F3864"/>
          <w:sz w:val="30"/>
          <w:szCs w:val="30"/>
        </w:rPr>
        <w:t xml:space="preserve">8. Category Analysis</w:t>
      </w:r>
    </w:p>
    <w:tbl>
      <w:tblPr>
        <w:tblW w:type="dxa" w:w="10200"/>
        <w:tblBorders>
          <w:top w:val="single" w:color="BFBFBF" w:sz="4"/>
          <w:left w:val="single" w:color="BFBFBF" w:sz="4"/>
          <w:bottom w:val="single" w:color="BFBFBF" w:sz="4"/>
          <w:right w:val="single" w:color="BFBFBF" w:sz="4"/>
          <w:insideH w:val="single" w:color="D9D9D9" w:sz="2"/>
          <w:insideV w:val="single" w:color="D9D9D9" w:sz="2"/>
        </w:tblBorders>
      </w:tblPr>
      <w:tblGrid>
        <w:gridCol w:w="2300"/>
        <w:gridCol w:w="2100"/>
        <w:gridCol w:w="2100"/>
        <w:gridCol w:w="1900"/>
        <w:gridCol w:w="1800"/>
      </w:tblGrid>
      <w:tr>
        <w:trPr>
          <w:tblHeader/>
        </w:trPr>
        <w:tc>
          <w:tcPr>
            <w:tcW w:type="dxa" w:w="2300"/>
            <w:shd w:fill="1F3864" w:val="clear"/>
            <w:tcMar>
              <w:top w:type="dxa" w:w="60"/>
              <w:left w:type="dxa" w:w="90"/>
              <w:bottom w:type="dxa" w:w="60"/>
              <w:right w:type="dxa" w:w="90"/>
            </w:tcMar>
            <w:vAlign w:val="center"/>
          </w:tcPr>
          <w:p>
            <w:pPr>
              <w:jc w:val="center"/>
            </w:pPr>
            <w:r>
              <w:rPr>
                <w:rFonts w:ascii="Calibri" w:cs="Calibri" w:eastAsia="Calibri" w:hAnsi="Calibri"/>
                <w:b/>
                <w:bCs/>
                <w:color w:val="FFFFFF"/>
                <w:sz w:val="18"/>
                <w:szCs w:val="18"/>
              </w:rPr>
              <w:t xml:space="preserve">Category</w:t>
            </w:r>
          </w:p>
        </w:tc>
        <w:tc>
          <w:tcPr>
            <w:tcW w:type="dxa" w:w="2100"/>
            <w:shd w:fill="1F3864" w:val="clear"/>
            <w:tcMar>
              <w:top w:type="dxa" w:w="60"/>
              <w:left w:type="dxa" w:w="90"/>
              <w:bottom w:type="dxa" w:w="60"/>
              <w:right w:type="dxa" w:w="90"/>
            </w:tcMar>
            <w:vAlign w:val="center"/>
          </w:tcPr>
          <w:p>
            <w:pPr>
              <w:jc w:val="center"/>
            </w:pPr>
            <w:r>
              <w:rPr>
                <w:rFonts w:ascii="Calibri" w:cs="Calibri" w:eastAsia="Calibri" w:hAnsi="Calibri"/>
                <w:b/>
                <w:bCs/>
                <w:color w:val="FFFFFF"/>
                <w:sz w:val="18"/>
                <w:szCs w:val="18"/>
              </w:rPr>
              <w:t xml:space="preserve">Revenue</w:t>
            </w:r>
          </w:p>
        </w:tc>
        <w:tc>
          <w:tcPr>
            <w:tcW w:type="dxa" w:w="2100"/>
            <w:shd w:fill="1F3864" w:val="clear"/>
            <w:tcMar>
              <w:top w:type="dxa" w:w="60"/>
              <w:left w:type="dxa" w:w="90"/>
              <w:bottom w:type="dxa" w:w="60"/>
              <w:right w:type="dxa" w:w="90"/>
            </w:tcMar>
            <w:vAlign w:val="center"/>
          </w:tcPr>
          <w:p>
            <w:pPr>
              <w:jc w:val="center"/>
            </w:pPr>
            <w:r>
              <w:rPr>
                <w:rFonts w:ascii="Calibri" w:cs="Calibri" w:eastAsia="Calibri" w:hAnsi="Calibri"/>
                <w:b/>
                <w:bCs/>
                <w:color w:val="FFFFFF"/>
                <w:sz w:val="18"/>
                <w:szCs w:val="18"/>
              </w:rPr>
              <w:t xml:space="preserve">Profit</w:t>
            </w:r>
          </w:p>
        </w:tc>
        <w:tc>
          <w:tcPr>
            <w:tcW w:type="dxa" w:w="1900"/>
            <w:shd w:fill="1F3864" w:val="clear"/>
            <w:tcMar>
              <w:top w:type="dxa" w:w="60"/>
              <w:left w:type="dxa" w:w="90"/>
              <w:bottom w:type="dxa" w:w="60"/>
              <w:right w:type="dxa" w:w="90"/>
            </w:tcMar>
            <w:vAlign w:val="center"/>
          </w:tcPr>
          <w:p>
            <w:pPr>
              <w:jc w:val="center"/>
            </w:pPr>
            <w:r>
              <w:rPr>
                <w:rFonts w:ascii="Calibri" w:cs="Calibri" w:eastAsia="Calibri" w:hAnsi="Calibri"/>
                <w:b/>
                <w:bCs/>
                <w:color w:val="FFFFFF"/>
                <w:sz w:val="18"/>
                <w:szCs w:val="18"/>
              </w:rPr>
              <w:t xml:space="preserve">Units Sold</w:t>
            </w:r>
          </w:p>
        </w:tc>
        <w:tc>
          <w:tcPr>
            <w:tcW w:type="dxa" w:w="1800"/>
            <w:shd w:fill="1F3864" w:val="clear"/>
            <w:tcMar>
              <w:top w:type="dxa" w:w="60"/>
              <w:left w:type="dxa" w:w="90"/>
              <w:bottom w:type="dxa" w:w="60"/>
              <w:right w:type="dxa" w:w="90"/>
            </w:tcMar>
            <w:vAlign w:val="center"/>
          </w:tcPr>
          <w:p>
            <w:pPr>
              <w:jc w:val="center"/>
            </w:pPr>
            <w:r>
              <w:rPr>
                <w:rFonts w:ascii="Calibri" w:cs="Calibri" w:eastAsia="Calibri" w:hAnsi="Calibri"/>
                <w:b/>
                <w:bCs/>
                <w:color w:val="FFFFFF"/>
                <w:sz w:val="18"/>
                <w:szCs w:val="18"/>
              </w:rPr>
              <w:t xml:space="preserve">Profit Margin</w:t>
            </w:r>
          </w:p>
        </w:tc>
      </w:tr>
      <w:tr>
        <w:tc>
          <w:tcPr>
            <w:tcW w:type="dxa" w:w="2300"/>
            <w:tcMar>
              <w:top w:type="dxa" w:w="60"/>
              <w:left w:type="dxa" w:w="90"/>
              <w:bottom w:type="dxa" w:w="60"/>
              <w:right w:type="dxa" w:w="90"/>
            </w:tcMar>
            <w:vAlign w:val="center"/>
          </w:tcPr>
          <w:p>
            <w:pPr>
              <w:jc w:val="left"/>
            </w:pPr>
            <w:r>
              <w:rPr>
                <w:rFonts w:ascii="Calibri" w:cs="Calibri" w:eastAsia="Calibri" w:hAnsi="Calibri"/>
                <w:color w:val="000000"/>
                <w:sz w:val="18"/>
                <w:szCs w:val="18"/>
              </w:rPr>
              <w:t xml:space="preserve">Toys</w:t>
            </w:r>
          </w:p>
        </w:tc>
        <w:tc>
          <w:tcPr>
            <w:tcW w:type="dxa" w:w="2100"/>
            <w:tcMar>
              <w:top w:type="dxa" w:w="60"/>
              <w:left w:type="dxa" w:w="90"/>
              <w:bottom w:type="dxa" w:w="60"/>
              <w:right w:type="dxa" w:w="90"/>
            </w:tcMar>
            <w:vAlign w:val="center"/>
          </w:tcPr>
          <w:p>
            <w:pPr>
              <w:jc w:val="center"/>
            </w:pPr>
            <w:r>
              <w:rPr>
                <w:rFonts w:ascii="Calibri" w:cs="Calibri" w:eastAsia="Calibri" w:hAnsi="Calibri"/>
                <w:color w:val="000000"/>
                <w:sz w:val="18"/>
                <w:szCs w:val="18"/>
              </w:rPr>
              <w:t xml:space="preserve">$5,093,241.00</w:t>
            </w:r>
          </w:p>
        </w:tc>
        <w:tc>
          <w:tcPr>
            <w:tcW w:type="dxa" w:w="2100"/>
            <w:tcMar>
              <w:top w:type="dxa" w:w="60"/>
              <w:left w:type="dxa" w:w="90"/>
              <w:bottom w:type="dxa" w:w="60"/>
              <w:right w:type="dxa" w:w="90"/>
            </w:tcMar>
            <w:vAlign w:val="center"/>
          </w:tcPr>
          <w:p>
            <w:pPr>
              <w:jc w:val="center"/>
            </w:pPr>
            <w:r>
              <w:rPr>
                <w:rFonts w:ascii="Calibri" w:cs="Calibri" w:eastAsia="Calibri" w:hAnsi="Calibri"/>
                <w:color w:val="000000"/>
                <w:sz w:val="18"/>
                <w:szCs w:val="18"/>
              </w:rPr>
              <w:t xml:space="preserve">$1,079,527.00</w:t>
            </w:r>
          </w:p>
        </w:tc>
        <w:tc>
          <w:tcPr>
            <w:tcW w:type="dxa" w:w="1900"/>
            <w:tcMar>
              <w:top w:type="dxa" w:w="60"/>
              <w:left w:type="dxa" w:w="90"/>
              <w:bottom w:type="dxa" w:w="60"/>
              <w:right w:type="dxa" w:w="90"/>
            </w:tcMar>
            <w:vAlign w:val="center"/>
          </w:tcPr>
          <w:p>
            <w:pPr>
              <w:jc w:val="center"/>
            </w:pPr>
            <w:r>
              <w:rPr>
                <w:rFonts w:ascii="Calibri" w:cs="Calibri" w:eastAsia="Calibri" w:hAnsi="Calibri"/>
                <w:color w:val="000000"/>
                <w:sz w:val="18"/>
                <w:szCs w:val="18"/>
              </w:rPr>
              <w:t xml:space="preserve">267,200</w:t>
            </w:r>
          </w:p>
        </w:tc>
        <w:tc>
          <w:tcPr>
            <w:tcW w:type="dxa" w:w="1800"/>
            <w:tcMar>
              <w:top w:type="dxa" w:w="60"/>
              <w:left w:type="dxa" w:w="90"/>
              <w:bottom w:type="dxa" w:w="60"/>
              <w:right w:type="dxa" w:w="90"/>
            </w:tcMar>
            <w:vAlign w:val="center"/>
          </w:tcPr>
          <w:p>
            <w:pPr>
              <w:jc w:val="center"/>
            </w:pPr>
            <w:r>
              <w:rPr>
                <w:rFonts w:ascii="Calibri" w:cs="Calibri" w:eastAsia="Calibri" w:hAnsi="Calibri"/>
                <w:color w:val="000000"/>
                <w:sz w:val="18"/>
                <w:szCs w:val="18"/>
              </w:rPr>
              <w:t xml:space="preserve">21.20%</w:t>
            </w:r>
          </w:p>
        </w:tc>
      </w:tr>
      <w:tr>
        <w:tc>
          <w:tcPr>
            <w:tcW w:type="dxa" w:w="2300"/>
            <w:shd w:fill="F2F2F2" w:val="clear"/>
            <w:tcMar>
              <w:top w:type="dxa" w:w="60"/>
              <w:left w:type="dxa" w:w="90"/>
              <w:bottom w:type="dxa" w:w="60"/>
              <w:right w:type="dxa" w:w="90"/>
            </w:tcMar>
            <w:vAlign w:val="center"/>
          </w:tcPr>
          <w:p>
            <w:pPr>
              <w:jc w:val="left"/>
            </w:pPr>
            <w:r>
              <w:rPr>
                <w:rFonts w:ascii="Calibri" w:cs="Calibri" w:eastAsia="Calibri" w:hAnsi="Calibri"/>
                <w:color w:val="000000"/>
                <w:sz w:val="18"/>
                <w:szCs w:val="18"/>
              </w:rPr>
              <w:t xml:space="preserve">Art &amp; Crafts</w:t>
            </w:r>
          </w:p>
        </w:tc>
        <w:tc>
          <w:tcPr>
            <w:tcW w:type="dxa" w:w="2100"/>
            <w:shd w:fill="F2F2F2" w:val="clear"/>
            <w:tcMar>
              <w:top w:type="dxa" w:w="60"/>
              <w:left w:type="dxa" w:w="90"/>
              <w:bottom w:type="dxa" w:w="60"/>
              <w:right w:type="dxa" w:w="90"/>
            </w:tcMar>
            <w:vAlign w:val="center"/>
          </w:tcPr>
          <w:p>
            <w:pPr>
              <w:jc w:val="center"/>
            </w:pPr>
            <w:r>
              <w:rPr>
                <w:rFonts w:ascii="Calibri" w:cs="Calibri" w:eastAsia="Calibri" w:hAnsi="Calibri"/>
                <w:color w:val="000000"/>
                <w:sz w:val="18"/>
                <w:szCs w:val="18"/>
              </w:rPr>
              <w:t xml:space="preserve">$2,705,364.26</w:t>
            </w:r>
          </w:p>
        </w:tc>
        <w:tc>
          <w:tcPr>
            <w:tcW w:type="dxa" w:w="2100"/>
            <w:shd w:fill="F2F2F2" w:val="clear"/>
            <w:tcMar>
              <w:top w:type="dxa" w:w="60"/>
              <w:left w:type="dxa" w:w="90"/>
              <w:bottom w:type="dxa" w:w="60"/>
              <w:right w:type="dxa" w:w="90"/>
            </w:tcMar>
            <w:vAlign w:val="center"/>
          </w:tcPr>
          <w:p>
            <w:pPr>
              <w:jc w:val="center"/>
            </w:pPr>
            <w:r>
              <w:rPr>
                <w:rFonts w:ascii="Calibri" w:cs="Calibri" w:eastAsia="Calibri" w:hAnsi="Calibri"/>
                <w:color w:val="000000"/>
                <w:sz w:val="18"/>
                <w:szCs w:val="18"/>
              </w:rPr>
              <w:t xml:space="preserve">$753,354.00</w:t>
            </w:r>
          </w:p>
        </w:tc>
        <w:tc>
          <w:tcPr>
            <w:tcW w:type="dxa" w:w="1900"/>
            <w:shd w:fill="F2F2F2" w:val="clear"/>
            <w:tcMar>
              <w:top w:type="dxa" w:w="60"/>
              <w:left w:type="dxa" w:w="90"/>
              <w:bottom w:type="dxa" w:w="60"/>
              <w:right w:type="dxa" w:w="90"/>
            </w:tcMar>
            <w:vAlign w:val="center"/>
          </w:tcPr>
          <w:p>
            <w:pPr>
              <w:jc w:val="center"/>
            </w:pPr>
            <w:r>
              <w:rPr>
                <w:rFonts w:ascii="Calibri" w:cs="Calibri" w:eastAsia="Calibri" w:hAnsi="Calibri"/>
                <w:color w:val="000000"/>
                <w:sz w:val="18"/>
                <w:szCs w:val="18"/>
              </w:rPr>
              <w:t xml:space="preserve">325,574</w:t>
            </w:r>
          </w:p>
        </w:tc>
        <w:tc>
          <w:tcPr>
            <w:tcW w:type="dxa" w:w="1800"/>
            <w:shd w:fill="F2F2F2" w:val="clear"/>
            <w:tcMar>
              <w:top w:type="dxa" w:w="60"/>
              <w:left w:type="dxa" w:w="90"/>
              <w:bottom w:type="dxa" w:w="60"/>
              <w:right w:type="dxa" w:w="90"/>
            </w:tcMar>
            <w:vAlign w:val="center"/>
          </w:tcPr>
          <w:p>
            <w:pPr>
              <w:jc w:val="center"/>
            </w:pPr>
            <w:r>
              <w:rPr>
                <w:rFonts w:ascii="Calibri" w:cs="Calibri" w:eastAsia="Calibri" w:hAnsi="Calibri"/>
                <w:color w:val="000000"/>
                <w:sz w:val="18"/>
                <w:szCs w:val="18"/>
              </w:rPr>
              <w:t xml:space="preserve">27.85%</w:t>
            </w:r>
          </w:p>
        </w:tc>
      </w:tr>
      <w:tr>
        <w:tc>
          <w:tcPr>
            <w:tcW w:type="dxa" w:w="2300"/>
            <w:tcMar>
              <w:top w:type="dxa" w:w="60"/>
              <w:left w:type="dxa" w:w="90"/>
              <w:bottom w:type="dxa" w:w="60"/>
              <w:right w:type="dxa" w:w="90"/>
            </w:tcMar>
            <w:vAlign w:val="center"/>
          </w:tcPr>
          <w:p>
            <w:pPr>
              <w:jc w:val="left"/>
            </w:pPr>
            <w:r>
              <w:rPr>
                <w:rFonts w:ascii="Calibri" w:cs="Calibri" w:eastAsia="Calibri" w:hAnsi="Calibri"/>
                <w:color w:val="000000"/>
                <w:sz w:val="18"/>
                <w:szCs w:val="18"/>
              </w:rPr>
              <w:t xml:space="preserve">Electronics</w:t>
            </w:r>
          </w:p>
        </w:tc>
        <w:tc>
          <w:tcPr>
            <w:tcW w:type="dxa" w:w="2100"/>
            <w:tcMar>
              <w:top w:type="dxa" w:w="60"/>
              <w:left w:type="dxa" w:w="90"/>
              <w:bottom w:type="dxa" w:w="60"/>
              <w:right w:type="dxa" w:w="90"/>
            </w:tcMar>
            <w:vAlign w:val="center"/>
          </w:tcPr>
          <w:p>
            <w:pPr>
              <w:jc w:val="center"/>
            </w:pPr>
            <w:r>
              <w:rPr>
                <w:rFonts w:ascii="Calibri" w:cs="Calibri" w:eastAsia="Calibri" w:hAnsi="Calibri"/>
                <w:color w:val="000000"/>
                <w:sz w:val="18"/>
                <w:szCs w:val="18"/>
              </w:rPr>
              <w:t xml:space="preserve">$2,246,771.25</w:t>
            </w:r>
          </w:p>
        </w:tc>
        <w:tc>
          <w:tcPr>
            <w:tcW w:type="dxa" w:w="2100"/>
            <w:tcMar>
              <w:top w:type="dxa" w:w="60"/>
              <w:left w:type="dxa" w:w="90"/>
              <w:bottom w:type="dxa" w:w="60"/>
              <w:right w:type="dxa" w:w="90"/>
            </w:tcMar>
            <w:vAlign w:val="center"/>
          </w:tcPr>
          <w:p>
            <w:pPr>
              <w:jc w:val="center"/>
            </w:pPr>
            <w:r>
              <w:rPr>
                <w:rFonts w:ascii="Calibri" w:cs="Calibri" w:eastAsia="Calibri" w:hAnsi="Calibri"/>
                <w:color w:val="000000"/>
                <w:sz w:val="18"/>
                <w:szCs w:val="18"/>
              </w:rPr>
              <w:t xml:space="preserve">$1,001,437.00</w:t>
            </w:r>
          </w:p>
        </w:tc>
        <w:tc>
          <w:tcPr>
            <w:tcW w:type="dxa" w:w="1900"/>
            <w:tcMar>
              <w:top w:type="dxa" w:w="60"/>
              <w:left w:type="dxa" w:w="90"/>
              <w:bottom w:type="dxa" w:w="60"/>
              <w:right w:type="dxa" w:w="90"/>
            </w:tcMar>
            <w:vAlign w:val="center"/>
          </w:tcPr>
          <w:p>
            <w:pPr>
              <w:jc w:val="center"/>
            </w:pPr>
            <w:r>
              <w:rPr>
                <w:rFonts w:ascii="Calibri" w:cs="Calibri" w:eastAsia="Calibri" w:hAnsi="Calibri"/>
                <w:color w:val="000000"/>
                <w:sz w:val="18"/>
                <w:szCs w:val="18"/>
              </w:rPr>
              <w:t xml:space="preserve">134,075</w:t>
            </w:r>
          </w:p>
        </w:tc>
        <w:tc>
          <w:tcPr>
            <w:tcW w:type="dxa" w:w="1800"/>
            <w:tcMar>
              <w:top w:type="dxa" w:w="60"/>
              <w:left w:type="dxa" w:w="90"/>
              <w:bottom w:type="dxa" w:w="60"/>
              <w:right w:type="dxa" w:w="90"/>
            </w:tcMar>
            <w:vAlign w:val="center"/>
          </w:tcPr>
          <w:p>
            <w:pPr>
              <w:jc w:val="center"/>
            </w:pPr>
            <w:r>
              <w:rPr>
                <w:rFonts w:ascii="Calibri" w:cs="Calibri" w:eastAsia="Calibri" w:hAnsi="Calibri"/>
                <w:color w:val="000000"/>
                <w:sz w:val="18"/>
                <w:szCs w:val="18"/>
              </w:rPr>
              <w:t xml:space="preserve">44.57%</w:t>
            </w:r>
          </w:p>
        </w:tc>
      </w:tr>
      <w:tr>
        <w:tc>
          <w:tcPr>
            <w:tcW w:type="dxa" w:w="2300"/>
            <w:shd w:fill="F2F2F2" w:val="clear"/>
            <w:tcMar>
              <w:top w:type="dxa" w:w="60"/>
              <w:left w:type="dxa" w:w="90"/>
              <w:bottom w:type="dxa" w:w="60"/>
              <w:right w:type="dxa" w:w="90"/>
            </w:tcMar>
            <w:vAlign w:val="center"/>
          </w:tcPr>
          <w:p>
            <w:pPr>
              <w:jc w:val="left"/>
            </w:pPr>
            <w:r>
              <w:rPr>
                <w:rFonts w:ascii="Calibri" w:cs="Calibri" w:eastAsia="Calibri" w:hAnsi="Calibri"/>
                <w:color w:val="000000"/>
                <w:sz w:val="18"/>
                <w:szCs w:val="18"/>
              </w:rPr>
              <w:t xml:space="preserve">Games</w:t>
            </w:r>
          </w:p>
        </w:tc>
        <w:tc>
          <w:tcPr>
            <w:tcW w:type="dxa" w:w="2100"/>
            <w:shd w:fill="F2F2F2" w:val="clear"/>
            <w:tcMar>
              <w:top w:type="dxa" w:w="60"/>
              <w:left w:type="dxa" w:w="90"/>
              <w:bottom w:type="dxa" w:w="60"/>
              <w:right w:type="dxa" w:w="90"/>
            </w:tcMar>
            <w:vAlign w:val="center"/>
          </w:tcPr>
          <w:p>
            <w:pPr>
              <w:jc w:val="center"/>
            </w:pPr>
            <w:r>
              <w:rPr>
                <w:rFonts w:ascii="Calibri" w:cs="Calibri" w:eastAsia="Calibri" w:hAnsi="Calibri"/>
                <w:color w:val="000000"/>
                <w:sz w:val="18"/>
                <w:szCs w:val="18"/>
              </w:rPr>
              <w:t xml:space="preserve">$2,226,836.27</w:t>
            </w:r>
          </w:p>
        </w:tc>
        <w:tc>
          <w:tcPr>
            <w:tcW w:type="dxa" w:w="2100"/>
            <w:shd w:fill="F2F2F2" w:val="clear"/>
            <w:tcMar>
              <w:top w:type="dxa" w:w="60"/>
              <w:left w:type="dxa" w:w="90"/>
              <w:bottom w:type="dxa" w:w="60"/>
              <w:right w:type="dxa" w:w="90"/>
            </w:tcMar>
            <w:vAlign w:val="center"/>
          </w:tcPr>
          <w:p>
            <w:pPr>
              <w:jc w:val="center"/>
            </w:pPr>
            <w:r>
              <w:rPr>
                <w:rFonts w:ascii="Calibri" w:cs="Calibri" w:eastAsia="Calibri" w:hAnsi="Calibri"/>
                <w:color w:val="000000"/>
                <w:sz w:val="18"/>
                <w:szCs w:val="18"/>
              </w:rPr>
              <w:t xml:space="preserve">$673,993.00</w:t>
            </w:r>
          </w:p>
        </w:tc>
        <w:tc>
          <w:tcPr>
            <w:tcW w:type="dxa" w:w="1900"/>
            <w:shd w:fill="F2F2F2" w:val="clear"/>
            <w:tcMar>
              <w:top w:type="dxa" w:w="60"/>
              <w:left w:type="dxa" w:w="90"/>
              <w:bottom w:type="dxa" w:w="60"/>
              <w:right w:type="dxa" w:w="90"/>
            </w:tcMar>
            <w:vAlign w:val="center"/>
          </w:tcPr>
          <w:p>
            <w:pPr>
              <w:jc w:val="center"/>
            </w:pPr>
            <w:r>
              <w:rPr>
                <w:rFonts w:ascii="Calibri" w:cs="Calibri" w:eastAsia="Calibri" w:hAnsi="Calibri"/>
                <w:color w:val="000000"/>
                <w:sz w:val="18"/>
                <w:szCs w:val="18"/>
              </w:rPr>
              <w:t xml:space="preserve">194,673</w:t>
            </w:r>
          </w:p>
        </w:tc>
        <w:tc>
          <w:tcPr>
            <w:tcW w:type="dxa" w:w="1800"/>
            <w:shd w:fill="F2F2F2" w:val="clear"/>
            <w:tcMar>
              <w:top w:type="dxa" w:w="60"/>
              <w:left w:type="dxa" w:w="90"/>
              <w:bottom w:type="dxa" w:w="60"/>
              <w:right w:type="dxa" w:w="90"/>
            </w:tcMar>
            <w:vAlign w:val="center"/>
          </w:tcPr>
          <w:p>
            <w:pPr>
              <w:jc w:val="center"/>
            </w:pPr>
            <w:r>
              <w:rPr>
                <w:rFonts w:ascii="Calibri" w:cs="Calibri" w:eastAsia="Calibri" w:hAnsi="Calibri"/>
                <w:color w:val="000000"/>
                <w:sz w:val="18"/>
                <w:szCs w:val="18"/>
              </w:rPr>
              <w:t xml:space="preserve">30.27%</w:t>
            </w:r>
          </w:p>
        </w:tc>
      </w:tr>
      <w:tr>
        <w:tc>
          <w:tcPr>
            <w:tcW w:type="dxa" w:w="2300"/>
            <w:tcMar>
              <w:top w:type="dxa" w:w="60"/>
              <w:left w:type="dxa" w:w="90"/>
              <w:bottom w:type="dxa" w:w="60"/>
              <w:right w:type="dxa" w:w="90"/>
            </w:tcMar>
            <w:vAlign w:val="center"/>
          </w:tcPr>
          <w:p>
            <w:pPr>
              <w:jc w:val="left"/>
            </w:pPr>
            <w:r>
              <w:rPr>
                <w:rFonts w:ascii="Calibri" w:cs="Calibri" w:eastAsia="Calibri" w:hAnsi="Calibri"/>
                <w:color w:val="000000"/>
                <w:sz w:val="18"/>
                <w:szCs w:val="18"/>
              </w:rPr>
              <w:t xml:space="preserve">Sports &amp; Outdoors</w:t>
            </w:r>
          </w:p>
        </w:tc>
        <w:tc>
          <w:tcPr>
            <w:tcW w:type="dxa" w:w="2100"/>
            <w:tcMar>
              <w:top w:type="dxa" w:w="60"/>
              <w:left w:type="dxa" w:w="90"/>
              <w:bottom w:type="dxa" w:w="60"/>
              <w:right w:type="dxa" w:w="90"/>
            </w:tcMar>
            <w:vAlign w:val="center"/>
          </w:tcPr>
          <w:p>
            <w:pPr>
              <w:jc w:val="center"/>
            </w:pPr>
            <w:r>
              <w:rPr>
                <w:rFonts w:ascii="Calibri" w:cs="Calibri" w:eastAsia="Calibri" w:hAnsi="Calibri"/>
                <w:color w:val="000000"/>
                <w:sz w:val="18"/>
                <w:szCs w:val="18"/>
              </w:rPr>
              <w:t xml:space="preserve">$2,172,359.57</w:t>
            </w:r>
          </w:p>
        </w:tc>
        <w:tc>
          <w:tcPr>
            <w:tcW w:type="dxa" w:w="2100"/>
            <w:tcMar>
              <w:top w:type="dxa" w:w="60"/>
              <w:left w:type="dxa" w:w="90"/>
              <w:bottom w:type="dxa" w:w="60"/>
              <w:right w:type="dxa" w:w="90"/>
            </w:tcMar>
            <w:vAlign w:val="center"/>
          </w:tcPr>
          <w:p>
            <w:pPr>
              <w:jc w:val="center"/>
            </w:pPr>
            <w:r>
              <w:rPr>
                <w:rFonts w:ascii="Calibri" w:cs="Calibri" w:eastAsia="Calibri" w:hAnsi="Calibri"/>
                <w:color w:val="000000"/>
                <w:sz w:val="18"/>
                <w:szCs w:val="18"/>
              </w:rPr>
              <w:t xml:space="preserve">$505,718.00</w:t>
            </w:r>
          </w:p>
        </w:tc>
        <w:tc>
          <w:tcPr>
            <w:tcW w:type="dxa" w:w="1900"/>
            <w:tcMar>
              <w:top w:type="dxa" w:w="60"/>
              <w:left w:type="dxa" w:w="90"/>
              <w:bottom w:type="dxa" w:w="60"/>
              <w:right w:type="dxa" w:w="90"/>
            </w:tcMar>
            <w:vAlign w:val="center"/>
          </w:tcPr>
          <w:p>
            <w:pPr>
              <w:jc w:val="center"/>
            </w:pPr>
            <w:r>
              <w:rPr>
                <w:rFonts w:ascii="Calibri" w:cs="Calibri" w:eastAsia="Calibri" w:hAnsi="Calibri"/>
                <w:color w:val="000000"/>
                <w:sz w:val="18"/>
                <w:szCs w:val="18"/>
              </w:rPr>
              <w:t xml:space="preserve">169,043</w:t>
            </w:r>
          </w:p>
        </w:tc>
        <w:tc>
          <w:tcPr>
            <w:tcW w:type="dxa" w:w="1800"/>
            <w:tcMar>
              <w:top w:type="dxa" w:w="60"/>
              <w:left w:type="dxa" w:w="90"/>
              <w:bottom w:type="dxa" w:w="60"/>
              <w:right w:type="dxa" w:w="90"/>
            </w:tcMar>
            <w:vAlign w:val="center"/>
          </w:tcPr>
          <w:p>
            <w:pPr>
              <w:jc w:val="center"/>
            </w:pPr>
            <w:r>
              <w:rPr>
                <w:rFonts w:ascii="Calibri" w:cs="Calibri" w:eastAsia="Calibri" w:hAnsi="Calibri"/>
                <w:color w:val="000000"/>
                <w:sz w:val="18"/>
                <w:szCs w:val="18"/>
              </w:rPr>
              <w:t xml:space="preserve">23.28%</w:t>
            </w:r>
          </w:p>
        </w:tc>
      </w:tr>
    </w:tbl>
    <w:p>
      <w:pPr>
        <w:spacing w:after="220" w:before="80"/>
        <w:jc w:val="center"/>
      </w:pPr>
      <w:r>
        <w:rPr>
          <w:rFonts w:ascii="Calibri" w:cs="Calibri" w:eastAsia="Calibri" w:hAnsi="Calibri"/>
          <w:i/>
          <w:iCs/>
          <w:color w:val="595959"/>
          <w:sz w:val="19"/>
          <w:szCs w:val="19"/>
        </w:rPr>
        <w:t xml:space="preserve">Table 3. Category Performance Summary</w:t>
      </w:r>
    </w:p>
    <w:p>
      <w:pPr>
        <w:spacing w:after="40" w:before="160"/>
        <w:jc w:val="center"/>
      </w:pPr>
      <w:r>
        <w:drawing>
          <wp:inline distT="0" distB="0" distL="0" distR="0">
            <wp:extent cx="43815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381500" cy="2381250"/>
                    </a:xfrm>
                    <a:prstGeom prst="rect">
                      <a:avLst/>
                    </a:prstGeom>
                  </pic:spPr>
                </pic:pic>
              </a:graphicData>
            </a:graphic>
          </wp:inline>
        </w:drawing>
      </w:r>
    </w:p>
    <w:p>
      <w:pPr>
        <w:spacing w:after="220" w:before="80"/>
        <w:jc w:val="center"/>
      </w:pPr>
      <w:r>
        <w:rPr>
          <w:rFonts w:ascii="Calibri" w:cs="Calibri" w:eastAsia="Calibri" w:hAnsi="Calibri"/>
          <w:i/>
          <w:iCs/>
          <w:color w:val="595959"/>
          <w:sz w:val="19"/>
          <w:szCs w:val="19"/>
        </w:rPr>
        <w:t xml:space="preserve">Figure 7. Profit by Category</w:t>
      </w:r>
    </w:p>
    <w:p>
      <w:pPr>
        <w:spacing w:after="160" w:line="276"/>
        <w:jc w:val="both"/>
      </w:pPr>
      <w:r>
        <w:rPr>
          <w:rFonts w:ascii="Calibri" w:cs="Calibri" w:eastAsia="Calibri" w:hAnsi="Calibri"/>
          <w:sz w:val="21"/>
          <w:szCs w:val="21"/>
        </w:rPr>
        <w:t xml:space="preserve">Ranked by profit, the order changes from the revenue ranking: Toys leads narrowly ($1,079,527.00) but Electronics is close behind ($1,001,437.00) despite generating less than half of Toys' revenue, confirming Electronics as the most profitable category on a margin basis (44.57%). Art &amp; Crafts ($753,354.00), Games ($673,993.00) and Sports &amp; Outdoors ($505,718.00, the lowest of the five) follow.</w:t>
      </w:r>
    </w:p>
    <w:p>
      <w:pPr>
        <w:spacing w:after="160" w:line="276"/>
        <w:jc w:val="both"/>
      </w:pPr>
      <w:r>
        <w:rPr>
          <w:rFonts w:ascii="Calibri" w:cs="Calibri" w:eastAsia="Calibri" w:hAnsi="Calibri"/>
          <w:sz w:val="21"/>
          <w:szCs w:val="21"/>
        </w:rPr>
        <w:t xml:space="preserve">Overall, Electronics is the standout category on profitability: it produces the highest profit margin (44.57%) and the second-highest total profit, from the second-lowest unit volume, indicating high-value items sold at healthy margins. Toys, by contrast, drives the business on scale — highest revenue, most units, and the highest absolute profit — but at the lowest margin of any category (21.20%), meaning its profit performance depends more on volume than on per-unit profitability.</w:t>
      </w:r>
    </w:p>
    <w:p>
      <w:r>
        <w:br w:type="page"/>
      </w:r>
    </w:p>
    <w:p>
      <w:pPr>
        <w:pStyle w:val="Heading1"/>
        <w:spacing w:after="180" w:before="360"/>
      </w:pPr>
      <w:r>
        <w:rPr>
          <w:rFonts w:ascii="Calibri" w:cs="Calibri" w:eastAsia="Calibri" w:hAnsi="Calibri"/>
          <w:b/>
          <w:bCs/>
          <w:color w:val="1F3864"/>
          <w:sz w:val="30"/>
          <w:szCs w:val="30"/>
        </w:rPr>
        <w:t xml:space="preserve">9. Store &amp; Geographic Performance</w:t>
      </w:r>
    </w:p>
    <w:p>
      <w:pPr>
        <w:pStyle w:val="Heading2"/>
        <w:spacing w:after="140" w:before="280"/>
      </w:pPr>
      <w:r>
        <w:rPr>
          <w:rFonts w:ascii="Calibri" w:cs="Calibri" w:eastAsia="Calibri" w:hAnsi="Calibri"/>
          <w:b/>
          <w:bCs/>
          <w:color w:val="2E74B5"/>
          <w:sz w:val="25"/>
          <w:szCs w:val="25"/>
        </w:rPr>
        <w:t xml:space="preserve">9.1 Top Stores by Revenue</w:t>
      </w:r>
    </w:p>
    <w:p>
      <w:pPr>
        <w:spacing w:after="40" w:before="160"/>
        <w:jc w:val="center"/>
      </w:pPr>
      <w:r>
        <w:drawing>
          <wp:inline distT="0" distB="0" distL="0" distR="0">
            <wp:extent cx="47625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762500" cy="2476500"/>
                    </a:xfrm>
                    <a:prstGeom prst="rect">
                      <a:avLst/>
                    </a:prstGeom>
                  </pic:spPr>
                </pic:pic>
              </a:graphicData>
            </a:graphic>
          </wp:inline>
        </w:drawing>
      </w:r>
    </w:p>
    <w:p>
      <w:pPr>
        <w:spacing w:after="220" w:before="80"/>
        <w:jc w:val="center"/>
      </w:pPr>
      <w:r>
        <w:rPr>
          <w:rFonts w:ascii="Calibri" w:cs="Calibri" w:eastAsia="Calibri" w:hAnsi="Calibri"/>
          <w:i/>
          <w:iCs/>
          <w:color w:val="595959"/>
          <w:sz w:val="19"/>
          <w:szCs w:val="19"/>
        </w:rPr>
        <w:t xml:space="preserve">Figure 8. Top 10 Stores by Revenue</w:t>
      </w:r>
    </w:p>
    <w:p>
      <w:pPr>
        <w:spacing w:after="160" w:line="276"/>
        <w:jc w:val="both"/>
      </w:pPr>
      <w:r>
        <w:rPr>
          <w:rFonts w:ascii="Calibri" w:cs="Calibri" w:eastAsia="Calibri" w:hAnsi="Calibri"/>
          <w:sz w:val="21"/>
          <w:szCs w:val="21"/>
        </w:rPr>
        <w:t xml:space="preserve">Maven Toys Ciudad de Mexico 2 is the clear leading store, generating $554,553.43 in revenue — over $100,000 ahead of the next-closest store. Maven Toys Guadalajara 3 ($449,354.91) and Maven Toys Ciudad de Mexico 1 ($433,556.21) round out the top three.</w:t>
      </w:r>
    </w:p>
    <w:p>
      <w:pPr>
        <w:pStyle w:val="Heading2"/>
        <w:spacing w:after="140" w:before="280"/>
      </w:pPr>
      <w:r>
        <w:rPr>
          <w:rFonts w:ascii="Calibri" w:cs="Calibri" w:eastAsia="Calibri" w:hAnsi="Calibri"/>
          <w:b/>
          <w:bCs/>
          <w:color w:val="2E74B5"/>
          <w:sz w:val="25"/>
          <w:szCs w:val="25"/>
        </w:rPr>
        <w:t xml:space="preserve">9.2 Top Stores by Profit</w:t>
      </w:r>
    </w:p>
    <w:p>
      <w:pPr>
        <w:spacing w:after="40" w:before="160"/>
        <w:jc w:val="center"/>
      </w:pPr>
      <w:r>
        <w:drawing>
          <wp:inline distT="0" distB="0" distL="0" distR="0">
            <wp:extent cx="47625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762500" cy="2476500"/>
                    </a:xfrm>
                    <a:prstGeom prst="rect">
                      <a:avLst/>
                    </a:prstGeom>
                  </pic:spPr>
                </pic:pic>
              </a:graphicData>
            </a:graphic>
          </wp:inline>
        </w:drawing>
      </w:r>
    </w:p>
    <w:p>
      <w:pPr>
        <w:spacing w:after="220" w:before="80"/>
        <w:jc w:val="center"/>
      </w:pPr>
      <w:r>
        <w:rPr>
          <w:rFonts w:ascii="Calibri" w:cs="Calibri" w:eastAsia="Calibri" w:hAnsi="Calibri"/>
          <w:i/>
          <w:iCs/>
          <w:color w:val="595959"/>
          <w:sz w:val="19"/>
          <w:szCs w:val="19"/>
        </w:rPr>
        <w:t xml:space="preserve">Figure 9. Top 10 Stores by Profit</w:t>
      </w:r>
    </w:p>
    <w:p>
      <w:pPr>
        <w:spacing w:after="160" w:line="276"/>
        <w:jc w:val="both"/>
      </w:pPr>
      <w:r>
        <w:rPr>
          <w:rFonts w:ascii="Calibri" w:cs="Calibri" w:eastAsia="Calibri" w:hAnsi="Calibri"/>
          <w:sz w:val="21"/>
          <w:szCs w:val="21"/>
        </w:rPr>
        <w:t xml:space="preserve">The profit ranking closely mirrors the revenue ranking for the top stores. Maven Toys Ciudad de Mexico 2 again leads with $169,856.00 in profit, followed by Guadalajara 3 ($121,571.00) and Ciudad de Mexico 1 ($111,296.00).</w:t>
      </w:r>
    </w:p>
    <w:tbl>
      <w:tblPr>
        <w:tblW w:type="dxa" w:w="9400"/>
        <w:tblBorders>
          <w:top w:val="single" w:color="BFBFBF" w:sz="4"/>
          <w:left w:val="single" w:color="BFBFBF" w:sz="4"/>
          <w:bottom w:val="single" w:color="BFBFBF" w:sz="4"/>
          <w:right w:val="single" w:color="BFBFBF" w:sz="4"/>
          <w:insideH w:val="single" w:color="D9D9D9" w:sz="2"/>
          <w:insideV w:val="single" w:color="D9D9D9" w:sz="2"/>
        </w:tblBorders>
      </w:tblPr>
      <w:tblGrid>
        <w:gridCol w:w="900"/>
        <w:gridCol w:w="3000"/>
        <w:gridCol w:w="2000"/>
        <w:gridCol w:w="1900"/>
        <w:gridCol w:w="1600"/>
      </w:tblGrid>
      <w:tr>
        <w:trPr>
          <w:tblHeader/>
        </w:trPr>
        <w:tc>
          <w:tcPr>
            <w:tcW w:type="dxa" w:w="900"/>
            <w:shd w:fill="1F3864" w:val="clear"/>
            <w:tcMar>
              <w:top w:type="dxa" w:w="60"/>
              <w:left w:type="dxa" w:w="90"/>
              <w:bottom w:type="dxa" w:w="60"/>
              <w:right w:type="dxa" w:w="90"/>
            </w:tcMar>
            <w:vAlign w:val="center"/>
          </w:tcPr>
          <w:p>
            <w:pPr>
              <w:jc w:val="center"/>
            </w:pPr>
            <w:r>
              <w:rPr>
                <w:rFonts w:ascii="Calibri" w:cs="Calibri" w:eastAsia="Calibri" w:hAnsi="Calibri"/>
                <w:b/>
                <w:bCs/>
                <w:color w:val="FFFFFF"/>
                <w:sz w:val="18"/>
                <w:szCs w:val="18"/>
              </w:rPr>
              <w:t xml:space="preserve">Rank</w:t>
            </w:r>
          </w:p>
        </w:tc>
        <w:tc>
          <w:tcPr>
            <w:tcW w:type="dxa" w:w="3000"/>
            <w:shd w:fill="1F3864" w:val="clear"/>
            <w:tcMar>
              <w:top w:type="dxa" w:w="60"/>
              <w:left w:type="dxa" w:w="90"/>
              <w:bottom w:type="dxa" w:w="60"/>
              <w:right w:type="dxa" w:w="90"/>
            </w:tcMar>
            <w:vAlign w:val="center"/>
          </w:tcPr>
          <w:p>
            <w:pPr>
              <w:jc w:val="center"/>
            </w:pPr>
            <w:r>
              <w:rPr>
                <w:rFonts w:ascii="Calibri" w:cs="Calibri" w:eastAsia="Calibri" w:hAnsi="Calibri"/>
                <w:b/>
                <w:bCs/>
                <w:color w:val="FFFFFF"/>
                <w:sz w:val="18"/>
                <w:szCs w:val="18"/>
              </w:rPr>
              <w:t xml:space="preserve">Store</w:t>
            </w:r>
          </w:p>
        </w:tc>
        <w:tc>
          <w:tcPr>
            <w:tcW w:type="dxa" w:w="2000"/>
            <w:shd w:fill="1F3864" w:val="clear"/>
            <w:tcMar>
              <w:top w:type="dxa" w:w="60"/>
              <w:left w:type="dxa" w:w="90"/>
              <w:bottom w:type="dxa" w:w="60"/>
              <w:right w:type="dxa" w:w="90"/>
            </w:tcMar>
            <w:vAlign w:val="center"/>
          </w:tcPr>
          <w:p>
            <w:pPr>
              <w:jc w:val="center"/>
            </w:pPr>
            <w:r>
              <w:rPr>
                <w:rFonts w:ascii="Calibri" w:cs="Calibri" w:eastAsia="Calibri" w:hAnsi="Calibri"/>
                <w:b/>
                <w:bCs/>
                <w:color w:val="FFFFFF"/>
                <w:sz w:val="18"/>
                <w:szCs w:val="18"/>
              </w:rPr>
              <w:t xml:space="preserve">Revenue</w:t>
            </w:r>
          </w:p>
        </w:tc>
        <w:tc>
          <w:tcPr>
            <w:tcW w:type="dxa" w:w="1900"/>
            <w:shd w:fill="1F3864" w:val="clear"/>
            <w:tcMar>
              <w:top w:type="dxa" w:w="60"/>
              <w:left w:type="dxa" w:w="90"/>
              <w:bottom w:type="dxa" w:w="60"/>
              <w:right w:type="dxa" w:w="90"/>
            </w:tcMar>
            <w:vAlign w:val="center"/>
          </w:tcPr>
          <w:p>
            <w:pPr>
              <w:jc w:val="center"/>
            </w:pPr>
            <w:r>
              <w:rPr>
                <w:rFonts w:ascii="Calibri" w:cs="Calibri" w:eastAsia="Calibri" w:hAnsi="Calibri"/>
                <w:b/>
                <w:bCs/>
                <w:color w:val="FFFFFF"/>
                <w:sz w:val="18"/>
                <w:szCs w:val="18"/>
              </w:rPr>
              <w:t xml:space="preserve">Profit</w:t>
            </w:r>
          </w:p>
        </w:tc>
        <w:tc>
          <w:tcPr>
            <w:tcW w:type="dxa" w:w="1600"/>
            <w:shd w:fill="1F3864" w:val="clear"/>
            <w:tcMar>
              <w:top w:type="dxa" w:w="60"/>
              <w:left w:type="dxa" w:w="90"/>
              <w:bottom w:type="dxa" w:w="60"/>
              <w:right w:type="dxa" w:w="90"/>
            </w:tcMar>
            <w:vAlign w:val="center"/>
          </w:tcPr>
          <w:p>
            <w:pPr>
              <w:jc w:val="center"/>
            </w:pPr>
            <w:r>
              <w:rPr>
                <w:rFonts w:ascii="Calibri" w:cs="Calibri" w:eastAsia="Calibri" w:hAnsi="Calibri"/>
                <w:b/>
                <w:bCs/>
                <w:color w:val="FFFFFF"/>
                <w:sz w:val="18"/>
                <w:szCs w:val="18"/>
              </w:rPr>
              <w:t xml:space="preserve">Profit Margin</w:t>
            </w:r>
          </w:p>
        </w:tc>
      </w:tr>
      <w:tr>
        <w:tc>
          <w:tcPr>
            <w:tcW w:type="dxa" w:w="900"/>
            <w:tcMar>
              <w:top w:type="dxa" w:w="60"/>
              <w:left w:type="dxa" w:w="90"/>
              <w:bottom w:type="dxa" w:w="60"/>
              <w:right w:type="dxa" w:w="90"/>
            </w:tcMar>
            <w:vAlign w:val="center"/>
          </w:tcPr>
          <w:p>
            <w:pPr>
              <w:jc w:val="left"/>
            </w:pPr>
            <w:r>
              <w:rPr>
                <w:rFonts w:ascii="Calibri" w:cs="Calibri" w:eastAsia="Calibri" w:hAnsi="Calibri"/>
                <w:color w:val="000000"/>
                <w:sz w:val="18"/>
                <w:szCs w:val="18"/>
              </w:rPr>
              <w:t xml:space="preserve">1</w:t>
            </w:r>
          </w:p>
        </w:tc>
        <w:tc>
          <w:tcPr>
            <w:tcW w:type="dxa" w:w="3000"/>
            <w:tcMar>
              <w:top w:type="dxa" w:w="60"/>
              <w:left w:type="dxa" w:w="90"/>
              <w:bottom w:type="dxa" w:w="60"/>
              <w:right w:type="dxa" w:w="90"/>
            </w:tcMar>
            <w:vAlign w:val="center"/>
          </w:tcPr>
          <w:p>
            <w:pPr>
              <w:jc w:val="center"/>
            </w:pPr>
            <w:r>
              <w:rPr>
                <w:rFonts w:ascii="Calibri" w:cs="Calibri" w:eastAsia="Calibri" w:hAnsi="Calibri"/>
                <w:color w:val="000000"/>
                <w:sz w:val="18"/>
                <w:szCs w:val="18"/>
              </w:rPr>
              <w:t xml:space="preserve">Maven Toys Ciudad de Mexico 2</w:t>
            </w:r>
          </w:p>
        </w:tc>
        <w:tc>
          <w:tcPr>
            <w:tcW w:type="dxa" w:w="2000"/>
            <w:tcMar>
              <w:top w:type="dxa" w:w="60"/>
              <w:left w:type="dxa" w:w="90"/>
              <w:bottom w:type="dxa" w:w="60"/>
              <w:right w:type="dxa" w:w="90"/>
            </w:tcMar>
            <w:vAlign w:val="center"/>
          </w:tcPr>
          <w:p>
            <w:pPr>
              <w:jc w:val="center"/>
            </w:pPr>
            <w:r>
              <w:rPr>
                <w:rFonts w:ascii="Calibri" w:cs="Calibri" w:eastAsia="Calibri" w:hAnsi="Calibri"/>
                <w:color w:val="000000"/>
                <w:sz w:val="18"/>
                <w:szCs w:val="18"/>
              </w:rPr>
              <w:t xml:space="preserve">$554,553.43</w:t>
            </w:r>
          </w:p>
        </w:tc>
        <w:tc>
          <w:tcPr>
            <w:tcW w:type="dxa" w:w="1900"/>
            <w:tcMar>
              <w:top w:type="dxa" w:w="60"/>
              <w:left w:type="dxa" w:w="90"/>
              <w:bottom w:type="dxa" w:w="60"/>
              <w:right w:type="dxa" w:w="90"/>
            </w:tcMar>
            <w:vAlign w:val="center"/>
          </w:tcPr>
          <w:p>
            <w:pPr>
              <w:jc w:val="center"/>
            </w:pPr>
            <w:r>
              <w:rPr>
                <w:rFonts w:ascii="Calibri" w:cs="Calibri" w:eastAsia="Calibri" w:hAnsi="Calibri"/>
                <w:color w:val="000000"/>
                <w:sz w:val="18"/>
                <w:szCs w:val="18"/>
              </w:rPr>
              <w:t xml:space="preserve">$169,856.00</w:t>
            </w:r>
          </w:p>
        </w:tc>
        <w:tc>
          <w:tcPr>
            <w:tcW w:type="dxa" w:w="1600"/>
            <w:tcMar>
              <w:top w:type="dxa" w:w="60"/>
              <w:left w:type="dxa" w:w="90"/>
              <w:bottom w:type="dxa" w:w="60"/>
              <w:right w:type="dxa" w:w="90"/>
            </w:tcMar>
            <w:vAlign w:val="center"/>
          </w:tcPr>
          <w:p>
            <w:pPr>
              <w:jc w:val="center"/>
            </w:pPr>
            <w:r>
              <w:rPr>
                <w:rFonts w:ascii="Calibri" w:cs="Calibri" w:eastAsia="Calibri" w:hAnsi="Calibri"/>
                <w:color w:val="000000"/>
                <w:sz w:val="18"/>
                <w:szCs w:val="18"/>
              </w:rPr>
              <w:t xml:space="preserve">30.63%</w:t>
            </w:r>
          </w:p>
        </w:tc>
      </w:tr>
      <w:tr>
        <w:tc>
          <w:tcPr>
            <w:tcW w:type="dxa" w:w="900"/>
            <w:shd w:fill="F2F2F2" w:val="clear"/>
            <w:tcMar>
              <w:top w:type="dxa" w:w="60"/>
              <w:left w:type="dxa" w:w="90"/>
              <w:bottom w:type="dxa" w:w="60"/>
              <w:right w:type="dxa" w:w="90"/>
            </w:tcMar>
            <w:vAlign w:val="center"/>
          </w:tcPr>
          <w:p>
            <w:pPr>
              <w:jc w:val="left"/>
            </w:pPr>
            <w:r>
              <w:rPr>
                <w:rFonts w:ascii="Calibri" w:cs="Calibri" w:eastAsia="Calibri" w:hAnsi="Calibri"/>
                <w:color w:val="000000"/>
                <w:sz w:val="18"/>
                <w:szCs w:val="18"/>
              </w:rPr>
              <w:t xml:space="preserve">2</w:t>
            </w:r>
          </w:p>
        </w:tc>
        <w:tc>
          <w:tcPr>
            <w:tcW w:type="dxa" w:w="3000"/>
            <w:shd w:fill="F2F2F2" w:val="clear"/>
            <w:tcMar>
              <w:top w:type="dxa" w:w="60"/>
              <w:left w:type="dxa" w:w="90"/>
              <w:bottom w:type="dxa" w:w="60"/>
              <w:right w:type="dxa" w:w="90"/>
            </w:tcMar>
            <w:vAlign w:val="center"/>
          </w:tcPr>
          <w:p>
            <w:pPr>
              <w:jc w:val="center"/>
            </w:pPr>
            <w:r>
              <w:rPr>
                <w:rFonts w:ascii="Calibri" w:cs="Calibri" w:eastAsia="Calibri" w:hAnsi="Calibri"/>
                <w:color w:val="000000"/>
                <w:sz w:val="18"/>
                <w:szCs w:val="18"/>
              </w:rPr>
              <w:t xml:space="preserve">Maven Toys Guadalajara 3</w:t>
            </w:r>
          </w:p>
        </w:tc>
        <w:tc>
          <w:tcPr>
            <w:tcW w:type="dxa" w:w="2000"/>
            <w:shd w:fill="F2F2F2" w:val="clear"/>
            <w:tcMar>
              <w:top w:type="dxa" w:w="60"/>
              <w:left w:type="dxa" w:w="90"/>
              <w:bottom w:type="dxa" w:w="60"/>
              <w:right w:type="dxa" w:w="90"/>
            </w:tcMar>
            <w:vAlign w:val="center"/>
          </w:tcPr>
          <w:p>
            <w:pPr>
              <w:jc w:val="center"/>
            </w:pPr>
            <w:r>
              <w:rPr>
                <w:rFonts w:ascii="Calibri" w:cs="Calibri" w:eastAsia="Calibri" w:hAnsi="Calibri"/>
                <w:color w:val="000000"/>
                <w:sz w:val="18"/>
                <w:szCs w:val="18"/>
              </w:rPr>
              <w:t xml:space="preserve">$449,354.91</w:t>
            </w:r>
          </w:p>
        </w:tc>
        <w:tc>
          <w:tcPr>
            <w:tcW w:type="dxa" w:w="1900"/>
            <w:shd w:fill="F2F2F2" w:val="clear"/>
            <w:tcMar>
              <w:top w:type="dxa" w:w="60"/>
              <w:left w:type="dxa" w:w="90"/>
              <w:bottom w:type="dxa" w:w="60"/>
              <w:right w:type="dxa" w:w="90"/>
            </w:tcMar>
            <w:vAlign w:val="center"/>
          </w:tcPr>
          <w:p>
            <w:pPr>
              <w:jc w:val="center"/>
            </w:pPr>
            <w:r>
              <w:rPr>
                <w:rFonts w:ascii="Calibri" w:cs="Calibri" w:eastAsia="Calibri" w:hAnsi="Calibri"/>
                <w:color w:val="000000"/>
                <w:sz w:val="18"/>
                <w:szCs w:val="18"/>
              </w:rPr>
              <w:t xml:space="preserve">$121,571.00</w:t>
            </w:r>
          </w:p>
        </w:tc>
        <w:tc>
          <w:tcPr>
            <w:tcW w:type="dxa" w:w="1600"/>
            <w:shd w:fill="F2F2F2" w:val="clear"/>
            <w:tcMar>
              <w:top w:type="dxa" w:w="60"/>
              <w:left w:type="dxa" w:w="90"/>
              <w:bottom w:type="dxa" w:w="60"/>
              <w:right w:type="dxa" w:w="90"/>
            </w:tcMar>
            <w:vAlign w:val="center"/>
          </w:tcPr>
          <w:p>
            <w:pPr>
              <w:jc w:val="center"/>
            </w:pPr>
            <w:r>
              <w:rPr>
                <w:rFonts w:ascii="Calibri" w:cs="Calibri" w:eastAsia="Calibri" w:hAnsi="Calibri"/>
                <w:color w:val="000000"/>
                <w:sz w:val="18"/>
                <w:szCs w:val="18"/>
              </w:rPr>
              <w:t xml:space="preserve">27.05%</w:t>
            </w:r>
          </w:p>
        </w:tc>
      </w:tr>
      <w:tr>
        <w:tc>
          <w:tcPr>
            <w:tcW w:type="dxa" w:w="900"/>
            <w:tcMar>
              <w:top w:type="dxa" w:w="60"/>
              <w:left w:type="dxa" w:w="90"/>
              <w:bottom w:type="dxa" w:w="60"/>
              <w:right w:type="dxa" w:w="90"/>
            </w:tcMar>
            <w:vAlign w:val="center"/>
          </w:tcPr>
          <w:p>
            <w:pPr>
              <w:jc w:val="left"/>
            </w:pPr>
            <w:r>
              <w:rPr>
                <w:rFonts w:ascii="Calibri" w:cs="Calibri" w:eastAsia="Calibri" w:hAnsi="Calibri"/>
                <w:color w:val="000000"/>
                <w:sz w:val="18"/>
                <w:szCs w:val="18"/>
              </w:rPr>
              <w:t xml:space="preserve">3</w:t>
            </w:r>
          </w:p>
        </w:tc>
        <w:tc>
          <w:tcPr>
            <w:tcW w:type="dxa" w:w="3000"/>
            <w:tcMar>
              <w:top w:type="dxa" w:w="60"/>
              <w:left w:type="dxa" w:w="90"/>
              <w:bottom w:type="dxa" w:w="60"/>
              <w:right w:type="dxa" w:w="90"/>
            </w:tcMar>
            <w:vAlign w:val="center"/>
          </w:tcPr>
          <w:p>
            <w:pPr>
              <w:jc w:val="center"/>
            </w:pPr>
            <w:r>
              <w:rPr>
                <w:rFonts w:ascii="Calibri" w:cs="Calibri" w:eastAsia="Calibri" w:hAnsi="Calibri"/>
                <w:color w:val="000000"/>
                <w:sz w:val="18"/>
                <w:szCs w:val="18"/>
              </w:rPr>
              <w:t xml:space="preserve">Maven Toys Ciudad de Mexico 1</w:t>
            </w:r>
          </w:p>
        </w:tc>
        <w:tc>
          <w:tcPr>
            <w:tcW w:type="dxa" w:w="2000"/>
            <w:tcMar>
              <w:top w:type="dxa" w:w="60"/>
              <w:left w:type="dxa" w:w="90"/>
              <w:bottom w:type="dxa" w:w="60"/>
              <w:right w:type="dxa" w:w="90"/>
            </w:tcMar>
            <w:vAlign w:val="center"/>
          </w:tcPr>
          <w:p>
            <w:pPr>
              <w:jc w:val="center"/>
            </w:pPr>
            <w:r>
              <w:rPr>
                <w:rFonts w:ascii="Calibri" w:cs="Calibri" w:eastAsia="Calibri" w:hAnsi="Calibri"/>
                <w:color w:val="000000"/>
                <w:sz w:val="18"/>
                <w:szCs w:val="18"/>
              </w:rPr>
              <w:t xml:space="preserve">$433,556.21</w:t>
            </w:r>
          </w:p>
        </w:tc>
        <w:tc>
          <w:tcPr>
            <w:tcW w:type="dxa" w:w="1900"/>
            <w:tcMar>
              <w:top w:type="dxa" w:w="60"/>
              <w:left w:type="dxa" w:w="90"/>
              <w:bottom w:type="dxa" w:w="60"/>
              <w:right w:type="dxa" w:w="90"/>
            </w:tcMar>
            <w:vAlign w:val="center"/>
          </w:tcPr>
          <w:p>
            <w:pPr>
              <w:jc w:val="center"/>
            </w:pPr>
            <w:r>
              <w:rPr>
                <w:rFonts w:ascii="Calibri" w:cs="Calibri" w:eastAsia="Calibri" w:hAnsi="Calibri"/>
                <w:color w:val="000000"/>
                <w:sz w:val="18"/>
                <w:szCs w:val="18"/>
              </w:rPr>
              <w:t xml:space="preserve">$111,296.00</w:t>
            </w:r>
          </w:p>
        </w:tc>
        <w:tc>
          <w:tcPr>
            <w:tcW w:type="dxa" w:w="1600"/>
            <w:tcMar>
              <w:top w:type="dxa" w:w="60"/>
              <w:left w:type="dxa" w:w="90"/>
              <w:bottom w:type="dxa" w:w="60"/>
              <w:right w:type="dxa" w:w="90"/>
            </w:tcMar>
            <w:vAlign w:val="center"/>
          </w:tcPr>
          <w:p>
            <w:pPr>
              <w:jc w:val="center"/>
            </w:pPr>
            <w:r>
              <w:rPr>
                <w:rFonts w:ascii="Calibri" w:cs="Calibri" w:eastAsia="Calibri" w:hAnsi="Calibri"/>
                <w:color w:val="000000"/>
                <w:sz w:val="18"/>
                <w:szCs w:val="18"/>
              </w:rPr>
              <w:t xml:space="preserve">25.67%</w:t>
            </w:r>
          </w:p>
        </w:tc>
      </w:tr>
      <w:tr>
        <w:tc>
          <w:tcPr>
            <w:tcW w:type="dxa" w:w="900"/>
            <w:shd w:fill="F2F2F2" w:val="clear"/>
            <w:tcMar>
              <w:top w:type="dxa" w:w="60"/>
              <w:left w:type="dxa" w:w="90"/>
              <w:bottom w:type="dxa" w:w="60"/>
              <w:right w:type="dxa" w:w="90"/>
            </w:tcMar>
            <w:vAlign w:val="center"/>
          </w:tcPr>
          <w:p>
            <w:pPr>
              <w:jc w:val="left"/>
            </w:pPr>
            <w:r>
              <w:rPr>
                <w:rFonts w:ascii="Calibri" w:cs="Calibri" w:eastAsia="Calibri" w:hAnsi="Calibri"/>
                <w:color w:val="000000"/>
                <w:sz w:val="18"/>
                <w:szCs w:val="18"/>
              </w:rPr>
              <w:t xml:space="preserve">4</w:t>
            </w:r>
          </w:p>
        </w:tc>
        <w:tc>
          <w:tcPr>
            <w:tcW w:type="dxa" w:w="3000"/>
            <w:shd w:fill="F2F2F2" w:val="clear"/>
            <w:tcMar>
              <w:top w:type="dxa" w:w="60"/>
              <w:left w:type="dxa" w:w="90"/>
              <w:bottom w:type="dxa" w:w="60"/>
              <w:right w:type="dxa" w:w="90"/>
            </w:tcMar>
            <w:vAlign w:val="center"/>
          </w:tcPr>
          <w:p>
            <w:pPr>
              <w:jc w:val="center"/>
            </w:pPr>
            <w:r>
              <w:rPr>
                <w:rFonts w:ascii="Calibri" w:cs="Calibri" w:eastAsia="Calibri" w:hAnsi="Calibri"/>
                <w:color w:val="000000"/>
                <w:sz w:val="18"/>
                <w:szCs w:val="18"/>
              </w:rPr>
              <w:t xml:space="preserve">Maven Toys Monterrey 2</w:t>
            </w:r>
          </w:p>
        </w:tc>
        <w:tc>
          <w:tcPr>
            <w:tcW w:type="dxa" w:w="2000"/>
            <w:shd w:fill="F2F2F2" w:val="clear"/>
            <w:tcMar>
              <w:top w:type="dxa" w:w="60"/>
              <w:left w:type="dxa" w:w="90"/>
              <w:bottom w:type="dxa" w:w="60"/>
              <w:right w:type="dxa" w:w="90"/>
            </w:tcMar>
            <w:vAlign w:val="center"/>
          </w:tcPr>
          <w:p>
            <w:pPr>
              <w:jc w:val="center"/>
            </w:pPr>
            <w:r>
              <w:rPr>
                <w:rFonts w:ascii="Calibri" w:cs="Calibri" w:eastAsia="Calibri" w:hAnsi="Calibri"/>
                <w:color w:val="000000"/>
                <w:sz w:val="18"/>
                <w:szCs w:val="18"/>
              </w:rPr>
              <w:t xml:space="preserve">$372,998.82</w:t>
            </w:r>
          </w:p>
        </w:tc>
        <w:tc>
          <w:tcPr>
            <w:tcW w:type="dxa" w:w="1900"/>
            <w:shd w:fill="F2F2F2" w:val="clear"/>
            <w:tcMar>
              <w:top w:type="dxa" w:w="60"/>
              <w:left w:type="dxa" w:w="90"/>
              <w:bottom w:type="dxa" w:w="60"/>
              <w:right w:type="dxa" w:w="90"/>
            </w:tcMar>
            <w:vAlign w:val="center"/>
          </w:tcPr>
          <w:p>
            <w:pPr>
              <w:jc w:val="center"/>
            </w:pPr>
            <w:r>
              <w:rPr>
                <w:rFonts w:ascii="Calibri" w:cs="Calibri" w:eastAsia="Calibri" w:hAnsi="Calibri"/>
                <w:color w:val="000000"/>
                <w:sz w:val="18"/>
                <w:szCs w:val="18"/>
              </w:rPr>
              <w:t xml:space="preserve">$106,783.00</w:t>
            </w:r>
          </w:p>
        </w:tc>
        <w:tc>
          <w:tcPr>
            <w:tcW w:type="dxa" w:w="1600"/>
            <w:shd w:fill="F2F2F2" w:val="clear"/>
            <w:tcMar>
              <w:top w:type="dxa" w:w="60"/>
              <w:left w:type="dxa" w:w="90"/>
              <w:bottom w:type="dxa" w:w="60"/>
              <w:right w:type="dxa" w:w="90"/>
            </w:tcMar>
            <w:vAlign w:val="center"/>
          </w:tcPr>
          <w:p>
            <w:pPr>
              <w:jc w:val="center"/>
            </w:pPr>
            <w:r>
              <w:rPr>
                <w:rFonts w:ascii="Calibri" w:cs="Calibri" w:eastAsia="Calibri" w:hAnsi="Calibri"/>
                <w:color w:val="000000"/>
                <w:sz w:val="18"/>
                <w:szCs w:val="18"/>
              </w:rPr>
              <w:t xml:space="preserve">28.63%</w:t>
            </w:r>
          </w:p>
        </w:tc>
      </w:tr>
      <w:tr>
        <w:tc>
          <w:tcPr>
            <w:tcW w:type="dxa" w:w="900"/>
            <w:tcMar>
              <w:top w:type="dxa" w:w="60"/>
              <w:left w:type="dxa" w:w="90"/>
              <w:bottom w:type="dxa" w:w="60"/>
              <w:right w:type="dxa" w:w="90"/>
            </w:tcMar>
            <w:vAlign w:val="center"/>
          </w:tcPr>
          <w:p>
            <w:pPr>
              <w:jc w:val="left"/>
            </w:pPr>
            <w:r>
              <w:rPr>
                <w:rFonts w:ascii="Calibri" w:cs="Calibri" w:eastAsia="Calibri" w:hAnsi="Calibri"/>
                <w:color w:val="000000"/>
                <w:sz w:val="18"/>
                <w:szCs w:val="18"/>
              </w:rPr>
              <w:t xml:space="preserve">5</w:t>
            </w:r>
          </w:p>
        </w:tc>
        <w:tc>
          <w:tcPr>
            <w:tcW w:type="dxa" w:w="3000"/>
            <w:tcMar>
              <w:top w:type="dxa" w:w="60"/>
              <w:left w:type="dxa" w:w="90"/>
              <w:bottom w:type="dxa" w:w="60"/>
              <w:right w:type="dxa" w:w="90"/>
            </w:tcMar>
            <w:vAlign w:val="center"/>
          </w:tcPr>
          <w:p>
            <w:pPr>
              <w:jc w:val="center"/>
            </w:pPr>
            <w:r>
              <w:rPr>
                <w:rFonts w:ascii="Calibri" w:cs="Calibri" w:eastAsia="Calibri" w:hAnsi="Calibri"/>
                <w:color w:val="000000"/>
                <w:sz w:val="18"/>
                <w:szCs w:val="18"/>
              </w:rPr>
              <w:t xml:space="preserve">Maven Toys Toluca 1</w:t>
            </w:r>
          </w:p>
        </w:tc>
        <w:tc>
          <w:tcPr>
            <w:tcW w:type="dxa" w:w="2000"/>
            <w:tcMar>
              <w:top w:type="dxa" w:w="60"/>
              <w:left w:type="dxa" w:w="90"/>
              <w:bottom w:type="dxa" w:w="60"/>
              <w:right w:type="dxa" w:w="90"/>
            </w:tcMar>
            <w:vAlign w:val="center"/>
          </w:tcPr>
          <w:p>
            <w:pPr>
              <w:jc w:val="center"/>
            </w:pPr>
            <w:r>
              <w:rPr>
                <w:rFonts w:ascii="Calibri" w:cs="Calibri" w:eastAsia="Calibri" w:hAnsi="Calibri"/>
                <w:color w:val="000000"/>
                <w:sz w:val="18"/>
                <w:szCs w:val="18"/>
              </w:rPr>
              <w:t xml:space="preserve">$411,157.32</w:t>
            </w:r>
          </w:p>
        </w:tc>
        <w:tc>
          <w:tcPr>
            <w:tcW w:type="dxa" w:w="1900"/>
            <w:tcMar>
              <w:top w:type="dxa" w:w="60"/>
              <w:left w:type="dxa" w:w="90"/>
              <w:bottom w:type="dxa" w:w="60"/>
              <w:right w:type="dxa" w:w="90"/>
            </w:tcMar>
            <w:vAlign w:val="center"/>
          </w:tcPr>
          <w:p>
            <w:pPr>
              <w:jc w:val="center"/>
            </w:pPr>
            <w:r>
              <w:rPr>
                <w:rFonts w:ascii="Calibri" w:cs="Calibri" w:eastAsia="Calibri" w:hAnsi="Calibri"/>
                <w:color w:val="000000"/>
                <w:sz w:val="18"/>
                <w:szCs w:val="18"/>
              </w:rPr>
              <w:t xml:space="preserve">$104,612.00</w:t>
            </w:r>
          </w:p>
        </w:tc>
        <w:tc>
          <w:tcPr>
            <w:tcW w:type="dxa" w:w="1600"/>
            <w:tcMar>
              <w:top w:type="dxa" w:w="60"/>
              <w:left w:type="dxa" w:w="90"/>
              <w:bottom w:type="dxa" w:w="60"/>
              <w:right w:type="dxa" w:w="90"/>
            </w:tcMar>
            <w:vAlign w:val="center"/>
          </w:tcPr>
          <w:p>
            <w:pPr>
              <w:jc w:val="center"/>
            </w:pPr>
            <w:r>
              <w:rPr>
                <w:rFonts w:ascii="Calibri" w:cs="Calibri" w:eastAsia="Calibri" w:hAnsi="Calibri"/>
                <w:color w:val="000000"/>
                <w:sz w:val="18"/>
                <w:szCs w:val="18"/>
              </w:rPr>
              <w:t xml:space="preserve">25.44%</w:t>
            </w:r>
          </w:p>
        </w:tc>
      </w:tr>
    </w:tbl>
    <w:p>
      <w:pPr>
        <w:spacing w:after="220" w:before="80"/>
        <w:jc w:val="center"/>
      </w:pPr>
      <w:r>
        <w:rPr>
          <w:rFonts w:ascii="Calibri" w:cs="Calibri" w:eastAsia="Calibri" w:hAnsi="Calibri"/>
          <w:i/>
          <w:iCs/>
          <w:color w:val="595959"/>
          <w:sz w:val="19"/>
          <w:szCs w:val="19"/>
        </w:rPr>
        <w:t xml:space="preserve">Table 4. Top 5 Stores by Profit</w:t>
      </w:r>
    </w:p>
    <w:p>
      <w:pPr>
        <w:pStyle w:val="Heading2"/>
        <w:spacing w:after="140" w:before="280"/>
      </w:pPr>
      <w:r>
        <w:rPr>
          <w:rFonts w:ascii="Calibri" w:cs="Calibri" w:eastAsia="Calibri" w:hAnsi="Calibri"/>
          <w:b/>
          <w:bCs/>
          <w:color w:val="2E74B5"/>
          <w:sz w:val="25"/>
          <w:szCs w:val="25"/>
        </w:rPr>
        <w:t xml:space="preserve">9.3 Geographic / City-Level Performance</w:t>
      </w:r>
    </w:p>
    <w:p>
      <w:pPr>
        <w:spacing w:after="160" w:line="276"/>
        <w:jc w:val="both"/>
      </w:pPr>
      <w:r>
        <w:rPr>
          <w:rFonts w:ascii="Calibri" w:cs="Calibri" w:eastAsia="Calibri" w:hAnsi="Calibri"/>
          <w:sz w:val="21"/>
          <w:szCs w:val="21"/>
        </w:rPr>
        <w:t xml:space="preserve">Aggregating sales up to the 29 cities in which Maven Toys operates, Ciudad de Mexico is the top-performing city overall, with $1,649,492.01 in revenue and $465,558.00 in profit across its stores, followed by Guadalajara ($1,322,099.46 revenue, $368,930.00 profit) and Monterrey ($1,261,845.70 revenue, $346,729.00 profit). These three cities together account for a substantial share of total company revenue, consistent with them being the locations with the most Maven Toys stores in the dataset.</w:t>
      </w:r>
    </w:p>
    <w:p>
      <w:pPr>
        <w:pStyle w:val="Heading2"/>
        <w:spacing w:after="140" w:before="280"/>
      </w:pPr>
      <w:r>
        <w:rPr>
          <w:rFonts w:ascii="Calibri" w:cs="Calibri" w:eastAsia="Calibri" w:hAnsi="Calibri"/>
          <w:b/>
          <w:bCs/>
          <w:color w:val="2E74B5"/>
          <w:sz w:val="25"/>
          <w:szCs w:val="25"/>
        </w:rPr>
        <w:t xml:space="preserve">9.4 Weaker-Performing Stores</w:t>
      </w:r>
    </w:p>
    <w:p>
      <w:pPr>
        <w:spacing w:after="160" w:line="276"/>
        <w:jc w:val="both"/>
      </w:pPr>
      <w:r>
        <w:rPr>
          <w:rFonts w:ascii="Calibri" w:cs="Calibri" w:eastAsia="Calibri" w:hAnsi="Calibri"/>
          <w:sz w:val="21"/>
          <w:szCs w:val="21"/>
        </w:rPr>
        <w:t xml:space="preserve">At the other end of the scale, Maven Toys Campeche 2 ($206,055.23 revenue, $58,091.00 profit), Maven Toys La Paz 1 ($210,897.83 revenue, $57,407.00 profit) and Maven Toys Cuernavaca 1 ($221,587.26 revenue, $56,811.00 profit) recorded the lowest revenue among the 50 stores; Cuernavaca 1 also recorded the lowest profit of any store. On average, a Maven Toys store generates approximately $288,891 in revenue, so these locations sit meaningfully below the network average, though none of them show a profit margin outside the broad 25%–29% band seen across most of the store network — their weakness is one of scale (lower footfall or smaller catchment) rather than an unusually poor margin.</w:t>
      </w:r>
    </w:p>
    <w:p>
      <w:r>
        <w:br w:type="page"/>
      </w:r>
    </w:p>
    <w:p>
      <w:pPr>
        <w:pStyle w:val="Heading1"/>
        <w:spacing w:after="180" w:before="360"/>
      </w:pPr>
      <w:r>
        <w:rPr>
          <w:rFonts w:ascii="Calibri" w:cs="Calibri" w:eastAsia="Calibri" w:hAnsi="Calibri"/>
          <w:b/>
          <w:bCs/>
          <w:color w:val="1F3864"/>
          <w:sz w:val="30"/>
          <w:szCs w:val="30"/>
        </w:rPr>
        <w:t xml:space="preserve">10. Inventory Analysis</w:t>
      </w:r>
    </w:p>
    <w:p>
      <w:pPr>
        <w:spacing w:after="160" w:line="276"/>
        <w:jc w:val="both"/>
      </w:pPr>
      <w:r>
        <w:rPr>
          <w:rFonts w:ascii="Calibri" w:cs="Calibri" w:eastAsia="Calibri" w:hAnsi="Calibri"/>
          <w:sz w:val="21"/>
          <w:szCs w:val="21"/>
        </w:rPr>
        <w:t xml:space="preserve">Inventory was analyzed at the store-product level using stock_on_hand (units currently in stock at that store) against units_sold and a calculated sales_velocity ratio (units sold ÷ stock on hand), across all 1,593 store-product inventory records.</w:t>
      </w:r>
    </w:p>
    <w:p>
      <w:pPr>
        <w:pStyle w:val="Heading2"/>
        <w:spacing w:after="140" w:before="280"/>
      </w:pPr>
      <w:r>
        <w:rPr>
          <w:rFonts w:ascii="Calibri" w:cs="Calibri" w:eastAsia="Calibri" w:hAnsi="Calibri"/>
          <w:b/>
          <w:bCs/>
          <w:color w:val="2E74B5"/>
          <w:sz w:val="25"/>
          <w:szCs w:val="25"/>
        </w:rPr>
        <w:t xml:space="preserve">10.1 Inventory Risk Overview</w:t>
      </w:r>
    </w:p>
    <w:p>
      <w:pPr>
        <w:spacing w:after="40" w:before="160"/>
        <w:jc w:val="center"/>
      </w:pPr>
      <w:r>
        <w:drawing>
          <wp:inline distT="0" distB="0" distL="0" distR="0">
            <wp:extent cx="47625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762500" cy="2476500"/>
                    </a:xfrm>
                    <a:prstGeom prst="rect">
                      <a:avLst/>
                    </a:prstGeom>
                  </pic:spPr>
                </pic:pic>
              </a:graphicData>
            </a:graphic>
          </wp:inline>
        </w:drawing>
      </w:r>
    </w:p>
    <w:p>
      <w:pPr>
        <w:spacing w:after="220" w:before="80"/>
        <w:jc w:val="center"/>
      </w:pPr>
      <w:r>
        <w:rPr>
          <w:rFonts w:ascii="Calibri" w:cs="Calibri" w:eastAsia="Calibri" w:hAnsi="Calibri"/>
          <w:i/>
          <w:iCs/>
          <w:color w:val="595959"/>
          <w:sz w:val="19"/>
          <w:szCs w:val="19"/>
        </w:rPr>
        <w:t xml:space="preserve">Figure 10. Inventory Risk — Top Inventory Levels by Product</w:t>
      </w:r>
    </w:p>
    <w:p>
      <w:pPr>
        <w:spacing w:after="160" w:line="276"/>
        <w:jc w:val="both"/>
      </w:pPr>
      <w:r>
        <w:rPr>
          <w:rFonts w:ascii="Calibri" w:cs="Calibri" w:eastAsia="Calibri" w:hAnsi="Calibri"/>
          <w:sz w:val="21"/>
          <w:szCs w:val="21"/>
        </w:rPr>
        <w:t xml:space="preserve">This chart shows the highest aggregate stock-on-hand levels by product (summed across stores). Deck Of Cards (2,738 units), Dinosaur Figures (2,272) and PlayDoh Can (2,129) carry the largest total inventory holdings of any products in the dataset.</w:t>
      </w:r>
    </w:p>
    <w:p>
      <w:pPr>
        <w:spacing w:after="160" w:line="276"/>
        <w:jc w:val="both"/>
      </w:pPr>
      <w:r>
        <w:rPr>
          <w:rFonts w:ascii="Calibri" w:cs="Calibri" w:eastAsia="Calibri" w:hAnsi="Calibri"/>
          <w:sz w:val="21"/>
          <w:szCs w:val="21"/>
        </w:rPr>
        <w:t xml:space="preserve">Of the 1,593 store-product inventory records, 226 (about 14.2%) are explicitly flagged in the data as low_inventory_flag = True, indicating stock on hand that is relatively low set against that product's sales history.</w:t>
      </w:r>
    </w:p>
    <w:p>
      <w:pPr>
        <w:pStyle w:val="Heading2"/>
        <w:spacing w:after="140" w:before="280"/>
      </w:pPr>
      <w:r>
        <w:rPr>
          <w:rFonts w:ascii="Calibri" w:cs="Calibri" w:eastAsia="Calibri" w:hAnsi="Calibri"/>
          <w:b/>
          <w:bCs/>
          <w:color w:val="2E74B5"/>
          <w:sz w:val="25"/>
          <w:szCs w:val="25"/>
        </w:rPr>
        <w:t xml:space="preserve">10.2 Fast-Moving Products with Relatively Low Inventory</w:t>
      </w:r>
    </w:p>
    <w:p>
      <w:pPr>
        <w:spacing w:after="160" w:line="276"/>
        <w:jc w:val="both"/>
      </w:pPr>
      <w:r>
        <w:rPr>
          <w:rFonts w:ascii="Calibri" w:cs="Calibri" w:eastAsia="Calibri" w:hAnsi="Calibri"/>
          <w:sz w:val="21"/>
          <w:szCs w:val="21"/>
        </w:rPr>
        <w:t xml:space="preserve">The available analysis shows several store-product combinations with very high sales velocity alongside very low stock on hand. The single highest sales-velocity record in the dataset is Action Figure at one store, with only 1 unit on hand against 57,958 total units historically sold for that product (velocity of 57,958). Colorbuds shows the same pattern at two separate stores (2 and 3 units on hand respectively), as does Dart Gun (1 unit on hand), and Barrel O' Slime, Magic Sand and Lego Bricks each appear multiple times with only 2–3 units on hand relative to tens of thousands of units sold historically. These products require inventory attention, since a very small stock buffer against consistently high historical demand raises the risk of running out of stock.</w:t>
      </w:r>
    </w:p>
    <w:p>
      <w:pPr>
        <w:pStyle w:val="Heading2"/>
        <w:spacing w:after="140" w:before="280"/>
      </w:pPr>
      <w:r>
        <w:rPr>
          <w:rFonts w:ascii="Calibri" w:cs="Calibri" w:eastAsia="Calibri" w:hAnsi="Calibri"/>
          <w:b/>
          <w:bCs/>
          <w:color w:val="2E74B5"/>
          <w:sz w:val="25"/>
          <w:szCs w:val="25"/>
        </w:rPr>
        <w:t xml:space="preserve">10.3 Products That May Require Inventory Attention</w:t>
      </w:r>
    </w:p>
    <w:p>
      <w:pPr>
        <w:spacing w:after="160" w:line="276"/>
        <w:jc w:val="both"/>
      </w:pPr>
      <w:r>
        <w:rPr>
          <w:rFonts w:ascii="Calibri" w:cs="Calibri" w:eastAsia="Calibri" w:hAnsi="Calibri"/>
          <w:sz w:val="21"/>
          <w:szCs w:val="21"/>
        </w:rPr>
        <w:t xml:space="preserve">A small number of inventory records show stock_on_hand of exactly 0 alongside substantial historical unit sales — for example, individual store records for Barrel O' Slime, Splash Balls, and Action Figure with 0 units on hand and thousands of units sold historically at that location. Because sales velocity cannot be computed when stock on hand is zero, these records are not captured by a simple velocity ranking, but they represent the inventory positions with the highest apparent risk in the dataset and are flagged accordingly (low_inventory_flag = True).</w:t>
      </w:r>
    </w:p>
    <w:p>
      <w:pPr>
        <w:pStyle w:val="Heading2"/>
        <w:spacing w:after="140" w:before="280"/>
      </w:pPr>
      <w:r>
        <w:rPr>
          <w:rFonts w:ascii="Calibri" w:cs="Calibri" w:eastAsia="Calibri" w:hAnsi="Calibri"/>
          <w:b/>
          <w:bCs/>
          <w:color w:val="2E74B5"/>
          <w:sz w:val="25"/>
          <w:szCs w:val="25"/>
        </w:rPr>
        <w:t xml:space="preserve">10.4 Relatively High Inventory Against Weaker Sales</w:t>
      </w:r>
    </w:p>
    <w:p>
      <w:pPr>
        <w:spacing w:after="160" w:line="276"/>
        <w:jc w:val="both"/>
      </w:pPr>
      <w:r>
        <w:rPr>
          <w:rFonts w:ascii="Calibri" w:cs="Calibri" w:eastAsia="Calibri" w:hAnsi="Calibri"/>
          <w:sz w:val="21"/>
          <w:szCs w:val="21"/>
        </w:rPr>
        <w:t xml:space="preserve">At the other extreme, some store-product records show comparatively high stock on hand against modest historical unit sales, producing a low sales-velocity ratio — for instance, individual records for Uno Card Game, Mini Basketball Hoop, Playfoam, and Plush Pony, each showing stock levels of roughly 15–48 units against sales-velocity figures well under 200. These are consistent with the same products' relatively low total revenue and unit sales identified in Section 7.5, suggesting inventory at these locations is comparatively well-supplied, or even overstocked, relative to actual demand.</w:t>
      </w:r>
    </w:p>
    <w:p>
      <w:r>
        <w:br w:type="page"/>
      </w:r>
    </w:p>
    <w:p>
      <w:pPr>
        <w:pStyle w:val="Heading1"/>
        <w:spacing w:after="180" w:before="360"/>
      </w:pPr>
      <w:r>
        <w:rPr>
          <w:rFonts w:ascii="Calibri" w:cs="Calibri" w:eastAsia="Calibri" w:hAnsi="Calibri"/>
          <w:b/>
          <w:bCs/>
          <w:color w:val="1F3864"/>
          <w:sz w:val="30"/>
          <w:szCs w:val="30"/>
        </w:rPr>
        <w:t xml:space="preserve">11. Profitability Analysis</w:t>
      </w:r>
    </w:p>
    <w:p>
      <w:pPr>
        <w:pStyle w:val="Heading2"/>
        <w:spacing w:after="140" w:before="280"/>
      </w:pPr>
      <w:r>
        <w:rPr>
          <w:rFonts w:ascii="Calibri" w:cs="Calibri" w:eastAsia="Calibri" w:hAnsi="Calibri"/>
          <w:b/>
          <w:bCs/>
          <w:color w:val="2E74B5"/>
          <w:sz w:val="25"/>
          <w:szCs w:val="25"/>
        </w:rPr>
        <w:t xml:space="preserve">11.1 Overall Profitability</w:t>
      </w:r>
    </w:p>
    <w:p>
      <w:pPr>
        <w:spacing w:after="160" w:line="276"/>
        <w:jc w:val="both"/>
      </w:pPr>
      <w:r>
        <w:rPr>
          <w:rFonts w:ascii="Calibri" w:cs="Calibri" w:eastAsia="Calibri" w:hAnsi="Calibri"/>
          <w:sz w:val="21"/>
          <w:szCs w:val="21"/>
        </w:rPr>
        <w:t xml:space="preserve">Total profit across the analysis period was $4,014,029.00 on total revenue of $14,444,572.35, giving an overall profit margin of 27.79%. This means that, on average, roughly 28 cents of every dollar in sales was retained as profit after accounting for product cost.</w:t>
      </w:r>
    </w:p>
    <w:p>
      <w:pPr>
        <w:pStyle w:val="Heading2"/>
        <w:spacing w:after="140" w:before="280"/>
      </w:pPr>
      <w:r>
        <w:rPr>
          <w:rFonts w:ascii="Calibri" w:cs="Calibri" w:eastAsia="Calibri" w:hAnsi="Calibri"/>
          <w:b/>
          <w:bCs/>
          <w:color w:val="2E74B5"/>
          <w:sz w:val="25"/>
          <w:szCs w:val="25"/>
        </w:rPr>
        <w:t xml:space="preserve">11.2 Category Profitability</w:t>
      </w:r>
    </w:p>
    <w:p>
      <w:pPr>
        <w:spacing w:after="160" w:line="276"/>
        <w:jc w:val="both"/>
      </w:pPr>
      <w:r>
        <w:rPr>
          <w:rFonts w:ascii="Calibri" w:cs="Calibri" w:eastAsia="Calibri" w:hAnsi="Calibri"/>
          <w:sz w:val="21"/>
          <w:szCs w:val="21"/>
        </w:rPr>
        <w:t xml:space="preserve">As shown in Section 8, Electronics is the most profitable category by margin (44.57%), followed by Games (30.27%), Art &amp; Crafts (27.85%), Sports &amp; Outdoors (23.28%) and Toys (21.20%, the lowest of the five). In absolute profit terms, Toys ($1,079,527.00) narrowly leads Electronics ($1,001,437.00), because its much larger revenue base offsets its lower margin.</w:t>
      </w:r>
    </w:p>
    <w:p>
      <w:pPr>
        <w:pStyle w:val="Heading2"/>
        <w:spacing w:after="140" w:before="280"/>
      </w:pPr>
      <w:r>
        <w:rPr>
          <w:rFonts w:ascii="Calibri" w:cs="Calibri" w:eastAsia="Calibri" w:hAnsi="Calibri"/>
          <w:b/>
          <w:bCs/>
          <w:color w:val="2E74B5"/>
          <w:sz w:val="25"/>
          <w:szCs w:val="25"/>
        </w:rPr>
        <w:t xml:space="preserve">11.3 Product-Level Margin Strength</w:t>
      </w:r>
    </w:p>
    <w:p>
      <w:pPr>
        <w:spacing w:after="160" w:line="276"/>
        <w:jc w:val="both"/>
      </w:pPr>
      <w:r>
        <w:rPr>
          <w:rFonts w:ascii="Calibri" w:cs="Calibri" w:eastAsia="Calibri" w:hAnsi="Calibri"/>
          <w:sz w:val="21"/>
          <w:szCs w:val="21"/>
        </w:rPr>
        <w:t xml:space="preserve">As detailed in Section 7.3, Jenga (70.07%), Mini Basketball Hoop (64.03%), Playfoam (63.69%), Plush Pony (55.03%) and Colorbuds (53.37%) are the five highest-margin products. Colorbuds is the only one of these five that also ranks among the highest-revenue products, which is why it dominates the profit ranking in Section 7.2.</w:t>
      </w:r>
    </w:p>
    <w:p>
      <w:pPr>
        <w:pStyle w:val="Heading2"/>
        <w:spacing w:after="140" w:before="280"/>
      </w:pPr>
      <w:r>
        <w:rPr>
          <w:rFonts w:ascii="Calibri" w:cs="Calibri" w:eastAsia="Calibri" w:hAnsi="Calibri"/>
          <w:b/>
          <w:bCs/>
          <w:color w:val="2E74B5"/>
          <w:sz w:val="25"/>
          <w:szCs w:val="25"/>
        </w:rPr>
        <w:t xml:space="preserve">11.4 High Revenue, Comparatively Low Margin</w:t>
      </w:r>
    </w:p>
    <w:p>
      <w:pPr>
        <w:spacing w:after="160" w:line="276"/>
        <w:jc w:val="both"/>
      </w:pPr>
      <w:r>
        <w:rPr>
          <w:rFonts w:ascii="Calibri" w:cs="Calibri" w:eastAsia="Calibri" w:hAnsi="Calibri"/>
          <w:sz w:val="21"/>
          <w:szCs w:val="21"/>
        </w:rPr>
        <w:t xml:space="preserve">The clearest examples of high revenue paired with comparatively low margin are Lego Bricks (revenue rank 1, 12.50% margin), Magic Sand (revenue rank 3, 12.51% margin) and Rubik's Cube (revenue rank 5, 10.01% margin, the lowest margin of any product in the dataset). Together these three products alone account for over $4.27 million in revenue but a comparatively modest combined profit of roughly $511,000, underscoring the difference between a revenue-driven product and a profit-driven one.</w:t>
      </w:r>
    </w:p>
    <w:p>
      <w:r>
        <w:br w:type="page"/>
      </w:r>
    </w:p>
    <w:p>
      <w:pPr>
        <w:pStyle w:val="Heading1"/>
        <w:spacing w:after="180" w:before="360"/>
      </w:pPr>
      <w:r>
        <w:rPr>
          <w:rFonts w:ascii="Calibri" w:cs="Calibri" w:eastAsia="Calibri" w:hAnsi="Calibri"/>
          <w:b/>
          <w:bCs/>
          <w:color w:val="1F3864"/>
          <w:sz w:val="30"/>
          <w:szCs w:val="30"/>
        </w:rPr>
        <w:t xml:space="preserve">12. Time / Seasonality Analysis</w:t>
      </w:r>
    </w:p>
    <w:p>
      <w:pPr>
        <w:spacing w:after="40" w:before="160"/>
        <w:jc w:val="center"/>
      </w:pPr>
      <w:r>
        <w:drawing>
          <wp:inline distT="0" distB="0" distL="0" distR="0">
            <wp:extent cx="47625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762500" cy="1905000"/>
                    </a:xfrm>
                    <a:prstGeom prst="rect">
                      <a:avLst/>
                    </a:prstGeom>
                  </pic:spPr>
                </pic:pic>
              </a:graphicData>
            </a:graphic>
          </wp:inline>
        </w:drawing>
      </w:r>
    </w:p>
    <w:p>
      <w:pPr>
        <w:spacing w:after="220" w:before="80"/>
        <w:jc w:val="center"/>
      </w:pPr>
      <w:r>
        <w:rPr>
          <w:rFonts w:ascii="Calibri" w:cs="Calibri" w:eastAsia="Calibri" w:hAnsi="Calibri"/>
          <w:i/>
          <w:iCs/>
          <w:color w:val="595959"/>
          <w:sz w:val="19"/>
          <w:szCs w:val="19"/>
        </w:rPr>
        <w:t xml:space="preserve">Figure 11. Monthly Profit Trend (Jan 2022 – Sep 2023)</w:t>
      </w:r>
    </w:p>
    <w:p>
      <w:pPr>
        <w:spacing w:after="160" w:line="276"/>
        <w:jc w:val="both"/>
      </w:pPr>
      <w:r>
        <w:rPr>
          <w:rFonts w:ascii="Calibri" w:cs="Calibri" w:eastAsia="Calibri" w:hAnsi="Calibri"/>
          <w:sz w:val="21"/>
          <w:szCs w:val="21"/>
        </w:rPr>
        <w:t xml:space="preserve">Monthly profit broadly tracks the revenue trend shown in Figure 1, with two sharp peaks — November-to-December 2022 (profit rising to $246,078.00 in December) and February-to-March 2023 (rising to $231,909.00 in March) — each followed by a pull-back the following month. A similarly sharp dip occurs in August 2022, the lowest-profit month in the dataset ($158,931.00).</w:t>
      </w:r>
    </w:p>
    <w:p>
      <w:pPr>
        <w:pStyle w:val="Heading2"/>
        <w:spacing w:after="140" w:before="280"/>
      </w:pPr>
      <w:r>
        <w:rPr>
          <w:rFonts w:ascii="Calibri" w:cs="Calibri" w:eastAsia="Calibri" w:hAnsi="Calibri"/>
          <w:b/>
          <w:bCs/>
          <w:color w:val="2E74B5"/>
          <w:sz w:val="25"/>
          <w:szCs w:val="25"/>
        </w:rPr>
        <w:t xml:space="preserve">12.1 Seasonal Patterns</w:t>
      </w:r>
    </w:p>
    <w:p>
      <w:pPr>
        <w:spacing w:after="160" w:line="276"/>
        <w:jc w:val="both"/>
      </w:pPr>
      <w:r>
        <w:rPr>
          <w:rFonts w:ascii="Calibri" w:cs="Calibri" w:eastAsia="Calibri" w:hAnsi="Calibri"/>
          <w:sz w:val="21"/>
          <w:szCs w:val="21"/>
        </w:rPr>
        <w:t xml:space="preserve">The clearest seasonal pattern in the data is a year-end effect: revenue, profit and units all rise sharply into November and December, consistent with holiday-season toy buying, before a sales pull-back in the following one to two months. A second, smaller rise appears around March of both years. Conversely, mid-year months — July/August 2022 in particular — show the weakest performance of their respective years.</w:t>
      </w:r>
    </w:p>
    <w:p>
      <w:pPr>
        <w:pStyle w:val="Heading2"/>
        <w:spacing w:after="140" w:before="280"/>
      </w:pPr>
      <w:r>
        <w:rPr>
          <w:rFonts w:ascii="Calibri" w:cs="Calibri" w:eastAsia="Calibri" w:hAnsi="Calibri"/>
          <w:b/>
          <w:bCs/>
          <w:color w:val="2E74B5"/>
          <w:sz w:val="25"/>
          <w:szCs w:val="25"/>
        </w:rPr>
        <w:t xml:space="preserve">12.2 Highest-Revenue and Highest-Profit Periods</w:t>
      </w:r>
    </w:p>
    <w:p>
      <w:pPr>
        <w:spacing w:after="160" w:line="276"/>
        <w:jc w:val="both"/>
      </w:pPr>
      <w:r>
        <w:rPr>
          <w:rFonts w:ascii="Calibri" w:cs="Calibri" w:eastAsia="Calibri" w:hAnsi="Calibri"/>
          <w:sz w:val="21"/>
          <w:szCs w:val="21"/>
        </w:rPr>
        <w:t xml:space="preserve">At the quarterly level, revenue rose in every quarter from 2022 Q3 ($1,631,301.00) through 2023 Q2 ($2,461,309.81, the highest-revenue quarter in the dataset), before easing slightly in 2023 Q3 ($2,147,420.41). Profit followed the same broad pattern, peaking in 2023 Q2 at $632,655.00. At the individual month level, March 2023 was the single highest-revenue month ($883,515.64) and December 2022 the single highest-profit month ($246,078.00), as detailed in Section 6.3.</w:t>
      </w:r>
    </w:p>
    <w:p>
      <w:r>
        <w:br w:type="page"/>
      </w:r>
    </w:p>
    <w:p>
      <w:pPr>
        <w:pStyle w:val="Heading1"/>
        <w:spacing w:after="180" w:before="360"/>
      </w:pPr>
      <w:r>
        <w:rPr>
          <w:rFonts w:ascii="Calibri" w:cs="Calibri" w:eastAsia="Calibri" w:hAnsi="Calibri"/>
          <w:b/>
          <w:bCs/>
          <w:color w:val="1F3864"/>
          <w:sz w:val="30"/>
          <w:szCs w:val="30"/>
        </w:rPr>
        <w:t xml:space="preserve">13. Answers to the Business Questions</w:t>
      </w:r>
    </w:p>
    <w:p>
      <w:pPr>
        <w:spacing w:after="160" w:line="276"/>
        <w:jc w:val="both"/>
      </w:pPr>
      <w:r>
        <w:rPr>
          <w:rFonts w:ascii="Calibri" w:cs="Calibri" w:eastAsia="Calibri" w:hAnsi="Calibri"/>
          <w:sz w:val="21"/>
          <w:szCs w:val="21"/>
        </w:rPr>
        <w:t xml:space="preserve">This section answers all 27 business questions posed for the project directly, with supporting evidence referenced from the tables and figures above.</w:t>
      </w:r>
    </w:p>
    <w:tbl>
      <w:tblPr>
        <w:tblW w:type="dxa" w:w="9400"/>
        <w:tblBorders>
          <w:top w:val="single" w:color="BFBFBF" w:sz="4"/>
          <w:left w:val="single" w:color="BFBFBF" w:sz="4"/>
          <w:bottom w:val="single" w:color="BFBFBF" w:sz="4"/>
          <w:right w:val="single" w:color="BFBFBF" w:sz="4"/>
          <w:insideH w:val="single" w:color="D9D9D9" w:sz="2"/>
          <w:insideV w:val="single" w:color="D9D9D9" w:sz="2"/>
        </w:tblBorders>
      </w:tblPr>
      <w:tblGrid>
        <w:gridCol w:w="3300"/>
        <w:gridCol w:w="3600"/>
        <w:gridCol w:w="2500"/>
      </w:tblGrid>
      <w:tr>
        <w:trPr>
          <w:tblHeader/>
        </w:trPr>
        <w:tc>
          <w:tcPr>
            <w:tcW w:type="dxa" w:w="3300"/>
            <w:shd w:fill="1F3864" w:val="clear"/>
            <w:tcMar>
              <w:top w:type="dxa" w:w="60"/>
              <w:left w:type="dxa" w:w="90"/>
              <w:bottom w:type="dxa" w:w="60"/>
              <w:right w:type="dxa" w:w="90"/>
            </w:tcMar>
            <w:vAlign w:val="center"/>
          </w:tcPr>
          <w:p>
            <w:pPr>
              <w:jc w:val="center"/>
            </w:pPr>
            <w:r>
              <w:rPr>
                <w:rFonts w:ascii="Calibri" w:cs="Calibri" w:eastAsia="Calibri" w:hAnsi="Calibri"/>
                <w:b/>
                <w:bCs/>
                <w:color w:val="FFFFFF"/>
                <w:sz w:val="18"/>
                <w:szCs w:val="18"/>
              </w:rPr>
              <w:t xml:space="preserve">Business Question</w:t>
            </w:r>
          </w:p>
        </w:tc>
        <w:tc>
          <w:tcPr>
            <w:tcW w:type="dxa" w:w="3600"/>
            <w:shd w:fill="1F3864" w:val="clear"/>
            <w:tcMar>
              <w:top w:type="dxa" w:w="60"/>
              <w:left w:type="dxa" w:w="90"/>
              <w:bottom w:type="dxa" w:w="60"/>
              <w:right w:type="dxa" w:w="90"/>
            </w:tcMar>
            <w:vAlign w:val="center"/>
          </w:tcPr>
          <w:p>
            <w:pPr>
              <w:jc w:val="center"/>
            </w:pPr>
            <w:r>
              <w:rPr>
                <w:rFonts w:ascii="Calibri" w:cs="Calibri" w:eastAsia="Calibri" w:hAnsi="Calibri"/>
                <w:b/>
                <w:bCs/>
                <w:color w:val="FFFFFF"/>
                <w:sz w:val="18"/>
                <w:szCs w:val="18"/>
              </w:rPr>
              <w:t xml:space="preserve">Answer</w:t>
            </w:r>
          </w:p>
        </w:tc>
        <w:tc>
          <w:tcPr>
            <w:tcW w:type="dxa" w:w="2500"/>
            <w:shd w:fill="1F3864" w:val="clear"/>
            <w:tcMar>
              <w:top w:type="dxa" w:w="60"/>
              <w:left w:type="dxa" w:w="90"/>
              <w:bottom w:type="dxa" w:w="60"/>
              <w:right w:type="dxa" w:w="90"/>
            </w:tcMar>
            <w:vAlign w:val="center"/>
          </w:tcPr>
          <w:p>
            <w:pPr>
              <w:jc w:val="center"/>
            </w:pPr>
            <w:r>
              <w:rPr>
                <w:rFonts w:ascii="Calibri" w:cs="Calibri" w:eastAsia="Calibri" w:hAnsi="Calibri"/>
                <w:b/>
                <w:bCs/>
                <w:color w:val="FFFFFF"/>
                <w:sz w:val="18"/>
                <w:szCs w:val="18"/>
              </w:rPr>
              <w:t xml:space="preserve">Supporting Evidence</w:t>
            </w:r>
          </w:p>
        </w:tc>
      </w:tr>
      <w:tr>
        <w:tc>
          <w:tcPr>
            <w:tcW w:type="dxa" w:w="3300"/>
            <w:tcMar>
              <w:top w:type="dxa" w:w="60"/>
              <w:left w:type="dxa" w:w="90"/>
              <w:bottom w:type="dxa" w:w="60"/>
              <w:right w:type="dxa" w:w="90"/>
            </w:tcMar>
            <w:vAlign w:val="center"/>
          </w:tcPr>
          <w:p>
            <w:pPr>
              <w:jc w:val="left"/>
            </w:pPr>
            <w:r>
              <w:rPr>
                <w:rFonts w:ascii="Calibri" w:cs="Calibri" w:eastAsia="Calibri" w:hAnsi="Calibri"/>
                <w:color w:val="000000"/>
                <w:sz w:val="18"/>
                <w:szCs w:val="18"/>
              </w:rPr>
              <w:t xml:space="preserve">1. How much revenue did the business generate?</w:t>
            </w:r>
          </w:p>
        </w:tc>
        <w:tc>
          <w:tcPr>
            <w:tcW w:type="dxa" w:w="3600"/>
            <w:tcMar>
              <w:top w:type="dxa" w:w="60"/>
              <w:left w:type="dxa" w:w="90"/>
              <w:bottom w:type="dxa" w:w="60"/>
              <w:right w:type="dxa" w:w="90"/>
            </w:tcMar>
            <w:vAlign w:val="center"/>
          </w:tcPr>
          <w:p>
            <w:pPr>
              <w:jc w:val="center"/>
            </w:pPr>
            <w:r>
              <w:rPr>
                <w:rFonts w:ascii="Calibri" w:cs="Calibri" w:eastAsia="Calibri" w:hAnsi="Calibri"/>
                <w:color w:val="000000"/>
                <w:sz w:val="18"/>
                <w:szCs w:val="18"/>
              </w:rPr>
              <w:t xml:space="preserve">Total revenue of $14,444,572.35 across the analysis period (Jan 2022–Sep 2023).</w:t>
            </w:r>
          </w:p>
        </w:tc>
        <w:tc>
          <w:tcPr>
            <w:tcW w:type="dxa" w:w="2500"/>
            <w:tcMar>
              <w:top w:type="dxa" w:w="60"/>
              <w:left w:type="dxa" w:w="90"/>
              <w:bottom w:type="dxa" w:w="60"/>
              <w:right w:type="dxa" w:w="90"/>
            </w:tcMar>
            <w:vAlign w:val="center"/>
          </w:tcPr>
          <w:p>
            <w:pPr>
              <w:jc w:val="center"/>
            </w:pPr>
            <w:r>
              <w:rPr>
                <w:rFonts w:ascii="Calibri" w:cs="Calibri" w:eastAsia="Calibri" w:hAnsi="Calibri"/>
                <w:color w:val="000000"/>
                <w:sz w:val="18"/>
                <w:szCs w:val="18"/>
              </w:rPr>
              <w:t xml:space="preserve">Section 6.1</w:t>
            </w:r>
          </w:p>
        </w:tc>
      </w:tr>
      <w:tr>
        <w:tc>
          <w:tcPr>
            <w:tcW w:type="dxa" w:w="3300"/>
            <w:shd w:fill="F2F2F2" w:val="clear"/>
            <w:tcMar>
              <w:top w:type="dxa" w:w="60"/>
              <w:left w:type="dxa" w:w="90"/>
              <w:bottom w:type="dxa" w:w="60"/>
              <w:right w:type="dxa" w:w="90"/>
            </w:tcMar>
            <w:vAlign w:val="center"/>
          </w:tcPr>
          <w:p>
            <w:pPr>
              <w:jc w:val="left"/>
            </w:pPr>
            <w:r>
              <w:rPr>
                <w:rFonts w:ascii="Calibri" w:cs="Calibri" w:eastAsia="Calibri" w:hAnsi="Calibri"/>
                <w:color w:val="000000"/>
                <w:sz w:val="18"/>
                <w:szCs w:val="18"/>
              </w:rPr>
              <w:t xml:space="preserve">2. How did sales change over time?</w:t>
            </w:r>
          </w:p>
        </w:tc>
        <w:tc>
          <w:tcPr>
            <w:tcW w:type="dxa" w:w="3600"/>
            <w:shd w:fill="F2F2F2" w:val="clear"/>
            <w:tcMar>
              <w:top w:type="dxa" w:w="60"/>
              <w:left w:type="dxa" w:w="90"/>
              <w:bottom w:type="dxa" w:w="60"/>
              <w:right w:type="dxa" w:w="90"/>
            </w:tcMar>
            <w:vAlign w:val="center"/>
          </w:tcPr>
          <w:p>
            <w:pPr>
              <w:jc w:val="center"/>
            </w:pPr>
            <w:r>
              <w:rPr>
                <w:rFonts w:ascii="Calibri" w:cs="Calibri" w:eastAsia="Calibri" w:hAnsi="Calibri"/>
                <w:color w:val="000000"/>
                <w:sz w:val="18"/>
                <w:szCs w:val="18"/>
              </w:rPr>
              <w:t xml:space="preserve">Revenue and units rose overall from early 2022 to mid-2023, with a mid-2022 dip (low in Aug 2022) and a late-2023 softening.</w:t>
            </w:r>
          </w:p>
        </w:tc>
        <w:tc>
          <w:tcPr>
            <w:tcW w:type="dxa" w:w="2500"/>
            <w:shd w:fill="F2F2F2" w:val="clear"/>
            <w:tcMar>
              <w:top w:type="dxa" w:w="60"/>
              <w:left w:type="dxa" w:w="90"/>
              <w:bottom w:type="dxa" w:w="60"/>
              <w:right w:type="dxa" w:w="90"/>
            </w:tcMar>
            <w:vAlign w:val="center"/>
          </w:tcPr>
          <w:p>
            <w:pPr>
              <w:jc w:val="center"/>
            </w:pPr>
            <w:r>
              <w:rPr>
                <w:rFonts w:ascii="Calibri" w:cs="Calibri" w:eastAsia="Calibri" w:hAnsi="Calibri"/>
                <w:color w:val="000000"/>
                <w:sz w:val="18"/>
                <w:szCs w:val="18"/>
              </w:rPr>
              <w:t xml:space="preserve">Figures 1–2</w:t>
            </w:r>
          </w:p>
        </w:tc>
      </w:tr>
      <w:tr>
        <w:tc>
          <w:tcPr>
            <w:tcW w:type="dxa" w:w="3300"/>
            <w:tcMar>
              <w:top w:type="dxa" w:w="60"/>
              <w:left w:type="dxa" w:w="90"/>
              <w:bottom w:type="dxa" w:w="60"/>
              <w:right w:type="dxa" w:w="90"/>
            </w:tcMar>
            <w:vAlign w:val="center"/>
          </w:tcPr>
          <w:p>
            <w:pPr>
              <w:jc w:val="left"/>
            </w:pPr>
            <w:r>
              <w:rPr>
                <w:rFonts w:ascii="Calibri" w:cs="Calibri" w:eastAsia="Calibri" w:hAnsi="Calibri"/>
                <w:color w:val="000000"/>
                <w:sz w:val="18"/>
                <w:szCs w:val="18"/>
              </w:rPr>
              <w:t xml:space="preserve">3. Which months performed best and worst?</w:t>
            </w:r>
          </w:p>
        </w:tc>
        <w:tc>
          <w:tcPr>
            <w:tcW w:type="dxa" w:w="3600"/>
            <w:tcMar>
              <w:top w:type="dxa" w:w="60"/>
              <w:left w:type="dxa" w:w="90"/>
              <w:bottom w:type="dxa" w:w="60"/>
              <w:right w:type="dxa" w:w="90"/>
            </w:tcMar>
            <w:vAlign w:val="center"/>
          </w:tcPr>
          <w:p>
            <w:pPr>
              <w:jc w:val="center"/>
            </w:pPr>
            <w:r>
              <w:rPr>
                <w:rFonts w:ascii="Calibri" w:cs="Calibri" w:eastAsia="Calibri" w:hAnsi="Calibri"/>
                <w:color w:val="000000"/>
                <w:sz w:val="18"/>
                <w:szCs w:val="18"/>
              </w:rPr>
              <w:t xml:space="preserve">Best: March 2023 ($883,515.64 revenue); worst: August 2022 ($489,422.73 revenue). Best profit month: December 2022 ($246,078.00).</w:t>
            </w:r>
          </w:p>
        </w:tc>
        <w:tc>
          <w:tcPr>
            <w:tcW w:type="dxa" w:w="2500"/>
            <w:tcMar>
              <w:top w:type="dxa" w:w="60"/>
              <w:left w:type="dxa" w:w="90"/>
              <w:bottom w:type="dxa" w:w="60"/>
              <w:right w:type="dxa" w:w="90"/>
            </w:tcMar>
            <w:vAlign w:val="center"/>
          </w:tcPr>
          <w:p>
            <w:pPr>
              <w:jc w:val="center"/>
            </w:pPr>
            <w:r>
              <w:rPr>
                <w:rFonts w:ascii="Calibri" w:cs="Calibri" w:eastAsia="Calibri" w:hAnsi="Calibri"/>
                <w:color w:val="000000"/>
                <w:sz w:val="18"/>
                <w:szCs w:val="18"/>
              </w:rPr>
              <w:t xml:space="preserve">Table 1</w:t>
            </w:r>
          </w:p>
        </w:tc>
      </w:tr>
      <w:tr>
        <w:tc>
          <w:tcPr>
            <w:tcW w:type="dxa" w:w="3300"/>
            <w:shd w:fill="F2F2F2" w:val="clear"/>
            <w:tcMar>
              <w:top w:type="dxa" w:w="60"/>
              <w:left w:type="dxa" w:w="90"/>
              <w:bottom w:type="dxa" w:w="60"/>
              <w:right w:type="dxa" w:w="90"/>
            </w:tcMar>
            <w:vAlign w:val="center"/>
          </w:tcPr>
          <w:p>
            <w:pPr>
              <w:jc w:val="left"/>
            </w:pPr>
            <w:r>
              <w:rPr>
                <w:rFonts w:ascii="Calibri" w:cs="Calibri" w:eastAsia="Calibri" w:hAnsi="Calibri"/>
                <w:color w:val="000000"/>
                <w:sz w:val="18"/>
                <w:szCs w:val="18"/>
              </w:rPr>
              <w:t xml:space="preserve">4. Which product categories generated the most revenue?</w:t>
            </w:r>
          </w:p>
        </w:tc>
        <w:tc>
          <w:tcPr>
            <w:tcW w:type="dxa" w:w="3600"/>
            <w:shd w:fill="F2F2F2" w:val="clear"/>
            <w:tcMar>
              <w:top w:type="dxa" w:w="60"/>
              <w:left w:type="dxa" w:w="90"/>
              <w:bottom w:type="dxa" w:w="60"/>
              <w:right w:type="dxa" w:w="90"/>
            </w:tcMar>
            <w:vAlign w:val="center"/>
          </w:tcPr>
          <w:p>
            <w:pPr>
              <w:jc w:val="center"/>
            </w:pPr>
            <w:r>
              <w:rPr>
                <w:rFonts w:ascii="Calibri" w:cs="Calibri" w:eastAsia="Calibri" w:hAnsi="Calibri"/>
                <w:color w:val="000000"/>
                <w:sz w:val="18"/>
                <w:szCs w:val="18"/>
              </w:rPr>
              <w:t xml:space="preserve">Toys generated the most revenue ($5,093,241.00), more than double the next category.</w:t>
            </w:r>
          </w:p>
        </w:tc>
        <w:tc>
          <w:tcPr>
            <w:tcW w:type="dxa" w:w="2500"/>
            <w:shd w:fill="F2F2F2" w:val="clear"/>
            <w:tcMar>
              <w:top w:type="dxa" w:w="60"/>
              <w:left w:type="dxa" w:w="90"/>
              <w:bottom w:type="dxa" w:w="60"/>
              <w:right w:type="dxa" w:w="90"/>
            </w:tcMar>
            <w:vAlign w:val="center"/>
          </w:tcPr>
          <w:p>
            <w:pPr>
              <w:jc w:val="center"/>
            </w:pPr>
            <w:r>
              <w:rPr>
                <w:rFonts w:ascii="Calibri" w:cs="Calibri" w:eastAsia="Calibri" w:hAnsi="Calibri"/>
                <w:color w:val="000000"/>
                <w:sz w:val="18"/>
                <w:szCs w:val="18"/>
              </w:rPr>
              <w:t xml:space="preserve">Fig. 3, Table 3</w:t>
            </w:r>
          </w:p>
        </w:tc>
      </w:tr>
      <w:tr>
        <w:tc>
          <w:tcPr>
            <w:tcW w:type="dxa" w:w="3300"/>
            <w:tcMar>
              <w:top w:type="dxa" w:w="60"/>
              <w:left w:type="dxa" w:w="90"/>
              <w:bottom w:type="dxa" w:w="60"/>
              <w:right w:type="dxa" w:w="90"/>
            </w:tcMar>
            <w:vAlign w:val="center"/>
          </w:tcPr>
          <w:p>
            <w:pPr>
              <w:jc w:val="left"/>
            </w:pPr>
            <w:r>
              <w:rPr>
                <w:rFonts w:ascii="Calibri" w:cs="Calibri" w:eastAsia="Calibri" w:hAnsi="Calibri"/>
                <w:color w:val="000000"/>
                <w:sz w:val="18"/>
                <w:szCs w:val="18"/>
              </w:rPr>
              <w:t xml:space="preserve">5. Which products sold the most units?</w:t>
            </w:r>
          </w:p>
        </w:tc>
        <w:tc>
          <w:tcPr>
            <w:tcW w:type="dxa" w:w="3600"/>
            <w:tcMar>
              <w:top w:type="dxa" w:w="60"/>
              <w:left w:type="dxa" w:w="90"/>
              <w:bottom w:type="dxa" w:w="60"/>
              <w:right w:type="dxa" w:w="90"/>
            </w:tcMar>
            <w:vAlign w:val="center"/>
          </w:tcPr>
          <w:p>
            <w:pPr>
              <w:jc w:val="center"/>
            </w:pPr>
            <w:r>
              <w:rPr>
                <w:rFonts w:ascii="Calibri" w:cs="Calibri" w:eastAsia="Calibri" w:hAnsi="Calibri"/>
                <w:color w:val="000000"/>
                <w:sz w:val="18"/>
                <w:szCs w:val="18"/>
              </w:rPr>
              <w:t xml:space="preserve">Colorbuds sold the most units of any single product (104,368 units).</w:t>
            </w:r>
          </w:p>
        </w:tc>
        <w:tc>
          <w:tcPr>
            <w:tcW w:type="dxa" w:w="2500"/>
            <w:tcMar>
              <w:top w:type="dxa" w:w="60"/>
              <w:left w:type="dxa" w:w="90"/>
              <w:bottom w:type="dxa" w:w="60"/>
              <w:right w:type="dxa" w:w="90"/>
            </w:tcMar>
            <w:vAlign w:val="center"/>
          </w:tcPr>
          <w:p>
            <w:pPr>
              <w:jc w:val="center"/>
            </w:pPr>
            <w:r>
              <w:rPr>
                <w:rFonts w:ascii="Calibri" w:cs="Calibri" w:eastAsia="Calibri" w:hAnsi="Calibri"/>
                <w:color w:val="000000"/>
                <w:sz w:val="18"/>
                <w:szCs w:val="18"/>
              </w:rPr>
              <w:t xml:space="preserve">Table 2, product_performance.csv</w:t>
            </w:r>
          </w:p>
        </w:tc>
      </w:tr>
      <w:tr>
        <w:tc>
          <w:tcPr>
            <w:tcW w:type="dxa" w:w="3300"/>
            <w:shd w:fill="F2F2F2" w:val="clear"/>
            <w:tcMar>
              <w:top w:type="dxa" w:w="60"/>
              <w:left w:type="dxa" w:w="90"/>
              <w:bottom w:type="dxa" w:w="60"/>
              <w:right w:type="dxa" w:w="90"/>
            </w:tcMar>
            <w:vAlign w:val="center"/>
          </w:tcPr>
          <w:p>
            <w:pPr>
              <w:jc w:val="left"/>
            </w:pPr>
            <w:r>
              <w:rPr>
                <w:rFonts w:ascii="Calibri" w:cs="Calibri" w:eastAsia="Calibri" w:hAnsi="Calibri"/>
                <w:color w:val="000000"/>
                <w:sz w:val="18"/>
                <w:szCs w:val="18"/>
              </w:rPr>
              <w:t xml:space="preserve">6. Which products generated the most revenue?</w:t>
            </w:r>
          </w:p>
        </w:tc>
        <w:tc>
          <w:tcPr>
            <w:tcW w:type="dxa" w:w="3600"/>
            <w:shd w:fill="F2F2F2" w:val="clear"/>
            <w:tcMar>
              <w:top w:type="dxa" w:w="60"/>
              <w:left w:type="dxa" w:w="90"/>
              <w:bottom w:type="dxa" w:w="60"/>
              <w:right w:type="dxa" w:w="90"/>
            </w:tcMar>
            <w:vAlign w:val="center"/>
          </w:tcPr>
          <w:p>
            <w:pPr>
              <w:jc w:val="center"/>
            </w:pPr>
            <w:r>
              <w:rPr>
                <w:rFonts w:ascii="Calibri" w:cs="Calibri" w:eastAsia="Calibri" w:hAnsi="Calibri"/>
                <w:color w:val="000000"/>
                <w:sz w:val="18"/>
                <w:szCs w:val="18"/>
              </w:rPr>
              <w:t xml:space="preserve">Lego Bricks generated the highest revenue of $2,388,882.63.</w:t>
            </w:r>
          </w:p>
        </w:tc>
        <w:tc>
          <w:tcPr>
            <w:tcW w:type="dxa" w:w="2500"/>
            <w:shd w:fill="F2F2F2" w:val="clear"/>
            <w:tcMar>
              <w:top w:type="dxa" w:w="60"/>
              <w:left w:type="dxa" w:w="90"/>
              <w:bottom w:type="dxa" w:w="60"/>
              <w:right w:type="dxa" w:w="90"/>
            </w:tcMar>
            <w:vAlign w:val="center"/>
          </w:tcPr>
          <w:p>
            <w:pPr>
              <w:jc w:val="center"/>
            </w:pPr>
            <w:r>
              <w:rPr>
                <w:rFonts w:ascii="Calibri" w:cs="Calibri" w:eastAsia="Calibri" w:hAnsi="Calibri"/>
                <w:color w:val="000000"/>
                <w:sz w:val="18"/>
                <w:szCs w:val="18"/>
              </w:rPr>
              <w:t xml:space="preserve">Fig. 4, Table 2</w:t>
            </w:r>
          </w:p>
        </w:tc>
      </w:tr>
      <w:tr>
        <w:tc>
          <w:tcPr>
            <w:tcW w:type="dxa" w:w="3300"/>
            <w:tcMar>
              <w:top w:type="dxa" w:w="60"/>
              <w:left w:type="dxa" w:w="90"/>
              <w:bottom w:type="dxa" w:w="60"/>
              <w:right w:type="dxa" w:w="90"/>
            </w:tcMar>
            <w:vAlign w:val="center"/>
          </w:tcPr>
          <w:p>
            <w:pPr>
              <w:jc w:val="left"/>
            </w:pPr>
            <w:r>
              <w:rPr>
                <w:rFonts w:ascii="Calibri" w:cs="Calibri" w:eastAsia="Calibri" w:hAnsi="Calibri"/>
                <w:color w:val="000000"/>
                <w:sz w:val="18"/>
                <w:szCs w:val="18"/>
              </w:rPr>
              <w:t xml:space="preserve">7. Which products generated the most profit?</w:t>
            </w:r>
          </w:p>
        </w:tc>
        <w:tc>
          <w:tcPr>
            <w:tcW w:type="dxa" w:w="3600"/>
            <w:tcMar>
              <w:top w:type="dxa" w:w="60"/>
              <w:left w:type="dxa" w:w="90"/>
              <w:bottom w:type="dxa" w:w="60"/>
              <w:right w:type="dxa" w:w="90"/>
            </w:tcMar>
            <w:vAlign w:val="center"/>
          </w:tcPr>
          <w:p>
            <w:pPr>
              <w:jc w:val="center"/>
            </w:pPr>
            <w:r>
              <w:rPr>
                <w:rFonts w:ascii="Calibri" w:cs="Calibri" w:eastAsia="Calibri" w:hAnsi="Calibri"/>
                <w:color w:val="000000"/>
                <w:sz w:val="18"/>
                <w:szCs w:val="18"/>
              </w:rPr>
              <w:t xml:space="preserve">Colorbuds generated the highest profit of $834,944.00.</w:t>
            </w:r>
          </w:p>
        </w:tc>
        <w:tc>
          <w:tcPr>
            <w:tcW w:type="dxa" w:w="2500"/>
            <w:tcMar>
              <w:top w:type="dxa" w:w="60"/>
              <w:left w:type="dxa" w:w="90"/>
              <w:bottom w:type="dxa" w:w="60"/>
              <w:right w:type="dxa" w:w="90"/>
            </w:tcMar>
            <w:vAlign w:val="center"/>
          </w:tcPr>
          <w:p>
            <w:pPr>
              <w:jc w:val="center"/>
            </w:pPr>
            <w:r>
              <w:rPr>
                <w:rFonts w:ascii="Calibri" w:cs="Calibri" w:eastAsia="Calibri" w:hAnsi="Calibri"/>
                <w:color w:val="000000"/>
                <w:sz w:val="18"/>
                <w:szCs w:val="18"/>
              </w:rPr>
              <w:t xml:space="preserve">Fig. 5</w:t>
            </w:r>
          </w:p>
        </w:tc>
      </w:tr>
      <w:tr>
        <w:tc>
          <w:tcPr>
            <w:tcW w:type="dxa" w:w="3300"/>
            <w:shd w:fill="F2F2F2" w:val="clear"/>
            <w:tcMar>
              <w:top w:type="dxa" w:w="60"/>
              <w:left w:type="dxa" w:w="90"/>
              <w:bottom w:type="dxa" w:w="60"/>
              <w:right w:type="dxa" w:w="90"/>
            </w:tcMar>
            <w:vAlign w:val="center"/>
          </w:tcPr>
          <w:p>
            <w:pPr>
              <w:jc w:val="left"/>
            </w:pPr>
            <w:r>
              <w:rPr>
                <w:rFonts w:ascii="Calibri" w:cs="Calibri" w:eastAsia="Calibri" w:hAnsi="Calibri"/>
                <w:color w:val="000000"/>
                <w:sz w:val="18"/>
                <w:szCs w:val="18"/>
              </w:rPr>
              <w:t xml:space="preserve">8. Which products had the highest profit margins?</w:t>
            </w:r>
          </w:p>
        </w:tc>
        <w:tc>
          <w:tcPr>
            <w:tcW w:type="dxa" w:w="3600"/>
            <w:shd w:fill="F2F2F2" w:val="clear"/>
            <w:tcMar>
              <w:top w:type="dxa" w:w="60"/>
              <w:left w:type="dxa" w:w="90"/>
              <w:bottom w:type="dxa" w:w="60"/>
              <w:right w:type="dxa" w:w="90"/>
            </w:tcMar>
            <w:vAlign w:val="center"/>
          </w:tcPr>
          <w:p>
            <w:pPr>
              <w:jc w:val="center"/>
            </w:pPr>
            <w:r>
              <w:rPr>
                <w:rFonts w:ascii="Calibri" w:cs="Calibri" w:eastAsia="Calibri" w:hAnsi="Calibri"/>
                <w:color w:val="000000"/>
                <w:sz w:val="18"/>
                <w:szCs w:val="18"/>
              </w:rPr>
              <w:t xml:space="preserve">Jenga had the highest profit margin at 70.07%.</w:t>
            </w:r>
          </w:p>
        </w:tc>
        <w:tc>
          <w:tcPr>
            <w:tcW w:type="dxa" w:w="2500"/>
            <w:shd w:fill="F2F2F2" w:val="clear"/>
            <w:tcMar>
              <w:top w:type="dxa" w:w="60"/>
              <w:left w:type="dxa" w:w="90"/>
              <w:bottom w:type="dxa" w:w="60"/>
              <w:right w:type="dxa" w:w="90"/>
            </w:tcMar>
            <w:vAlign w:val="center"/>
          </w:tcPr>
          <w:p>
            <w:pPr>
              <w:jc w:val="center"/>
            </w:pPr>
            <w:r>
              <w:rPr>
                <w:rFonts w:ascii="Calibri" w:cs="Calibri" w:eastAsia="Calibri" w:hAnsi="Calibri"/>
                <w:color w:val="000000"/>
                <w:sz w:val="18"/>
                <w:szCs w:val="18"/>
              </w:rPr>
              <w:t xml:space="preserve">Fig. 6</w:t>
            </w:r>
          </w:p>
        </w:tc>
      </w:tr>
      <w:tr>
        <w:tc>
          <w:tcPr>
            <w:tcW w:type="dxa" w:w="3300"/>
            <w:tcMar>
              <w:top w:type="dxa" w:w="60"/>
              <w:left w:type="dxa" w:w="90"/>
              <w:bottom w:type="dxa" w:w="60"/>
              <w:right w:type="dxa" w:w="90"/>
            </w:tcMar>
            <w:vAlign w:val="center"/>
          </w:tcPr>
          <w:p>
            <w:pPr>
              <w:jc w:val="left"/>
            </w:pPr>
            <w:r>
              <w:rPr>
                <w:rFonts w:ascii="Calibri" w:cs="Calibri" w:eastAsia="Calibri" w:hAnsi="Calibri"/>
                <w:color w:val="000000"/>
                <w:sz w:val="18"/>
                <w:szCs w:val="18"/>
              </w:rPr>
              <w:t xml:space="preserve">9. Are there products with high sales but relatively low profit?</w:t>
            </w:r>
          </w:p>
        </w:tc>
        <w:tc>
          <w:tcPr>
            <w:tcW w:type="dxa" w:w="3600"/>
            <w:tcMar>
              <w:top w:type="dxa" w:w="60"/>
              <w:left w:type="dxa" w:w="90"/>
              <w:bottom w:type="dxa" w:w="60"/>
              <w:right w:type="dxa" w:w="90"/>
            </w:tcMar>
            <w:vAlign w:val="center"/>
          </w:tcPr>
          <w:p>
            <w:pPr>
              <w:jc w:val="center"/>
            </w:pPr>
            <w:r>
              <w:rPr>
                <w:rFonts w:ascii="Calibri" w:cs="Calibri" w:eastAsia="Calibri" w:hAnsi="Calibri"/>
                <w:color w:val="000000"/>
                <w:sz w:val="18"/>
                <w:szCs w:val="18"/>
              </w:rPr>
              <w:t xml:space="preserve">Yes — Lego Bricks (12.50% margin), Magic Sand (12.51%) and Rubik's Cube (10.01%) combine high revenue with low margins.</w:t>
            </w:r>
          </w:p>
        </w:tc>
        <w:tc>
          <w:tcPr>
            <w:tcW w:type="dxa" w:w="2500"/>
            <w:tcMar>
              <w:top w:type="dxa" w:w="60"/>
              <w:left w:type="dxa" w:w="90"/>
              <w:bottom w:type="dxa" w:w="60"/>
              <w:right w:type="dxa" w:w="90"/>
            </w:tcMar>
            <w:vAlign w:val="center"/>
          </w:tcPr>
          <w:p>
            <w:pPr>
              <w:jc w:val="center"/>
            </w:pPr>
            <w:r>
              <w:rPr>
                <w:rFonts w:ascii="Calibri" w:cs="Calibri" w:eastAsia="Calibri" w:hAnsi="Calibri"/>
                <w:color w:val="000000"/>
                <w:sz w:val="18"/>
                <w:szCs w:val="18"/>
              </w:rPr>
              <w:t xml:space="preserve">Section 7.4</w:t>
            </w:r>
          </w:p>
        </w:tc>
      </w:tr>
      <w:tr>
        <w:tc>
          <w:tcPr>
            <w:tcW w:type="dxa" w:w="3300"/>
            <w:shd w:fill="F2F2F2" w:val="clear"/>
            <w:tcMar>
              <w:top w:type="dxa" w:w="60"/>
              <w:left w:type="dxa" w:w="90"/>
              <w:bottom w:type="dxa" w:w="60"/>
              <w:right w:type="dxa" w:w="90"/>
            </w:tcMar>
            <w:vAlign w:val="center"/>
          </w:tcPr>
          <w:p>
            <w:pPr>
              <w:jc w:val="left"/>
            </w:pPr>
            <w:r>
              <w:rPr>
                <w:rFonts w:ascii="Calibri" w:cs="Calibri" w:eastAsia="Calibri" w:hAnsi="Calibri"/>
                <w:color w:val="000000"/>
                <w:sz w:val="18"/>
                <w:szCs w:val="18"/>
              </w:rPr>
              <w:t xml:space="preserve">10. Which products had weaker performance?</w:t>
            </w:r>
          </w:p>
        </w:tc>
        <w:tc>
          <w:tcPr>
            <w:tcW w:type="dxa" w:w="3600"/>
            <w:shd w:fill="F2F2F2" w:val="clear"/>
            <w:tcMar>
              <w:top w:type="dxa" w:w="60"/>
              <w:left w:type="dxa" w:w="90"/>
              <w:bottom w:type="dxa" w:w="60"/>
              <w:right w:type="dxa" w:w="90"/>
            </w:tcMar>
            <w:vAlign w:val="center"/>
          </w:tcPr>
          <w:p>
            <w:pPr>
              <w:jc w:val="center"/>
            </w:pPr>
            <w:r>
              <w:rPr>
                <w:rFonts w:ascii="Calibri" w:cs="Calibri" w:eastAsia="Calibri" w:hAnsi="Calibri"/>
                <w:color w:val="000000"/>
                <w:sz w:val="18"/>
                <w:szCs w:val="18"/>
              </w:rPr>
              <w:t xml:space="preserve">Uno Card Game ($21,652.90 revenue) and Classic Dominoes ($8,942.00 profit) were the weakest on revenue and profit respectively.</w:t>
            </w:r>
          </w:p>
        </w:tc>
        <w:tc>
          <w:tcPr>
            <w:tcW w:type="dxa" w:w="2500"/>
            <w:shd w:fill="F2F2F2" w:val="clear"/>
            <w:tcMar>
              <w:top w:type="dxa" w:w="60"/>
              <w:left w:type="dxa" w:w="90"/>
              <w:bottom w:type="dxa" w:w="60"/>
              <w:right w:type="dxa" w:w="90"/>
            </w:tcMar>
            <w:vAlign w:val="center"/>
          </w:tcPr>
          <w:p>
            <w:pPr>
              <w:jc w:val="center"/>
            </w:pPr>
            <w:r>
              <w:rPr>
                <w:rFonts w:ascii="Calibri" w:cs="Calibri" w:eastAsia="Calibri" w:hAnsi="Calibri"/>
                <w:color w:val="000000"/>
                <w:sz w:val="18"/>
                <w:szCs w:val="18"/>
              </w:rPr>
              <w:t xml:space="preserve">Section 7.5</w:t>
            </w:r>
          </w:p>
        </w:tc>
      </w:tr>
      <w:tr>
        <w:tc>
          <w:tcPr>
            <w:tcW w:type="dxa" w:w="3300"/>
            <w:tcMar>
              <w:top w:type="dxa" w:w="60"/>
              <w:left w:type="dxa" w:w="90"/>
              <w:bottom w:type="dxa" w:w="60"/>
              <w:right w:type="dxa" w:w="90"/>
            </w:tcMar>
            <w:vAlign w:val="center"/>
          </w:tcPr>
          <w:p>
            <w:pPr>
              <w:jc w:val="left"/>
            </w:pPr>
            <w:r>
              <w:rPr>
                <w:rFonts w:ascii="Calibri" w:cs="Calibri" w:eastAsia="Calibri" w:hAnsi="Calibri"/>
                <w:color w:val="000000"/>
                <w:sz w:val="18"/>
                <w:szCs w:val="18"/>
              </w:rPr>
              <w:t xml:space="preserve">11. Which stores generated the most revenue?</w:t>
            </w:r>
          </w:p>
        </w:tc>
        <w:tc>
          <w:tcPr>
            <w:tcW w:type="dxa" w:w="3600"/>
            <w:tcMar>
              <w:top w:type="dxa" w:w="60"/>
              <w:left w:type="dxa" w:w="90"/>
              <w:bottom w:type="dxa" w:w="60"/>
              <w:right w:type="dxa" w:w="90"/>
            </w:tcMar>
            <w:vAlign w:val="center"/>
          </w:tcPr>
          <w:p>
            <w:pPr>
              <w:jc w:val="center"/>
            </w:pPr>
            <w:r>
              <w:rPr>
                <w:rFonts w:ascii="Calibri" w:cs="Calibri" w:eastAsia="Calibri" w:hAnsi="Calibri"/>
                <w:color w:val="000000"/>
                <w:sz w:val="18"/>
                <w:szCs w:val="18"/>
              </w:rPr>
              <w:t xml:space="preserve">Maven Toys Ciudad de Mexico 2 ($554,553.43).</w:t>
            </w:r>
          </w:p>
        </w:tc>
        <w:tc>
          <w:tcPr>
            <w:tcW w:type="dxa" w:w="2500"/>
            <w:tcMar>
              <w:top w:type="dxa" w:w="60"/>
              <w:left w:type="dxa" w:w="90"/>
              <w:bottom w:type="dxa" w:w="60"/>
              <w:right w:type="dxa" w:w="90"/>
            </w:tcMar>
            <w:vAlign w:val="center"/>
          </w:tcPr>
          <w:p>
            <w:pPr>
              <w:jc w:val="center"/>
            </w:pPr>
            <w:r>
              <w:rPr>
                <w:rFonts w:ascii="Calibri" w:cs="Calibri" w:eastAsia="Calibri" w:hAnsi="Calibri"/>
                <w:color w:val="000000"/>
                <w:sz w:val="18"/>
                <w:szCs w:val="18"/>
              </w:rPr>
              <w:t xml:space="preserve">Fig. 8, Table 4</w:t>
            </w:r>
          </w:p>
        </w:tc>
      </w:tr>
      <w:tr>
        <w:tc>
          <w:tcPr>
            <w:tcW w:type="dxa" w:w="3300"/>
            <w:shd w:fill="F2F2F2" w:val="clear"/>
            <w:tcMar>
              <w:top w:type="dxa" w:w="60"/>
              <w:left w:type="dxa" w:w="90"/>
              <w:bottom w:type="dxa" w:w="60"/>
              <w:right w:type="dxa" w:w="90"/>
            </w:tcMar>
            <w:vAlign w:val="center"/>
          </w:tcPr>
          <w:p>
            <w:pPr>
              <w:jc w:val="left"/>
            </w:pPr>
            <w:r>
              <w:rPr>
                <w:rFonts w:ascii="Calibri" w:cs="Calibri" w:eastAsia="Calibri" w:hAnsi="Calibri"/>
                <w:color w:val="000000"/>
                <w:sz w:val="18"/>
                <w:szCs w:val="18"/>
              </w:rPr>
              <w:t xml:space="preserve">12. Which stores generated the most profit?</w:t>
            </w:r>
          </w:p>
        </w:tc>
        <w:tc>
          <w:tcPr>
            <w:tcW w:type="dxa" w:w="3600"/>
            <w:shd w:fill="F2F2F2" w:val="clear"/>
            <w:tcMar>
              <w:top w:type="dxa" w:w="60"/>
              <w:left w:type="dxa" w:w="90"/>
              <w:bottom w:type="dxa" w:w="60"/>
              <w:right w:type="dxa" w:w="90"/>
            </w:tcMar>
            <w:vAlign w:val="center"/>
          </w:tcPr>
          <w:p>
            <w:pPr>
              <w:jc w:val="center"/>
            </w:pPr>
            <w:r>
              <w:rPr>
                <w:rFonts w:ascii="Calibri" w:cs="Calibri" w:eastAsia="Calibri" w:hAnsi="Calibri"/>
                <w:color w:val="000000"/>
                <w:sz w:val="18"/>
                <w:szCs w:val="18"/>
              </w:rPr>
              <w:t xml:space="preserve">Maven Toys Ciudad de Mexico 2 ($169,856.00).</w:t>
            </w:r>
          </w:p>
        </w:tc>
        <w:tc>
          <w:tcPr>
            <w:tcW w:type="dxa" w:w="2500"/>
            <w:shd w:fill="F2F2F2" w:val="clear"/>
            <w:tcMar>
              <w:top w:type="dxa" w:w="60"/>
              <w:left w:type="dxa" w:w="90"/>
              <w:bottom w:type="dxa" w:w="60"/>
              <w:right w:type="dxa" w:w="90"/>
            </w:tcMar>
            <w:vAlign w:val="center"/>
          </w:tcPr>
          <w:p>
            <w:pPr>
              <w:jc w:val="center"/>
            </w:pPr>
            <w:r>
              <w:rPr>
                <w:rFonts w:ascii="Calibri" w:cs="Calibri" w:eastAsia="Calibri" w:hAnsi="Calibri"/>
                <w:color w:val="000000"/>
                <w:sz w:val="18"/>
                <w:szCs w:val="18"/>
              </w:rPr>
              <w:t xml:space="preserve">Fig. 9, Table 4</w:t>
            </w:r>
          </w:p>
        </w:tc>
      </w:tr>
      <w:tr>
        <w:tc>
          <w:tcPr>
            <w:tcW w:type="dxa" w:w="3300"/>
            <w:tcMar>
              <w:top w:type="dxa" w:w="60"/>
              <w:left w:type="dxa" w:w="90"/>
              <w:bottom w:type="dxa" w:w="60"/>
              <w:right w:type="dxa" w:w="90"/>
            </w:tcMar>
            <w:vAlign w:val="center"/>
          </w:tcPr>
          <w:p>
            <w:pPr>
              <w:jc w:val="left"/>
            </w:pPr>
            <w:r>
              <w:rPr>
                <w:rFonts w:ascii="Calibri" w:cs="Calibri" w:eastAsia="Calibri" w:hAnsi="Calibri"/>
                <w:color w:val="000000"/>
                <w:sz w:val="18"/>
                <w:szCs w:val="18"/>
              </w:rPr>
              <w:t xml:space="preserve">13. Which locations/cities performed best?</w:t>
            </w:r>
          </w:p>
        </w:tc>
        <w:tc>
          <w:tcPr>
            <w:tcW w:type="dxa" w:w="3600"/>
            <w:tcMar>
              <w:top w:type="dxa" w:w="60"/>
              <w:left w:type="dxa" w:w="90"/>
              <w:bottom w:type="dxa" w:w="60"/>
              <w:right w:type="dxa" w:w="90"/>
            </w:tcMar>
            <w:vAlign w:val="center"/>
          </w:tcPr>
          <w:p>
            <w:pPr>
              <w:jc w:val="center"/>
            </w:pPr>
            <w:r>
              <w:rPr>
                <w:rFonts w:ascii="Calibri" w:cs="Calibri" w:eastAsia="Calibri" w:hAnsi="Calibri"/>
                <w:color w:val="000000"/>
                <w:sz w:val="18"/>
                <w:szCs w:val="18"/>
              </w:rPr>
              <w:t xml:space="preserve">Ciudad de Mexico ($1,649,492.01 revenue, $465,558.00 profit), followed by Guadalajara and Monterrey.</w:t>
            </w:r>
          </w:p>
        </w:tc>
        <w:tc>
          <w:tcPr>
            <w:tcW w:type="dxa" w:w="2500"/>
            <w:tcMar>
              <w:top w:type="dxa" w:w="60"/>
              <w:left w:type="dxa" w:w="90"/>
              <w:bottom w:type="dxa" w:w="60"/>
              <w:right w:type="dxa" w:w="90"/>
            </w:tcMar>
            <w:vAlign w:val="center"/>
          </w:tcPr>
          <w:p>
            <w:pPr>
              <w:jc w:val="center"/>
            </w:pPr>
            <w:r>
              <w:rPr>
                <w:rFonts w:ascii="Calibri" w:cs="Calibri" w:eastAsia="Calibri" w:hAnsi="Calibri"/>
                <w:color w:val="000000"/>
                <w:sz w:val="18"/>
                <w:szCs w:val="18"/>
              </w:rPr>
              <w:t xml:space="preserve">Section 9.3</w:t>
            </w:r>
          </w:p>
        </w:tc>
      </w:tr>
      <w:tr>
        <w:tc>
          <w:tcPr>
            <w:tcW w:type="dxa" w:w="3300"/>
            <w:shd w:fill="F2F2F2" w:val="clear"/>
            <w:tcMar>
              <w:top w:type="dxa" w:w="60"/>
              <w:left w:type="dxa" w:w="90"/>
              <w:bottom w:type="dxa" w:w="60"/>
              <w:right w:type="dxa" w:w="90"/>
            </w:tcMar>
            <w:vAlign w:val="center"/>
          </w:tcPr>
          <w:p>
            <w:pPr>
              <w:jc w:val="left"/>
            </w:pPr>
            <w:r>
              <w:rPr>
                <w:rFonts w:ascii="Calibri" w:cs="Calibri" w:eastAsia="Calibri" w:hAnsi="Calibri"/>
                <w:color w:val="000000"/>
                <w:sz w:val="18"/>
                <w:szCs w:val="18"/>
              </w:rPr>
              <w:t xml:space="preserve">14. How did store performance differ?</w:t>
            </w:r>
          </w:p>
        </w:tc>
        <w:tc>
          <w:tcPr>
            <w:tcW w:type="dxa" w:w="3600"/>
            <w:shd w:fill="F2F2F2" w:val="clear"/>
            <w:tcMar>
              <w:top w:type="dxa" w:w="60"/>
              <w:left w:type="dxa" w:w="90"/>
              <w:bottom w:type="dxa" w:w="60"/>
              <w:right w:type="dxa" w:w="90"/>
            </w:tcMar>
            <w:vAlign w:val="center"/>
          </w:tcPr>
          <w:p>
            <w:pPr>
              <w:jc w:val="center"/>
            </w:pPr>
            <w:r>
              <w:rPr>
                <w:rFonts w:ascii="Calibri" w:cs="Calibri" w:eastAsia="Calibri" w:hAnsi="Calibri"/>
                <w:color w:val="000000"/>
                <w:sz w:val="18"/>
                <w:szCs w:val="18"/>
              </w:rPr>
              <w:t xml:space="preserve">Revenue ranged from $206,055.23 to $554,553.43 across the 50 stores (network average ≈ $288,891), a roughly 2.7x spread.</w:t>
            </w:r>
          </w:p>
        </w:tc>
        <w:tc>
          <w:tcPr>
            <w:tcW w:type="dxa" w:w="2500"/>
            <w:shd w:fill="F2F2F2" w:val="clear"/>
            <w:tcMar>
              <w:top w:type="dxa" w:w="60"/>
              <w:left w:type="dxa" w:w="90"/>
              <w:bottom w:type="dxa" w:w="60"/>
              <w:right w:type="dxa" w:w="90"/>
            </w:tcMar>
            <w:vAlign w:val="center"/>
          </w:tcPr>
          <w:p>
            <w:pPr>
              <w:jc w:val="center"/>
            </w:pPr>
            <w:r>
              <w:rPr>
                <w:rFonts w:ascii="Calibri" w:cs="Calibri" w:eastAsia="Calibri" w:hAnsi="Calibri"/>
                <w:color w:val="000000"/>
                <w:sz w:val="18"/>
                <w:szCs w:val="18"/>
              </w:rPr>
              <w:t xml:space="preserve">Section 9.4, store_performance.csv</w:t>
            </w:r>
          </w:p>
        </w:tc>
      </w:tr>
      <w:tr>
        <w:tc>
          <w:tcPr>
            <w:tcW w:type="dxa" w:w="3300"/>
            <w:tcMar>
              <w:top w:type="dxa" w:w="60"/>
              <w:left w:type="dxa" w:w="90"/>
              <w:bottom w:type="dxa" w:w="60"/>
              <w:right w:type="dxa" w:w="90"/>
            </w:tcMar>
            <w:vAlign w:val="center"/>
          </w:tcPr>
          <w:p>
            <w:pPr>
              <w:jc w:val="left"/>
            </w:pPr>
            <w:r>
              <w:rPr>
                <w:rFonts w:ascii="Calibri" w:cs="Calibri" w:eastAsia="Calibri" w:hAnsi="Calibri"/>
                <w:color w:val="000000"/>
                <w:sz w:val="18"/>
                <w:szCs w:val="18"/>
              </w:rPr>
              <w:t xml:space="preserve">15. Which stores showed weaker performance?</w:t>
            </w:r>
          </w:p>
        </w:tc>
        <w:tc>
          <w:tcPr>
            <w:tcW w:type="dxa" w:w="3600"/>
            <w:tcMar>
              <w:top w:type="dxa" w:w="60"/>
              <w:left w:type="dxa" w:w="90"/>
              <w:bottom w:type="dxa" w:w="60"/>
              <w:right w:type="dxa" w:w="90"/>
            </w:tcMar>
            <w:vAlign w:val="center"/>
          </w:tcPr>
          <w:p>
            <w:pPr>
              <w:jc w:val="center"/>
            </w:pPr>
            <w:r>
              <w:rPr>
                <w:rFonts w:ascii="Calibri" w:cs="Calibri" w:eastAsia="Calibri" w:hAnsi="Calibri"/>
                <w:color w:val="000000"/>
                <w:sz w:val="18"/>
                <w:szCs w:val="18"/>
              </w:rPr>
              <w:t xml:space="preserve">Maven Toys Campeche 2, La Paz 1, and Cuernavaca 1 had the lowest revenue; Cuernavaca 1 had the lowest profit.</w:t>
            </w:r>
          </w:p>
        </w:tc>
        <w:tc>
          <w:tcPr>
            <w:tcW w:type="dxa" w:w="2500"/>
            <w:tcMar>
              <w:top w:type="dxa" w:w="60"/>
              <w:left w:type="dxa" w:w="90"/>
              <w:bottom w:type="dxa" w:w="60"/>
              <w:right w:type="dxa" w:w="90"/>
            </w:tcMar>
            <w:vAlign w:val="center"/>
          </w:tcPr>
          <w:p>
            <w:pPr>
              <w:jc w:val="center"/>
            </w:pPr>
            <w:r>
              <w:rPr>
                <w:rFonts w:ascii="Calibri" w:cs="Calibri" w:eastAsia="Calibri" w:hAnsi="Calibri"/>
                <w:color w:val="000000"/>
                <w:sz w:val="18"/>
                <w:szCs w:val="18"/>
              </w:rPr>
              <w:t xml:space="preserve">Section 9.4</w:t>
            </w:r>
          </w:p>
        </w:tc>
      </w:tr>
      <w:tr>
        <w:tc>
          <w:tcPr>
            <w:tcW w:type="dxa" w:w="3300"/>
            <w:shd w:fill="F2F2F2" w:val="clear"/>
            <w:tcMar>
              <w:top w:type="dxa" w:w="60"/>
              <w:left w:type="dxa" w:w="90"/>
              <w:bottom w:type="dxa" w:w="60"/>
              <w:right w:type="dxa" w:w="90"/>
            </w:tcMar>
            <w:vAlign w:val="center"/>
          </w:tcPr>
          <w:p>
            <w:pPr>
              <w:jc w:val="left"/>
            </w:pPr>
            <w:r>
              <w:rPr>
                <w:rFonts w:ascii="Calibri" w:cs="Calibri" w:eastAsia="Calibri" w:hAnsi="Calibri"/>
                <w:color w:val="000000"/>
                <w:sz w:val="18"/>
                <w:szCs w:val="18"/>
              </w:rPr>
              <w:t xml:space="preserve">16. Which products had high sales but relatively low inventory?</w:t>
            </w:r>
          </w:p>
        </w:tc>
        <w:tc>
          <w:tcPr>
            <w:tcW w:type="dxa" w:w="3600"/>
            <w:shd w:fill="F2F2F2" w:val="clear"/>
            <w:tcMar>
              <w:top w:type="dxa" w:w="60"/>
              <w:left w:type="dxa" w:w="90"/>
              <w:bottom w:type="dxa" w:w="60"/>
              <w:right w:type="dxa" w:w="90"/>
            </w:tcMar>
            <w:vAlign w:val="center"/>
          </w:tcPr>
          <w:p>
            <w:pPr>
              <w:jc w:val="center"/>
            </w:pPr>
            <w:r>
              <w:rPr>
                <w:rFonts w:ascii="Calibri" w:cs="Calibri" w:eastAsia="Calibri" w:hAnsi="Calibri"/>
                <w:color w:val="000000"/>
                <w:sz w:val="18"/>
                <w:szCs w:val="18"/>
              </w:rPr>
              <w:t xml:space="preserve">Action Figure, Colorbuds, Dart Gun, Barrel O' Slime and Magic Sand each appear with only 1–3 units on hand at individual stores against tens of thousands of historical units sold.</w:t>
            </w:r>
          </w:p>
        </w:tc>
        <w:tc>
          <w:tcPr>
            <w:tcW w:type="dxa" w:w="2500"/>
            <w:shd w:fill="F2F2F2" w:val="clear"/>
            <w:tcMar>
              <w:top w:type="dxa" w:w="60"/>
              <w:left w:type="dxa" w:w="90"/>
              <w:bottom w:type="dxa" w:w="60"/>
              <w:right w:type="dxa" w:w="90"/>
            </w:tcMar>
            <w:vAlign w:val="center"/>
          </w:tcPr>
          <w:p>
            <w:pPr>
              <w:jc w:val="center"/>
            </w:pPr>
            <w:r>
              <w:rPr>
                <w:rFonts w:ascii="Calibri" w:cs="Calibri" w:eastAsia="Calibri" w:hAnsi="Calibri"/>
                <w:color w:val="000000"/>
                <w:sz w:val="18"/>
                <w:szCs w:val="18"/>
              </w:rPr>
              <w:t xml:space="preserve">Section 10.2</w:t>
            </w:r>
          </w:p>
        </w:tc>
      </w:tr>
      <w:tr>
        <w:tc>
          <w:tcPr>
            <w:tcW w:type="dxa" w:w="3300"/>
            <w:tcMar>
              <w:top w:type="dxa" w:w="60"/>
              <w:left w:type="dxa" w:w="90"/>
              <w:bottom w:type="dxa" w:w="60"/>
              <w:right w:type="dxa" w:w="90"/>
            </w:tcMar>
            <w:vAlign w:val="center"/>
          </w:tcPr>
          <w:p>
            <w:pPr>
              <w:jc w:val="left"/>
            </w:pPr>
            <w:r>
              <w:rPr>
                <w:rFonts w:ascii="Calibri" w:cs="Calibri" w:eastAsia="Calibri" w:hAnsi="Calibri"/>
                <w:color w:val="000000"/>
                <w:sz w:val="18"/>
                <w:szCs w:val="18"/>
              </w:rPr>
              <w:t xml:space="preserve">17. Which products appeared to be fast-moving?</w:t>
            </w:r>
          </w:p>
        </w:tc>
        <w:tc>
          <w:tcPr>
            <w:tcW w:type="dxa" w:w="3600"/>
            <w:tcMar>
              <w:top w:type="dxa" w:w="60"/>
              <w:left w:type="dxa" w:w="90"/>
              <w:bottom w:type="dxa" w:w="60"/>
              <w:right w:type="dxa" w:w="90"/>
            </w:tcMar>
            <w:vAlign w:val="center"/>
          </w:tcPr>
          <w:p>
            <w:pPr>
              <w:jc w:val="center"/>
            </w:pPr>
            <w:r>
              <w:rPr>
                <w:rFonts w:ascii="Calibri" w:cs="Calibri" w:eastAsia="Calibri" w:hAnsi="Calibri"/>
                <w:color w:val="000000"/>
                <w:sz w:val="18"/>
                <w:szCs w:val="18"/>
              </w:rPr>
              <w:t xml:space="preserve">The same products above show the highest sales-velocity ratios in the dataset (e.g. Action Figure at 57,958).</w:t>
            </w:r>
          </w:p>
        </w:tc>
        <w:tc>
          <w:tcPr>
            <w:tcW w:type="dxa" w:w="2500"/>
            <w:tcMar>
              <w:top w:type="dxa" w:w="60"/>
              <w:left w:type="dxa" w:w="90"/>
              <w:bottom w:type="dxa" w:w="60"/>
              <w:right w:type="dxa" w:w="90"/>
            </w:tcMar>
            <w:vAlign w:val="center"/>
          </w:tcPr>
          <w:p>
            <w:pPr>
              <w:jc w:val="center"/>
            </w:pPr>
            <w:r>
              <w:rPr>
                <w:rFonts w:ascii="Calibri" w:cs="Calibri" w:eastAsia="Calibri" w:hAnsi="Calibri"/>
                <w:color w:val="000000"/>
                <w:sz w:val="18"/>
                <w:szCs w:val="18"/>
              </w:rPr>
              <w:t xml:space="preserve">Section 10.2, inventory_analysis.csv</w:t>
            </w:r>
          </w:p>
        </w:tc>
      </w:tr>
      <w:tr>
        <w:tc>
          <w:tcPr>
            <w:tcW w:type="dxa" w:w="3300"/>
            <w:shd w:fill="F2F2F2" w:val="clear"/>
            <w:tcMar>
              <w:top w:type="dxa" w:w="60"/>
              <w:left w:type="dxa" w:w="90"/>
              <w:bottom w:type="dxa" w:w="60"/>
              <w:right w:type="dxa" w:w="90"/>
            </w:tcMar>
            <w:vAlign w:val="center"/>
          </w:tcPr>
          <w:p>
            <w:pPr>
              <w:jc w:val="left"/>
            </w:pPr>
            <w:r>
              <w:rPr>
                <w:rFonts w:ascii="Calibri" w:cs="Calibri" w:eastAsia="Calibri" w:hAnsi="Calibri"/>
                <w:color w:val="000000"/>
                <w:sz w:val="18"/>
                <w:szCs w:val="18"/>
              </w:rPr>
              <w:t xml:space="preserve">18. Which products may require inventory attention?</w:t>
            </w:r>
          </w:p>
        </w:tc>
        <w:tc>
          <w:tcPr>
            <w:tcW w:type="dxa" w:w="3600"/>
            <w:shd w:fill="F2F2F2" w:val="clear"/>
            <w:tcMar>
              <w:top w:type="dxa" w:w="60"/>
              <w:left w:type="dxa" w:w="90"/>
              <w:bottom w:type="dxa" w:w="60"/>
              <w:right w:type="dxa" w:w="90"/>
            </w:tcMar>
            <w:vAlign w:val="center"/>
          </w:tcPr>
          <w:p>
            <w:pPr>
              <w:jc w:val="center"/>
            </w:pPr>
            <w:r>
              <w:rPr>
                <w:rFonts w:ascii="Calibri" w:cs="Calibri" w:eastAsia="Calibri" w:hAnsi="Calibri"/>
                <w:color w:val="000000"/>
                <w:sz w:val="18"/>
                <w:szCs w:val="18"/>
              </w:rPr>
              <w:t xml:space="preserve">226 of 1,593 store-product records (14.2%) are flagged low_inventory_flag = True, including several with 0 units on hand.</w:t>
            </w:r>
          </w:p>
        </w:tc>
        <w:tc>
          <w:tcPr>
            <w:tcW w:type="dxa" w:w="2500"/>
            <w:shd w:fill="F2F2F2" w:val="clear"/>
            <w:tcMar>
              <w:top w:type="dxa" w:w="60"/>
              <w:left w:type="dxa" w:w="90"/>
              <w:bottom w:type="dxa" w:w="60"/>
              <w:right w:type="dxa" w:w="90"/>
            </w:tcMar>
            <w:vAlign w:val="center"/>
          </w:tcPr>
          <w:p>
            <w:pPr>
              <w:jc w:val="center"/>
            </w:pPr>
            <w:r>
              <w:rPr>
                <w:rFonts w:ascii="Calibri" w:cs="Calibri" w:eastAsia="Calibri" w:hAnsi="Calibri"/>
                <w:color w:val="000000"/>
                <w:sz w:val="18"/>
                <w:szCs w:val="18"/>
              </w:rPr>
              <w:t xml:space="preserve">Section 10.1, 10.3</w:t>
            </w:r>
          </w:p>
        </w:tc>
      </w:tr>
      <w:tr>
        <w:tc>
          <w:tcPr>
            <w:tcW w:type="dxa" w:w="3300"/>
            <w:tcMar>
              <w:top w:type="dxa" w:w="60"/>
              <w:left w:type="dxa" w:w="90"/>
              <w:bottom w:type="dxa" w:w="60"/>
              <w:right w:type="dxa" w:w="90"/>
            </w:tcMar>
            <w:vAlign w:val="center"/>
          </w:tcPr>
          <w:p>
            <w:pPr>
              <w:jc w:val="left"/>
            </w:pPr>
            <w:r>
              <w:rPr>
                <w:rFonts w:ascii="Calibri" w:cs="Calibri" w:eastAsia="Calibri" w:hAnsi="Calibri"/>
                <w:color w:val="000000"/>
                <w:sz w:val="18"/>
                <w:szCs w:val="18"/>
              </w:rPr>
              <w:t xml:space="preserve">19. Were there products with relatively high inventory but weak sales?</w:t>
            </w:r>
          </w:p>
        </w:tc>
        <w:tc>
          <w:tcPr>
            <w:tcW w:type="dxa" w:w="3600"/>
            <w:tcMar>
              <w:top w:type="dxa" w:w="60"/>
              <w:left w:type="dxa" w:w="90"/>
              <w:bottom w:type="dxa" w:w="60"/>
              <w:right w:type="dxa" w:w="90"/>
            </w:tcMar>
            <w:vAlign w:val="center"/>
          </w:tcPr>
          <w:p>
            <w:pPr>
              <w:jc w:val="center"/>
            </w:pPr>
            <w:r>
              <w:rPr>
                <w:rFonts w:ascii="Calibri" w:cs="Calibri" w:eastAsia="Calibri" w:hAnsi="Calibri"/>
                <w:color w:val="000000"/>
                <w:sz w:val="18"/>
                <w:szCs w:val="18"/>
              </w:rPr>
              <w:t xml:space="preserve">Yes — records for Uno Card Game, Mini Basketball Hoop, Playfoam and Plush Pony show comparatively high stock against low sales velocity.</w:t>
            </w:r>
          </w:p>
        </w:tc>
        <w:tc>
          <w:tcPr>
            <w:tcW w:type="dxa" w:w="2500"/>
            <w:tcMar>
              <w:top w:type="dxa" w:w="60"/>
              <w:left w:type="dxa" w:w="90"/>
              <w:bottom w:type="dxa" w:w="60"/>
              <w:right w:type="dxa" w:w="90"/>
            </w:tcMar>
            <w:vAlign w:val="center"/>
          </w:tcPr>
          <w:p>
            <w:pPr>
              <w:jc w:val="center"/>
            </w:pPr>
            <w:r>
              <w:rPr>
                <w:rFonts w:ascii="Calibri" w:cs="Calibri" w:eastAsia="Calibri" w:hAnsi="Calibri"/>
                <w:color w:val="000000"/>
                <w:sz w:val="18"/>
                <w:szCs w:val="18"/>
              </w:rPr>
              <w:t xml:space="preserve">Section 10.4</w:t>
            </w:r>
          </w:p>
        </w:tc>
      </w:tr>
      <w:tr>
        <w:tc>
          <w:tcPr>
            <w:tcW w:type="dxa" w:w="3300"/>
            <w:shd w:fill="F2F2F2" w:val="clear"/>
            <w:tcMar>
              <w:top w:type="dxa" w:w="60"/>
              <w:left w:type="dxa" w:w="90"/>
              <w:bottom w:type="dxa" w:w="60"/>
              <w:right w:type="dxa" w:w="90"/>
            </w:tcMar>
            <w:vAlign w:val="center"/>
          </w:tcPr>
          <w:p>
            <w:pPr>
              <w:jc w:val="left"/>
            </w:pPr>
            <w:r>
              <w:rPr>
                <w:rFonts w:ascii="Calibri" w:cs="Calibri" w:eastAsia="Calibri" w:hAnsi="Calibri"/>
                <w:color w:val="000000"/>
                <w:sz w:val="18"/>
                <w:szCs w:val="18"/>
              </w:rPr>
              <w:t xml:space="preserve">20. What was the overall profit?</w:t>
            </w:r>
          </w:p>
        </w:tc>
        <w:tc>
          <w:tcPr>
            <w:tcW w:type="dxa" w:w="3600"/>
            <w:shd w:fill="F2F2F2" w:val="clear"/>
            <w:tcMar>
              <w:top w:type="dxa" w:w="60"/>
              <w:left w:type="dxa" w:w="90"/>
              <w:bottom w:type="dxa" w:w="60"/>
              <w:right w:type="dxa" w:w="90"/>
            </w:tcMar>
            <w:vAlign w:val="center"/>
          </w:tcPr>
          <w:p>
            <w:pPr>
              <w:jc w:val="center"/>
            </w:pPr>
            <w:r>
              <w:rPr>
                <w:rFonts w:ascii="Calibri" w:cs="Calibri" w:eastAsia="Calibri" w:hAnsi="Calibri"/>
                <w:color w:val="000000"/>
                <w:sz w:val="18"/>
                <w:szCs w:val="18"/>
              </w:rPr>
              <w:t xml:space="preserve">$4,014,029.00.</w:t>
            </w:r>
          </w:p>
        </w:tc>
        <w:tc>
          <w:tcPr>
            <w:tcW w:type="dxa" w:w="2500"/>
            <w:shd w:fill="F2F2F2" w:val="clear"/>
            <w:tcMar>
              <w:top w:type="dxa" w:w="60"/>
              <w:left w:type="dxa" w:w="90"/>
              <w:bottom w:type="dxa" w:w="60"/>
              <w:right w:type="dxa" w:w="90"/>
            </w:tcMar>
            <w:vAlign w:val="center"/>
          </w:tcPr>
          <w:p>
            <w:pPr>
              <w:jc w:val="center"/>
            </w:pPr>
            <w:r>
              <w:rPr>
                <w:rFonts w:ascii="Calibri" w:cs="Calibri" w:eastAsia="Calibri" w:hAnsi="Calibri"/>
                <w:color w:val="000000"/>
                <w:sz w:val="18"/>
                <w:szCs w:val="18"/>
              </w:rPr>
              <w:t xml:space="preserve">Section 11.1</w:t>
            </w:r>
          </w:p>
        </w:tc>
      </w:tr>
      <w:tr>
        <w:tc>
          <w:tcPr>
            <w:tcW w:type="dxa" w:w="3300"/>
            <w:tcMar>
              <w:top w:type="dxa" w:w="60"/>
              <w:left w:type="dxa" w:w="90"/>
              <w:bottom w:type="dxa" w:w="60"/>
              <w:right w:type="dxa" w:w="90"/>
            </w:tcMar>
            <w:vAlign w:val="center"/>
          </w:tcPr>
          <w:p>
            <w:pPr>
              <w:jc w:val="left"/>
            </w:pPr>
            <w:r>
              <w:rPr>
                <w:rFonts w:ascii="Calibri" w:cs="Calibri" w:eastAsia="Calibri" w:hAnsi="Calibri"/>
                <w:color w:val="000000"/>
                <w:sz w:val="18"/>
                <w:szCs w:val="18"/>
              </w:rPr>
              <w:t xml:space="preserve">21. What was the overall profit margin?</w:t>
            </w:r>
          </w:p>
        </w:tc>
        <w:tc>
          <w:tcPr>
            <w:tcW w:type="dxa" w:w="3600"/>
            <w:tcMar>
              <w:top w:type="dxa" w:w="60"/>
              <w:left w:type="dxa" w:w="90"/>
              <w:bottom w:type="dxa" w:w="60"/>
              <w:right w:type="dxa" w:w="90"/>
            </w:tcMar>
            <w:vAlign w:val="center"/>
          </w:tcPr>
          <w:p>
            <w:pPr>
              <w:jc w:val="center"/>
            </w:pPr>
            <w:r>
              <w:rPr>
                <w:rFonts w:ascii="Calibri" w:cs="Calibri" w:eastAsia="Calibri" w:hAnsi="Calibri"/>
                <w:color w:val="000000"/>
                <w:sz w:val="18"/>
                <w:szCs w:val="18"/>
              </w:rPr>
              <w:t xml:space="preserve">27.79%.</w:t>
            </w:r>
          </w:p>
        </w:tc>
        <w:tc>
          <w:tcPr>
            <w:tcW w:type="dxa" w:w="2500"/>
            <w:tcMar>
              <w:top w:type="dxa" w:w="60"/>
              <w:left w:type="dxa" w:w="90"/>
              <w:bottom w:type="dxa" w:w="60"/>
              <w:right w:type="dxa" w:w="90"/>
            </w:tcMar>
            <w:vAlign w:val="center"/>
          </w:tcPr>
          <w:p>
            <w:pPr>
              <w:jc w:val="center"/>
            </w:pPr>
            <w:r>
              <w:rPr>
                <w:rFonts w:ascii="Calibri" w:cs="Calibri" w:eastAsia="Calibri" w:hAnsi="Calibri"/>
                <w:color w:val="000000"/>
                <w:sz w:val="18"/>
                <w:szCs w:val="18"/>
              </w:rPr>
              <w:t xml:space="preserve">Section 11.1</w:t>
            </w:r>
          </w:p>
        </w:tc>
      </w:tr>
      <w:tr>
        <w:tc>
          <w:tcPr>
            <w:tcW w:type="dxa" w:w="3300"/>
            <w:shd w:fill="F2F2F2" w:val="clear"/>
            <w:tcMar>
              <w:top w:type="dxa" w:w="60"/>
              <w:left w:type="dxa" w:w="90"/>
              <w:bottom w:type="dxa" w:w="60"/>
              <w:right w:type="dxa" w:w="90"/>
            </w:tcMar>
            <w:vAlign w:val="center"/>
          </w:tcPr>
          <w:p>
            <w:pPr>
              <w:jc w:val="left"/>
            </w:pPr>
            <w:r>
              <w:rPr>
                <w:rFonts w:ascii="Calibri" w:cs="Calibri" w:eastAsia="Calibri" w:hAnsi="Calibri"/>
                <w:color w:val="000000"/>
                <w:sz w:val="18"/>
                <w:szCs w:val="18"/>
              </w:rPr>
              <w:t xml:space="preserve">22. Which categories were most profitable?</w:t>
            </w:r>
          </w:p>
        </w:tc>
        <w:tc>
          <w:tcPr>
            <w:tcW w:type="dxa" w:w="3600"/>
            <w:shd w:fill="F2F2F2" w:val="clear"/>
            <w:tcMar>
              <w:top w:type="dxa" w:w="60"/>
              <w:left w:type="dxa" w:w="90"/>
              <w:bottom w:type="dxa" w:w="60"/>
              <w:right w:type="dxa" w:w="90"/>
            </w:tcMar>
            <w:vAlign w:val="center"/>
          </w:tcPr>
          <w:p>
            <w:pPr>
              <w:jc w:val="center"/>
            </w:pPr>
            <w:r>
              <w:rPr>
                <w:rFonts w:ascii="Calibri" w:cs="Calibri" w:eastAsia="Calibri" w:hAnsi="Calibri"/>
                <w:color w:val="000000"/>
                <w:sz w:val="18"/>
                <w:szCs w:val="18"/>
              </w:rPr>
              <w:t xml:space="preserve">Electronics had the highest margin (44.57%); Toys had the highest absolute profit ($1,079,527.00).</w:t>
            </w:r>
          </w:p>
        </w:tc>
        <w:tc>
          <w:tcPr>
            <w:tcW w:type="dxa" w:w="2500"/>
            <w:shd w:fill="F2F2F2" w:val="clear"/>
            <w:tcMar>
              <w:top w:type="dxa" w:w="60"/>
              <w:left w:type="dxa" w:w="90"/>
              <w:bottom w:type="dxa" w:w="60"/>
              <w:right w:type="dxa" w:w="90"/>
            </w:tcMar>
            <w:vAlign w:val="center"/>
          </w:tcPr>
          <w:p>
            <w:pPr>
              <w:jc w:val="center"/>
            </w:pPr>
            <w:r>
              <w:rPr>
                <w:rFonts w:ascii="Calibri" w:cs="Calibri" w:eastAsia="Calibri" w:hAnsi="Calibri"/>
                <w:color w:val="000000"/>
                <w:sz w:val="18"/>
                <w:szCs w:val="18"/>
              </w:rPr>
              <w:t xml:space="preserve">Table 3</w:t>
            </w:r>
          </w:p>
        </w:tc>
      </w:tr>
      <w:tr>
        <w:tc>
          <w:tcPr>
            <w:tcW w:type="dxa" w:w="3300"/>
            <w:tcMar>
              <w:top w:type="dxa" w:w="60"/>
              <w:left w:type="dxa" w:w="90"/>
              <w:bottom w:type="dxa" w:w="60"/>
              <w:right w:type="dxa" w:w="90"/>
            </w:tcMar>
            <w:vAlign w:val="center"/>
          </w:tcPr>
          <w:p>
            <w:pPr>
              <w:jc w:val="left"/>
            </w:pPr>
            <w:r>
              <w:rPr>
                <w:rFonts w:ascii="Calibri" w:cs="Calibri" w:eastAsia="Calibri" w:hAnsi="Calibri"/>
                <w:color w:val="000000"/>
                <w:sz w:val="18"/>
                <w:szCs w:val="18"/>
              </w:rPr>
              <w:t xml:space="preserve">23. Which products had the strongest margins?</w:t>
            </w:r>
          </w:p>
        </w:tc>
        <w:tc>
          <w:tcPr>
            <w:tcW w:type="dxa" w:w="3600"/>
            <w:tcMar>
              <w:top w:type="dxa" w:w="60"/>
              <w:left w:type="dxa" w:w="90"/>
              <w:bottom w:type="dxa" w:w="60"/>
              <w:right w:type="dxa" w:w="90"/>
            </w:tcMar>
            <w:vAlign w:val="center"/>
          </w:tcPr>
          <w:p>
            <w:pPr>
              <w:jc w:val="center"/>
            </w:pPr>
            <w:r>
              <w:rPr>
                <w:rFonts w:ascii="Calibri" w:cs="Calibri" w:eastAsia="Calibri" w:hAnsi="Calibri"/>
                <w:color w:val="000000"/>
                <w:sz w:val="18"/>
                <w:szCs w:val="18"/>
              </w:rPr>
              <w:t xml:space="preserve">Jenga (70.07%), Mini Basketball Hoop (64.03%) and Playfoam (63.69%).</w:t>
            </w:r>
          </w:p>
        </w:tc>
        <w:tc>
          <w:tcPr>
            <w:tcW w:type="dxa" w:w="2500"/>
            <w:tcMar>
              <w:top w:type="dxa" w:w="60"/>
              <w:left w:type="dxa" w:w="90"/>
              <w:bottom w:type="dxa" w:w="60"/>
              <w:right w:type="dxa" w:w="90"/>
            </w:tcMar>
            <w:vAlign w:val="center"/>
          </w:tcPr>
          <w:p>
            <w:pPr>
              <w:jc w:val="center"/>
            </w:pPr>
            <w:r>
              <w:rPr>
                <w:rFonts w:ascii="Calibri" w:cs="Calibri" w:eastAsia="Calibri" w:hAnsi="Calibri"/>
                <w:color w:val="000000"/>
                <w:sz w:val="18"/>
                <w:szCs w:val="18"/>
              </w:rPr>
              <w:t xml:space="preserve">Fig. 6</w:t>
            </w:r>
          </w:p>
        </w:tc>
      </w:tr>
      <w:tr>
        <w:tc>
          <w:tcPr>
            <w:tcW w:type="dxa" w:w="3300"/>
            <w:shd w:fill="F2F2F2" w:val="clear"/>
            <w:tcMar>
              <w:top w:type="dxa" w:w="60"/>
              <w:left w:type="dxa" w:w="90"/>
              <w:bottom w:type="dxa" w:w="60"/>
              <w:right w:type="dxa" w:w="90"/>
            </w:tcMar>
            <w:vAlign w:val="center"/>
          </w:tcPr>
          <w:p>
            <w:pPr>
              <w:jc w:val="left"/>
            </w:pPr>
            <w:r>
              <w:rPr>
                <w:rFonts w:ascii="Calibri" w:cs="Calibri" w:eastAsia="Calibri" w:hAnsi="Calibri"/>
                <w:color w:val="000000"/>
                <w:sz w:val="18"/>
                <w:szCs w:val="18"/>
              </w:rPr>
              <w:t xml:space="preserve">24. Which products generated high revenue but comparatively low margins?</w:t>
            </w:r>
          </w:p>
        </w:tc>
        <w:tc>
          <w:tcPr>
            <w:tcW w:type="dxa" w:w="3600"/>
            <w:shd w:fill="F2F2F2" w:val="clear"/>
            <w:tcMar>
              <w:top w:type="dxa" w:w="60"/>
              <w:left w:type="dxa" w:w="90"/>
              <w:bottom w:type="dxa" w:w="60"/>
              <w:right w:type="dxa" w:w="90"/>
            </w:tcMar>
            <w:vAlign w:val="center"/>
          </w:tcPr>
          <w:p>
            <w:pPr>
              <w:jc w:val="center"/>
            </w:pPr>
            <w:r>
              <w:rPr>
                <w:rFonts w:ascii="Calibri" w:cs="Calibri" w:eastAsia="Calibri" w:hAnsi="Calibri"/>
                <w:color w:val="000000"/>
                <w:sz w:val="18"/>
                <w:szCs w:val="18"/>
              </w:rPr>
              <w:t xml:space="preserve">Lego Bricks, Magic Sand and Rubik's Cube (see Q9).</w:t>
            </w:r>
          </w:p>
        </w:tc>
        <w:tc>
          <w:tcPr>
            <w:tcW w:type="dxa" w:w="2500"/>
            <w:shd w:fill="F2F2F2" w:val="clear"/>
            <w:tcMar>
              <w:top w:type="dxa" w:w="60"/>
              <w:left w:type="dxa" w:w="90"/>
              <w:bottom w:type="dxa" w:w="60"/>
              <w:right w:type="dxa" w:w="90"/>
            </w:tcMar>
            <w:vAlign w:val="center"/>
          </w:tcPr>
          <w:p>
            <w:pPr>
              <w:jc w:val="center"/>
            </w:pPr>
            <w:r>
              <w:rPr>
                <w:rFonts w:ascii="Calibri" w:cs="Calibri" w:eastAsia="Calibri" w:hAnsi="Calibri"/>
                <w:color w:val="000000"/>
                <w:sz w:val="18"/>
                <w:szCs w:val="18"/>
              </w:rPr>
              <w:t xml:space="preserve">Section 11.4</w:t>
            </w:r>
          </w:p>
        </w:tc>
      </w:tr>
      <w:tr>
        <w:tc>
          <w:tcPr>
            <w:tcW w:type="dxa" w:w="3300"/>
            <w:tcMar>
              <w:top w:type="dxa" w:w="60"/>
              <w:left w:type="dxa" w:w="90"/>
              <w:bottom w:type="dxa" w:w="60"/>
              <w:right w:type="dxa" w:w="90"/>
            </w:tcMar>
            <w:vAlign w:val="center"/>
          </w:tcPr>
          <w:p>
            <w:pPr>
              <w:jc w:val="left"/>
            </w:pPr>
            <w:r>
              <w:rPr>
                <w:rFonts w:ascii="Calibri" w:cs="Calibri" w:eastAsia="Calibri" w:hAnsi="Calibri"/>
                <w:color w:val="000000"/>
                <w:sz w:val="18"/>
                <w:szCs w:val="18"/>
              </w:rPr>
              <w:t xml:space="preserve">25. Were there noticeable seasonal patterns?</w:t>
            </w:r>
          </w:p>
        </w:tc>
        <w:tc>
          <w:tcPr>
            <w:tcW w:type="dxa" w:w="3600"/>
            <w:tcMar>
              <w:top w:type="dxa" w:w="60"/>
              <w:left w:type="dxa" w:w="90"/>
              <w:bottom w:type="dxa" w:w="60"/>
              <w:right w:type="dxa" w:w="90"/>
            </w:tcMar>
            <w:vAlign w:val="center"/>
          </w:tcPr>
          <w:p>
            <w:pPr>
              <w:jc w:val="center"/>
            </w:pPr>
            <w:r>
              <w:rPr>
                <w:rFonts w:ascii="Calibri" w:cs="Calibri" w:eastAsia="Calibri" w:hAnsi="Calibri"/>
                <w:color w:val="000000"/>
                <w:sz w:val="18"/>
                <w:szCs w:val="18"/>
              </w:rPr>
              <w:t xml:space="preserve">Yes — a year-end rise into Nov/Dec, a smaller rise around March, and a mid-year (Jul/Aug) softening, most pronounced in Aug 2022.</w:t>
            </w:r>
          </w:p>
        </w:tc>
        <w:tc>
          <w:tcPr>
            <w:tcW w:type="dxa" w:w="2500"/>
            <w:tcMar>
              <w:top w:type="dxa" w:w="60"/>
              <w:left w:type="dxa" w:w="90"/>
              <w:bottom w:type="dxa" w:w="60"/>
              <w:right w:type="dxa" w:w="90"/>
            </w:tcMar>
            <w:vAlign w:val="center"/>
          </w:tcPr>
          <w:p>
            <w:pPr>
              <w:jc w:val="center"/>
            </w:pPr>
            <w:r>
              <w:rPr>
                <w:rFonts w:ascii="Calibri" w:cs="Calibri" w:eastAsia="Calibri" w:hAnsi="Calibri"/>
                <w:color w:val="000000"/>
                <w:sz w:val="18"/>
                <w:szCs w:val="18"/>
              </w:rPr>
              <w:t xml:space="preserve">Fig. 11, Section 12.1</w:t>
            </w:r>
          </w:p>
        </w:tc>
      </w:tr>
      <w:tr>
        <w:tc>
          <w:tcPr>
            <w:tcW w:type="dxa" w:w="3300"/>
            <w:shd w:fill="F2F2F2" w:val="clear"/>
            <w:tcMar>
              <w:top w:type="dxa" w:w="60"/>
              <w:left w:type="dxa" w:w="90"/>
              <w:bottom w:type="dxa" w:w="60"/>
              <w:right w:type="dxa" w:w="90"/>
            </w:tcMar>
            <w:vAlign w:val="center"/>
          </w:tcPr>
          <w:p>
            <w:pPr>
              <w:jc w:val="left"/>
            </w:pPr>
            <w:r>
              <w:rPr>
                <w:rFonts w:ascii="Calibri" w:cs="Calibri" w:eastAsia="Calibri" w:hAnsi="Calibri"/>
                <w:color w:val="000000"/>
                <w:sz w:val="18"/>
                <w:szCs w:val="18"/>
              </w:rPr>
              <w:t xml:space="preserve">26. Which periods had the highest revenue?</w:t>
            </w:r>
          </w:p>
        </w:tc>
        <w:tc>
          <w:tcPr>
            <w:tcW w:type="dxa" w:w="3600"/>
            <w:shd w:fill="F2F2F2" w:val="clear"/>
            <w:tcMar>
              <w:top w:type="dxa" w:w="60"/>
              <w:left w:type="dxa" w:w="90"/>
              <w:bottom w:type="dxa" w:w="60"/>
              <w:right w:type="dxa" w:w="90"/>
            </w:tcMar>
            <w:vAlign w:val="center"/>
          </w:tcPr>
          <w:p>
            <w:pPr>
              <w:jc w:val="center"/>
            </w:pPr>
            <w:r>
              <w:rPr>
                <w:rFonts w:ascii="Calibri" w:cs="Calibri" w:eastAsia="Calibri" w:hAnsi="Calibri"/>
                <w:color w:val="000000"/>
                <w:sz w:val="18"/>
                <w:szCs w:val="18"/>
              </w:rPr>
              <w:t xml:space="preserve">March 2023 (month); 2023 Q2 (quarter, $2,461,309.81).</w:t>
            </w:r>
          </w:p>
        </w:tc>
        <w:tc>
          <w:tcPr>
            <w:tcW w:type="dxa" w:w="2500"/>
            <w:shd w:fill="F2F2F2" w:val="clear"/>
            <w:tcMar>
              <w:top w:type="dxa" w:w="60"/>
              <w:left w:type="dxa" w:w="90"/>
              <w:bottom w:type="dxa" w:w="60"/>
              <w:right w:type="dxa" w:w="90"/>
            </w:tcMar>
            <w:vAlign w:val="center"/>
          </w:tcPr>
          <w:p>
            <w:pPr>
              <w:jc w:val="center"/>
            </w:pPr>
            <w:r>
              <w:rPr>
                <w:rFonts w:ascii="Calibri" w:cs="Calibri" w:eastAsia="Calibri" w:hAnsi="Calibri"/>
                <w:color w:val="000000"/>
                <w:sz w:val="18"/>
                <w:szCs w:val="18"/>
              </w:rPr>
              <w:t xml:space="preserve">Section 12.2</w:t>
            </w:r>
          </w:p>
        </w:tc>
      </w:tr>
      <w:tr>
        <w:tc>
          <w:tcPr>
            <w:tcW w:type="dxa" w:w="3300"/>
            <w:tcMar>
              <w:top w:type="dxa" w:w="60"/>
              <w:left w:type="dxa" w:w="90"/>
              <w:bottom w:type="dxa" w:w="60"/>
              <w:right w:type="dxa" w:w="90"/>
            </w:tcMar>
            <w:vAlign w:val="center"/>
          </w:tcPr>
          <w:p>
            <w:pPr>
              <w:jc w:val="left"/>
            </w:pPr>
            <w:r>
              <w:rPr>
                <w:rFonts w:ascii="Calibri" w:cs="Calibri" w:eastAsia="Calibri" w:hAnsi="Calibri"/>
                <w:color w:val="000000"/>
                <w:sz w:val="18"/>
                <w:szCs w:val="18"/>
              </w:rPr>
              <w:t xml:space="preserve">27. Which periods had the highest profit?</w:t>
            </w:r>
          </w:p>
        </w:tc>
        <w:tc>
          <w:tcPr>
            <w:tcW w:type="dxa" w:w="3600"/>
            <w:tcMar>
              <w:top w:type="dxa" w:w="60"/>
              <w:left w:type="dxa" w:w="90"/>
              <w:bottom w:type="dxa" w:w="60"/>
              <w:right w:type="dxa" w:w="90"/>
            </w:tcMar>
            <w:vAlign w:val="center"/>
          </w:tcPr>
          <w:p>
            <w:pPr>
              <w:jc w:val="center"/>
            </w:pPr>
            <w:r>
              <w:rPr>
                <w:rFonts w:ascii="Calibri" w:cs="Calibri" w:eastAsia="Calibri" w:hAnsi="Calibri"/>
                <w:color w:val="000000"/>
                <w:sz w:val="18"/>
                <w:szCs w:val="18"/>
              </w:rPr>
              <w:t xml:space="preserve">December 2022 (month, $246,078.00); 2023 Q2 (quarter, $632,655.00).</w:t>
            </w:r>
          </w:p>
        </w:tc>
        <w:tc>
          <w:tcPr>
            <w:tcW w:type="dxa" w:w="2500"/>
            <w:tcMar>
              <w:top w:type="dxa" w:w="60"/>
              <w:left w:type="dxa" w:w="90"/>
              <w:bottom w:type="dxa" w:w="60"/>
              <w:right w:type="dxa" w:w="90"/>
            </w:tcMar>
            <w:vAlign w:val="center"/>
          </w:tcPr>
          <w:p>
            <w:pPr>
              <w:jc w:val="center"/>
            </w:pPr>
            <w:r>
              <w:rPr>
                <w:rFonts w:ascii="Calibri" w:cs="Calibri" w:eastAsia="Calibri" w:hAnsi="Calibri"/>
                <w:color w:val="000000"/>
                <w:sz w:val="18"/>
                <w:szCs w:val="18"/>
              </w:rPr>
              <w:t xml:space="preserve">Section 12.2</w:t>
            </w:r>
          </w:p>
        </w:tc>
      </w:tr>
    </w:tbl>
    <w:p>
      <w:pPr>
        <w:spacing w:after="220" w:before="80"/>
        <w:jc w:val="center"/>
      </w:pPr>
      <w:r>
        <w:rPr>
          <w:rFonts w:ascii="Calibri" w:cs="Calibri" w:eastAsia="Calibri" w:hAnsi="Calibri"/>
          <w:i/>
          <w:iCs/>
          <w:color w:val="595959"/>
          <w:sz w:val="19"/>
          <w:szCs w:val="19"/>
        </w:rPr>
        <w:t xml:space="preserve">Table 5. Answers to All 27 Business Questions</w:t>
      </w:r>
    </w:p>
    <w:p>
      <w:r>
        <w:br w:type="page"/>
      </w:r>
    </w:p>
    <w:p>
      <w:pPr>
        <w:pStyle w:val="Heading1"/>
        <w:spacing w:after="180" w:before="360"/>
      </w:pPr>
      <w:r>
        <w:rPr>
          <w:rFonts w:ascii="Calibri" w:cs="Calibri" w:eastAsia="Calibri" w:hAnsi="Calibri"/>
          <w:b/>
          <w:bCs/>
          <w:color w:val="1F3864"/>
          <w:sz w:val="30"/>
          <w:szCs w:val="30"/>
        </w:rPr>
        <w:t xml:space="preserve">14. Key Business Insights</w:t>
      </w:r>
    </w:p>
    <w:p>
      <w:pPr>
        <w:pStyle w:val="Heading3"/>
        <w:spacing w:after="100" w:before="200"/>
      </w:pPr>
      <w:r>
        <w:rPr>
          <w:rFonts w:ascii="Calibri" w:cs="Calibri" w:eastAsia="Calibri" w:hAnsi="Calibri"/>
          <w:b/>
          <w:bCs/>
          <w:color w:val="1F3864"/>
          <w:sz w:val="22"/>
          <w:szCs w:val="22"/>
        </w:rPr>
        <w:t xml:space="preserve">Insight 1</w:t>
      </w:r>
    </w:p>
    <w:p>
      <w:pPr>
        <w:spacing w:after="160" w:line="276"/>
        <w:jc w:val="both"/>
      </w:pPr>
      <w:r>
        <w:rPr>
          <w:rFonts w:ascii="Calibri" w:cs="Calibri" w:eastAsia="Calibri" w:hAnsi="Calibri"/>
          <w:b w:val="false"/>
          <w:bCs w:val="false"/>
          <w:sz w:val="21"/>
          <w:szCs w:val="21"/>
        </w:rPr>
        <w:t xml:space="preserve">Finding: Revenue leadership and profit leadership are held by different products.</w:t>
      </w:r>
    </w:p>
    <w:p>
      <w:pPr>
        <w:spacing w:after="160" w:line="276"/>
        <w:jc w:val="both"/>
      </w:pPr>
      <w:r>
        <w:rPr>
          <w:rFonts w:ascii="Calibri" w:cs="Calibri" w:eastAsia="Calibri" w:hAnsi="Calibri"/>
          <w:sz w:val="21"/>
          <w:szCs w:val="21"/>
        </w:rPr>
        <w:t xml:space="preserve">Evidence: Lego Bricks leads on revenue ($2,388,882.63) but ranks third on profit ($298,685.00, 12.50% margin); Colorbuds leads on profit ($834,944.00, 53.37% margin) despite ranking second on revenue.</w:t>
      </w:r>
    </w:p>
    <w:p>
      <w:pPr>
        <w:spacing w:after="160" w:line="276"/>
        <w:jc w:val="both"/>
      </w:pPr>
      <w:r>
        <w:rPr>
          <w:rFonts w:ascii="Calibri" w:cs="Calibri" w:eastAsia="Calibri" w:hAnsi="Calibri"/>
          <w:sz w:val="21"/>
          <w:szCs w:val="21"/>
        </w:rPr>
        <w:t xml:space="preserve">Business implication: Category and product strategy should track profit and margin alongside revenue, not revenue alone, when deciding what to promote, discount, or prioritize for shelf space.</w:t>
      </w:r>
    </w:p>
    <w:p>
      <w:pPr>
        <w:pStyle w:val="Heading3"/>
        <w:spacing w:after="100" w:before="200"/>
      </w:pPr>
      <w:r>
        <w:rPr>
          <w:rFonts w:ascii="Calibri" w:cs="Calibri" w:eastAsia="Calibri" w:hAnsi="Calibri"/>
          <w:b/>
          <w:bCs/>
          <w:color w:val="1F3864"/>
          <w:sz w:val="22"/>
          <w:szCs w:val="22"/>
        </w:rPr>
        <w:t xml:space="preserve">Insight 2</w:t>
      </w:r>
    </w:p>
    <w:p>
      <w:pPr>
        <w:spacing w:after="160" w:line="276"/>
        <w:jc w:val="both"/>
      </w:pPr>
      <w:r>
        <w:rPr>
          <w:rFonts w:ascii="Calibri" w:cs="Calibri" w:eastAsia="Calibri" w:hAnsi="Calibri"/>
          <w:b w:val="false"/>
          <w:bCs w:val="false"/>
          <w:sz w:val="21"/>
          <w:szCs w:val="21"/>
        </w:rPr>
        <w:t xml:space="preserve">Finding: The Toys category drives scale, but Electronics drives margin.</w:t>
      </w:r>
    </w:p>
    <w:p>
      <w:pPr>
        <w:spacing w:after="160" w:line="276"/>
        <w:jc w:val="both"/>
      </w:pPr>
      <w:r>
        <w:rPr>
          <w:rFonts w:ascii="Calibri" w:cs="Calibri" w:eastAsia="Calibri" w:hAnsi="Calibri"/>
          <w:sz w:val="21"/>
          <w:szCs w:val="21"/>
        </w:rPr>
        <w:t xml:space="preserve">Evidence: Toys generates the most revenue ($5,093,241.00) and units (267,200) but the lowest category margin (21.20%); Electronics generates the highest margin (44.57%) from the second-lowest unit volume.</w:t>
      </w:r>
    </w:p>
    <w:p>
      <w:pPr>
        <w:spacing w:after="160" w:line="276"/>
        <w:jc w:val="both"/>
      </w:pPr>
      <w:r>
        <w:rPr>
          <w:rFonts w:ascii="Calibri" w:cs="Calibri" w:eastAsia="Calibri" w:hAnsi="Calibri"/>
          <w:sz w:val="21"/>
          <w:szCs w:val="21"/>
        </w:rPr>
        <w:t xml:space="preserve">Business implication: The business may want to protect Toys' volume-driven contribution while looking for ways to grow Electronics' share of the sales mix, given its stronger unit economics.</w:t>
      </w:r>
    </w:p>
    <w:p>
      <w:pPr>
        <w:pStyle w:val="Heading3"/>
        <w:spacing w:after="100" w:before="200"/>
      </w:pPr>
      <w:r>
        <w:rPr>
          <w:rFonts w:ascii="Calibri" w:cs="Calibri" w:eastAsia="Calibri" w:hAnsi="Calibri"/>
          <w:b/>
          <w:bCs/>
          <w:color w:val="1F3864"/>
          <w:sz w:val="22"/>
          <w:szCs w:val="22"/>
        </w:rPr>
        <w:t xml:space="preserve">Insight 3</w:t>
      </w:r>
    </w:p>
    <w:p>
      <w:pPr>
        <w:spacing w:after="160" w:line="276"/>
        <w:jc w:val="both"/>
      </w:pPr>
      <w:r>
        <w:rPr>
          <w:rFonts w:ascii="Calibri" w:cs="Calibri" w:eastAsia="Calibri" w:hAnsi="Calibri"/>
          <w:b w:val="false"/>
          <w:bCs w:val="false"/>
          <w:sz w:val="21"/>
          <w:szCs w:val="21"/>
        </w:rPr>
        <w:t xml:space="preserve">Finding: A small number of high-velocity products are running on very thin inventory buffers.</w:t>
      </w:r>
    </w:p>
    <w:p>
      <w:pPr>
        <w:spacing w:after="160" w:line="276"/>
        <w:jc w:val="both"/>
      </w:pPr>
      <w:r>
        <w:rPr>
          <w:rFonts w:ascii="Calibri" w:cs="Calibri" w:eastAsia="Calibri" w:hAnsi="Calibri"/>
          <w:sz w:val="21"/>
          <w:szCs w:val="21"/>
        </w:rPr>
        <w:t xml:space="preserve">Evidence: Individual store records for Action Figure, Colorbuds, Dart Gun, Barrel O' Slime and Magic Sand show 1–3 units on hand against tens of thousands of units sold historically; 226 of 1,593 inventory records (14.2%) are flagged as low inventory.</w:t>
      </w:r>
    </w:p>
    <w:p>
      <w:pPr>
        <w:spacing w:after="160" w:line="276"/>
        <w:jc w:val="both"/>
      </w:pPr>
      <w:r>
        <w:rPr>
          <w:rFonts w:ascii="Calibri" w:cs="Calibri" w:eastAsia="Calibri" w:hAnsi="Calibri"/>
          <w:sz w:val="21"/>
          <w:szCs w:val="21"/>
        </w:rPr>
        <w:t xml:space="preserve">Business implication: These specific store-product combinations are the most exposed to stock-outs and lost sales, and are the most urgent candidates for replenishment review.</w:t>
      </w:r>
    </w:p>
    <w:p>
      <w:pPr>
        <w:pStyle w:val="Heading3"/>
        <w:spacing w:after="100" w:before="200"/>
      </w:pPr>
      <w:r>
        <w:rPr>
          <w:rFonts w:ascii="Calibri" w:cs="Calibri" w:eastAsia="Calibri" w:hAnsi="Calibri"/>
          <w:b/>
          <w:bCs/>
          <w:color w:val="1F3864"/>
          <w:sz w:val="22"/>
          <w:szCs w:val="22"/>
        </w:rPr>
        <w:t xml:space="preserve">Insight 4</w:t>
      </w:r>
    </w:p>
    <w:p>
      <w:pPr>
        <w:spacing w:after="160" w:line="276"/>
        <w:jc w:val="both"/>
      </w:pPr>
      <w:r>
        <w:rPr>
          <w:rFonts w:ascii="Calibri" w:cs="Calibri" w:eastAsia="Calibri" w:hAnsi="Calibri"/>
          <w:b w:val="false"/>
          <w:bCs w:val="false"/>
          <w:sz w:val="21"/>
          <w:szCs w:val="21"/>
        </w:rPr>
        <w:t xml:space="preserve">Finding: Some records show zero stock on hand against substantial historical demand.</w:t>
      </w:r>
    </w:p>
    <w:p>
      <w:pPr>
        <w:spacing w:after="160" w:line="276"/>
        <w:jc w:val="both"/>
      </w:pPr>
      <w:r>
        <w:rPr>
          <w:rFonts w:ascii="Calibri" w:cs="Calibri" w:eastAsia="Calibri" w:hAnsi="Calibri"/>
          <w:sz w:val="21"/>
          <w:szCs w:val="21"/>
        </w:rPr>
        <w:t xml:space="preserve">Evidence: Individual store-level inventory records for products including Barrel O' Slime, Splash Balls and Action Figure show stock_on_hand = 0 alongside thousands of historical units sold at that location.</w:t>
      </w:r>
    </w:p>
    <w:p>
      <w:pPr>
        <w:spacing w:after="160" w:line="276"/>
        <w:jc w:val="both"/>
      </w:pPr>
      <w:r>
        <w:rPr>
          <w:rFonts w:ascii="Calibri" w:cs="Calibri" w:eastAsia="Calibri" w:hAnsi="Calibri"/>
          <w:sz w:val="21"/>
          <w:szCs w:val="21"/>
        </w:rPr>
        <w:t xml:space="preserve">Business implication: These positions warrant an urgent, targeted stock check, since a velocity ratio cannot even be calculated for them and they may already represent a lost-sales situation.</w:t>
      </w:r>
    </w:p>
    <w:p>
      <w:pPr>
        <w:pStyle w:val="Heading3"/>
        <w:spacing w:after="100" w:before="200"/>
      </w:pPr>
      <w:r>
        <w:rPr>
          <w:rFonts w:ascii="Calibri" w:cs="Calibri" w:eastAsia="Calibri" w:hAnsi="Calibri"/>
          <w:b/>
          <w:bCs/>
          <w:color w:val="1F3864"/>
          <w:sz w:val="22"/>
          <w:szCs w:val="22"/>
        </w:rPr>
        <w:t xml:space="preserve">Insight 5</w:t>
      </w:r>
    </w:p>
    <w:p>
      <w:pPr>
        <w:spacing w:after="160" w:line="276"/>
        <w:jc w:val="both"/>
      </w:pPr>
      <w:r>
        <w:rPr>
          <w:rFonts w:ascii="Calibri" w:cs="Calibri" w:eastAsia="Calibri" w:hAnsi="Calibri"/>
          <w:b w:val="false"/>
          <w:bCs w:val="false"/>
          <w:sz w:val="21"/>
          <w:szCs w:val="21"/>
        </w:rPr>
        <w:t xml:space="preserve">Finding: December 2022 and March 2023 are the two standout peak periods.</w:t>
      </w:r>
    </w:p>
    <w:p>
      <w:pPr>
        <w:spacing w:after="160" w:line="276"/>
        <w:jc w:val="both"/>
      </w:pPr>
      <w:r>
        <w:rPr>
          <w:rFonts w:ascii="Calibri" w:cs="Calibri" w:eastAsia="Calibri" w:hAnsi="Calibri"/>
          <w:sz w:val="21"/>
          <w:szCs w:val="21"/>
        </w:rPr>
        <w:t xml:space="preserve">Evidence: December 2022 recorded the highest monthly profit ($246,078.00); March 2023 recorded the highest monthly revenue ($883,515.64) and the highest quarterly revenue was 2023 Q2 ($2,461,309.81).</w:t>
      </w:r>
    </w:p>
    <w:p>
      <w:pPr>
        <w:spacing w:after="160" w:line="276"/>
        <w:jc w:val="both"/>
      </w:pPr>
      <w:r>
        <w:rPr>
          <w:rFonts w:ascii="Calibri" w:cs="Calibri" w:eastAsia="Calibri" w:hAnsi="Calibri"/>
          <w:sz w:val="21"/>
          <w:szCs w:val="21"/>
        </w:rPr>
        <w:t xml:space="preserve">Business implication: Inventory, staffing and marketing planning can be aligned in advance of these recurring peak windows to capture the demand more fully.</w:t>
      </w:r>
    </w:p>
    <w:p>
      <w:pPr>
        <w:pStyle w:val="Heading3"/>
        <w:spacing w:after="100" w:before="200"/>
      </w:pPr>
      <w:r>
        <w:rPr>
          <w:rFonts w:ascii="Calibri" w:cs="Calibri" w:eastAsia="Calibri" w:hAnsi="Calibri"/>
          <w:b/>
          <w:bCs/>
          <w:color w:val="1F3864"/>
          <w:sz w:val="22"/>
          <w:szCs w:val="22"/>
        </w:rPr>
        <w:t xml:space="preserve">Insight 6</w:t>
      </w:r>
    </w:p>
    <w:p>
      <w:pPr>
        <w:spacing w:after="160" w:line="276"/>
        <w:jc w:val="both"/>
      </w:pPr>
      <w:r>
        <w:rPr>
          <w:rFonts w:ascii="Calibri" w:cs="Calibri" w:eastAsia="Calibri" w:hAnsi="Calibri"/>
          <w:b w:val="false"/>
          <w:bCs w:val="false"/>
          <w:sz w:val="21"/>
          <w:szCs w:val="21"/>
        </w:rPr>
        <w:t xml:space="preserve">Finding: August 2022 was an isolated low point across every measure.</w:t>
      </w:r>
    </w:p>
    <w:p>
      <w:pPr>
        <w:spacing w:after="160" w:line="276"/>
        <w:jc w:val="both"/>
      </w:pPr>
      <w:r>
        <w:rPr>
          <w:rFonts w:ascii="Calibri" w:cs="Calibri" w:eastAsia="Calibri" w:hAnsi="Calibri"/>
          <w:sz w:val="21"/>
          <w:szCs w:val="21"/>
        </w:rPr>
        <w:t xml:space="preserve">Evidence: August 2022 recorded the lowest monthly revenue ($489,422.73), the lowest profit ($158,931.00) and among the lowest unit sales (39,927) in the dataset.</w:t>
      </w:r>
    </w:p>
    <w:p>
      <w:pPr>
        <w:spacing w:after="160" w:line="276"/>
        <w:jc w:val="both"/>
      </w:pPr>
      <w:r>
        <w:rPr>
          <w:rFonts w:ascii="Calibri" w:cs="Calibri" w:eastAsia="Calibri" w:hAnsi="Calibri"/>
          <w:sz w:val="21"/>
          <w:szCs w:val="21"/>
        </w:rPr>
        <w:t xml:space="preserve">Business implication: Understanding what drove this specific dip (promotional gaps, external factors, etc.) could help avoid a repeat in future mid-year periods, though the available analysis does not itself identify a cause.</w:t>
      </w:r>
    </w:p>
    <w:p>
      <w:pPr>
        <w:pStyle w:val="Heading3"/>
        <w:spacing w:after="100" w:before="200"/>
      </w:pPr>
      <w:r>
        <w:rPr>
          <w:rFonts w:ascii="Calibri" w:cs="Calibri" w:eastAsia="Calibri" w:hAnsi="Calibri"/>
          <w:b/>
          <w:bCs/>
          <w:color w:val="1F3864"/>
          <w:sz w:val="22"/>
          <w:szCs w:val="22"/>
        </w:rPr>
        <w:t xml:space="preserve">Insight 7</w:t>
      </w:r>
    </w:p>
    <w:p>
      <w:pPr>
        <w:spacing w:after="160" w:line="276"/>
        <w:jc w:val="both"/>
      </w:pPr>
      <w:r>
        <w:rPr>
          <w:rFonts w:ascii="Calibri" w:cs="Calibri" w:eastAsia="Calibri" w:hAnsi="Calibri"/>
          <w:b w:val="false"/>
          <w:bCs w:val="false"/>
          <w:sz w:val="21"/>
          <w:szCs w:val="21"/>
        </w:rPr>
        <w:t xml:space="preserve">Finding: Store performance varies by roughly 2.7x between the strongest and weakest locations.</w:t>
      </w:r>
    </w:p>
    <w:p>
      <w:pPr>
        <w:spacing w:after="160" w:line="276"/>
        <w:jc w:val="both"/>
      </w:pPr>
      <w:r>
        <w:rPr>
          <w:rFonts w:ascii="Calibri" w:cs="Calibri" w:eastAsia="Calibri" w:hAnsi="Calibri"/>
          <w:sz w:val="21"/>
          <w:szCs w:val="21"/>
        </w:rPr>
        <w:t xml:space="preserve">Evidence: Store revenue ranges from $206,055.23 (Campeche 2) to $554,553.43 (Ciudad de Mexico 2), against a network average of approximately $288,891.</w:t>
      </w:r>
    </w:p>
    <w:p>
      <w:pPr>
        <w:spacing w:after="160" w:line="276"/>
        <w:jc w:val="both"/>
      </w:pPr>
      <w:r>
        <w:rPr>
          <w:rFonts w:ascii="Calibri" w:cs="Calibri" w:eastAsia="Calibri" w:hAnsi="Calibri"/>
          <w:sz w:val="21"/>
          <w:szCs w:val="21"/>
        </w:rPr>
        <w:t xml:space="preserve">Business implication: The gap between top and bottom stores is large enough to warrant a closer look at what the leading Ciudad de Mexico 2 location is doing differently, and whether any of that is transferable to underperforming stores.</w:t>
      </w:r>
    </w:p>
    <w:p>
      <w:pPr>
        <w:pStyle w:val="Heading3"/>
        <w:spacing w:after="100" w:before="200"/>
      </w:pPr>
      <w:r>
        <w:rPr>
          <w:rFonts w:ascii="Calibri" w:cs="Calibri" w:eastAsia="Calibri" w:hAnsi="Calibri"/>
          <w:b/>
          <w:bCs/>
          <w:color w:val="1F3864"/>
          <w:sz w:val="22"/>
          <w:szCs w:val="22"/>
        </w:rPr>
        <w:t xml:space="preserve">Insight 8</w:t>
      </w:r>
    </w:p>
    <w:p>
      <w:pPr>
        <w:spacing w:after="160" w:line="276"/>
        <w:jc w:val="both"/>
      </w:pPr>
      <w:r>
        <w:rPr>
          <w:rFonts w:ascii="Calibri" w:cs="Calibri" w:eastAsia="Calibri" w:hAnsi="Calibri"/>
          <w:b w:val="false"/>
          <w:bCs w:val="false"/>
          <w:sz w:val="21"/>
          <w:szCs w:val="21"/>
        </w:rPr>
        <w:t xml:space="preserve">Finding: Overall profitability is healthy but concentrated in a handful of products.</w:t>
      </w:r>
    </w:p>
    <w:p>
      <w:pPr>
        <w:spacing w:after="160" w:line="276"/>
        <w:jc w:val="both"/>
      </w:pPr>
      <w:r>
        <w:rPr>
          <w:rFonts w:ascii="Calibri" w:cs="Calibri" w:eastAsia="Calibri" w:hAnsi="Calibri"/>
          <w:sz w:val="21"/>
          <w:szCs w:val="21"/>
        </w:rPr>
        <w:t xml:space="preserve">Evidence: The five highest-profit products (Colorbuds, Action Figure, Lego Bricks, Deck Of Cards, Glass Marbles) contributed a combined $1,972,079.00 of the company's $4,014,029.00 total profit — roughly 49%.</w:t>
      </w:r>
    </w:p>
    <w:p>
      <w:pPr>
        <w:spacing w:after="160" w:line="276"/>
        <w:jc w:val="both"/>
      </w:pPr>
      <w:r>
        <w:rPr>
          <w:rFonts w:ascii="Calibri" w:cs="Calibri" w:eastAsia="Calibri" w:hAnsi="Calibri"/>
          <w:sz w:val="21"/>
          <w:szCs w:val="21"/>
        </w:rPr>
        <w:t xml:space="preserve">Business implication: Concentration in a small number of high-profit products means availability and continued demand for these items deserve close, ongoing monitoring.</w:t>
      </w:r>
    </w:p>
    <w:p>
      <w:r>
        <w:br w:type="page"/>
      </w:r>
    </w:p>
    <w:p>
      <w:pPr>
        <w:pStyle w:val="Heading1"/>
        <w:spacing w:after="180" w:before="360"/>
      </w:pPr>
      <w:r>
        <w:rPr>
          <w:rFonts w:ascii="Calibri" w:cs="Calibri" w:eastAsia="Calibri" w:hAnsi="Calibri"/>
          <w:b/>
          <w:bCs/>
          <w:color w:val="1F3864"/>
          <w:sz w:val="30"/>
          <w:szCs w:val="30"/>
        </w:rPr>
        <w:t xml:space="preserve">15. Business Recommendations</w:t>
      </w:r>
    </w:p>
    <w:p>
      <w:pPr>
        <w:spacing w:after="160" w:line="276"/>
        <w:jc w:val="both"/>
      </w:pPr>
      <w:r>
        <w:rPr>
          <w:rFonts w:ascii="Calibri" w:cs="Calibri" w:eastAsia="Calibri" w:hAnsi="Calibri"/>
          <w:sz w:val="21"/>
          <w:szCs w:val="21"/>
        </w:rPr>
        <w:t xml:space="preserve">Finding: Action Figure, Colorbuds, Dart Gun, Barrel O' Slime and Magic Sand show extremely low stock on hand (1–3 units) at individual stores against very high historical unit sales.</w:t>
      </w:r>
    </w:p>
    <w:p>
      <w:pPr>
        <w:spacing w:after="160" w:line="276"/>
        <w:jc w:val="both"/>
      </w:pPr>
      <w:r>
        <w:rPr>
          <w:rFonts w:ascii="Calibri" w:cs="Calibri" w:eastAsia="Calibri" w:hAnsi="Calibri"/>
          <w:sz w:val="21"/>
          <w:szCs w:val="21"/>
        </w:rPr>
        <w:t xml:space="preserve">Recommendation: Review replenishment thresholds and reorder frequency specifically for these products at the flagged store locations, since they are the highest-risk stock-out candidates identified in the inventory analysis.</w:t>
      </w:r>
    </w:p>
    <w:p>
      <w:pPr>
        <w:spacing w:after="160"/>
      </w:pPr>
    </w:p>
    <w:p>
      <w:pPr>
        <w:spacing w:after="160" w:line="276"/>
        <w:jc w:val="both"/>
      </w:pPr>
      <w:r>
        <w:rPr>
          <w:rFonts w:ascii="Calibri" w:cs="Calibri" w:eastAsia="Calibri" w:hAnsi="Calibri"/>
          <w:sz w:val="21"/>
          <w:szCs w:val="21"/>
        </w:rPr>
        <w:t xml:space="preserve">Finding: A number of inventory records show stock_on_hand = 0 against substantial historical unit sales for products such as Barrel O' Slime, Splash Balls and Action Figure.</w:t>
      </w:r>
    </w:p>
    <w:p>
      <w:pPr>
        <w:spacing w:after="160" w:line="276"/>
        <w:jc w:val="both"/>
      </w:pPr>
      <w:r>
        <w:rPr>
          <w:rFonts w:ascii="Calibri" w:cs="Calibri" w:eastAsia="Calibri" w:hAnsi="Calibri"/>
          <w:sz w:val="21"/>
          <w:szCs w:val="21"/>
        </w:rPr>
        <w:t xml:space="preserve">Recommendation: Prioritize an immediate stock check and reorder for these specific store-product combinations, as a zero balance alongside strong historical demand is the clearest inventory-risk signal in the dataset.</w:t>
      </w:r>
    </w:p>
    <w:p>
      <w:pPr>
        <w:spacing w:after="160"/>
      </w:pPr>
    </w:p>
    <w:p>
      <w:pPr>
        <w:spacing w:after="160" w:line="276"/>
        <w:jc w:val="both"/>
      </w:pPr>
      <w:r>
        <w:rPr>
          <w:rFonts w:ascii="Calibri" w:cs="Calibri" w:eastAsia="Calibri" w:hAnsi="Calibri"/>
          <w:sz w:val="21"/>
          <w:szCs w:val="21"/>
        </w:rPr>
        <w:t xml:space="preserve">Finding: Lego Bricks, Magic Sand and Rubik's Cube generate high revenue but comparatively low margins (10–13%).</w:t>
      </w:r>
    </w:p>
    <w:p>
      <w:pPr>
        <w:spacing w:after="160" w:line="276"/>
        <w:jc w:val="both"/>
      </w:pPr>
      <w:r>
        <w:rPr>
          <w:rFonts w:ascii="Calibri" w:cs="Calibri" w:eastAsia="Calibri" w:hAnsi="Calibri"/>
          <w:sz w:val="21"/>
          <w:szCs w:val="21"/>
        </w:rPr>
        <w:t xml:space="preserve">Recommendation: Review supplier cost or pricing for these three specific products, since even a modest margin improvement would have an outsized effect on total company profit given their revenue scale.</w:t>
      </w:r>
    </w:p>
    <w:p>
      <w:pPr>
        <w:spacing w:after="160"/>
      </w:pPr>
    </w:p>
    <w:p>
      <w:pPr>
        <w:spacing w:after="160" w:line="276"/>
        <w:jc w:val="both"/>
      </w:pPr>
      <w:r>
        <w:rPr>
          <w:rFonts w:ascii="Calibri" w:cs="Calibri" w:eastAsia="Calibri" w:hAnsi="Calibri"/>
          <w:sz w:val="21"/>
          <w:szCs w:val="21"/>
        </w:rPr>
        <w:t xml:space="preserve">Finding: Electronics has the highest category profit margin (44.57%) but the second-lowest unit volume of the five categories.</w:t>
      </w:r>
    </w:p>
    <w:p>
      <w:pPr>
        <w:spacing w:after="160" w:line="276"/>
        <w:jc w:val="both"/>
      </w:pPr>
      <w:r>
        <w:rPr>
          <w:rFonts w:ascii="Calibri" w:cs="Calibri" w:eastAsia="Calibri" w:hAnsi="Calibri"/>
          <w:sz w:val="21"/>
          <w:szCs w:val="21"/>
        </w:rPr>
        <w:t xml:space="preserve">Recommendation: Evaluate options to grow Electronics' share of the assortment or floor space, since its unit economics are the strongest of any category in the current data.</w:t>
      </w:r>
    </w:p>
    <w:p>
      <w:pPr>
        <w:spacing w:after="160"/>
      </w:pPr>
    </w:p>
    <w:p>
      <w:pPr>
        <w:spacing w:after="160" w:line="276"/>
        <w:jc w:val="both"/>
      </w:pPr>
      <w:r>
        <w:rPr>
          <w:rFonts w:ascii="Calibri" w:cs="Calibri" w:eastAsia="Calibri" w:hAnsi="Calibri"/>
          <w:sz w:val="21"/>
          <w:szCs w:val="21"/>
        </w:rPr>
        <w:t xml:space="preserve">Finding: Toys drives the most revenue and units but the lowest category margin (21.20%).</w:t>
      </w:r>
    </w:p>
    <w:p>
      <w:pPr>
        <w:spacing w:after="160" w:line="276"/>
        <w:jc w:val="both"/>
      </w:pPr>
      <w:r>
        <w:rPr>
          <w:rFonts w:ascii="Calibri" w:cs="Calibri" w:eastAsia="Calibri" w:hAnsi="Calibri"/>
          <w:sz w:val="21"/>
          <w:szCs w:val="21"/>
        </w:rPr>
        <w:t xml:space="preserve">Recommendation: Because Toys already anchors overall volume, focus any margin-improvement work within this category on its specific low-margin, high-revenue products (Lego Bricks, Magic Sand) rather than broad category-wide pricing changes.</w:t>
      </w:r>
    </w:p>
    <w:p>
      <w:pPr>
        <w:spacing w:after="160"/>
      </w:pPr>
    </w:p>
    <w:p>
      <w:pPr>
        <w:spacing w:after="160" w:line="276"/>
        <w:jc w:val="both"/>
      </w:pPr>
      <w:r>
        <w:rPr>
          <w:rFonts w:ascii="Calibri" w:cs="Calibri" w:eastAsia="Calibri" w:hAnsi="Calibri"/>
          <w:sz w:val="21"/>
          <w:szCs w:val="21"/>
        </w:rPr>
        <w:t xml:space="preserve">Finding: Store revenue varies substantially, from $206,055.23 to $554,553.43, a roughly 2.7x spread across the 50-store network.</w:t>
      </w:r>
    </w:p>
    <w:p>
      <w:pPr>
        <w:spacing w:after="160" w:line="276"/>
        <w:jc w:val="both"/>
      </w:pPr>
      <w:r>
        <w:rPr>
          <w:rFonts w:ascii="Calibri" w:cs="Calibri" w:eastAsia="Calibri" w:hAnsi="Calibri"/>
          <w:sz w:val="21"/>
          <w:szCs w:val="21"/>
        </w:rPr>
        <w:t xml:space="preserve">Recommendation: Examine what distinguishes the top-performing Ciudad de Mexico 2 store from the lowest three (Campeche 2, La Paz 1, Cuernavaca 1) and assess whether any transferable practices could lift the weaker locations.</w:t>
      </w:r>
    </w:p>
    <w:p>
      <w:pPr>
        <w:spacing w:after="160"/>
      </w:pPr>
    </w:p>
    <w:p>
      <w:pPr>
        <w:spacing w:after="160" w:line="276"/>
        <w:jc w:val="both"/>
      </w:pPr>
      <w:r>
        <w:rPr>
          <w:rFonts w:ascii="Calibri" w:cs="Calibri" w:eastAsia="Calibri" w:hAnsi="Calibri"/>
          <w:sz w:val="21"/>
          <w:szCs w:val="21"/>
        </w:rPr>
        <w:t xml:space="preserve">Finding: Revenue and profit consistently rise into the November–December period and again in March, with a recurring mid-year (July–August) softening.</w:t>
      </w:r>
    </w:p>
    <w:p>
      <w:pPr>
        <w:spacing w:after="160" w:line="276"/>
        <w:jc w:val="both"/>
      </w:pPr>
      <w:r>
        <w:rPr>
          <w:rFonts w:ascii="Calibri" w:cs="Calibri" w:eastAsia="Calibri" w:hAnsi="Calibri"/>
          <w:sz w:val="21"/>
          <w:szCs w:val="21"/>
        </w:rPr>
        <w:t xml:space="preserve">Recommendation: Align inventory build-up, staffing and promotional planning with these recurring peaks, and investigate the drivers of the mid-2022 low (particularly August 2022) to see whether a similar dip can be anticipated or mitigated in future years.</w:t>
      </w:r>
    </w:p>
    <w:p>
      <w:pPr>
        <w:spacing w:after="160"/>
      </w:pPr>
    </w:p>
    <w:p>
      <w:r>
        <w:br w:type="page"/>
      </w:r>
    </w:p>
    <w:p>
      <w:pPr>
        <w:pStyle w:val="Heading1"/>
        <w:spacing w:after="180" w:before="360"/>
      </w:pPr>
      <w:r>
        <w:rPr>
          <w:rFonts w:ascii="Calibri" w:cs="Calibri" w:eastAsia="Calibri" w:hAnsi="Calibri"/>
          <w:b/>
          <w:bCs/>
          <w:color w:val="1F3864"/>
          <w:sz w:val="30"/>
          <w:szCs w:val="30"/>
        </w:rPr>
        <w:t xml:space="preserve">16. Limitations</w:t>
      </w:r>
    </w:p>
    <w:p>
      <w:pPr>
        <w:pStyle w:val="ListParagraph"/>
        <w:numPr>
          <w:ilvl w:val="0"/>
          <w:numId w:val="2"/>
        </w:numPr>
        <w:spacing w:after="90"/>
      </w:pPr>
      <w:r>
        <w:rPr>
          <w:rFonts w:ascii="Calibri" w:cs="Calibri" w:eastAsia="Calibri" w:hAnsi="Calibri"/>
          <w:sz w:val="21"/>
          <w:szCs w:val="21"/>
        </w:rPr>
        <w:t xml:space="preserve">The dataset covers a fixed window (January 2022 – September 2023); performance outside this range, including the most recent activity after September 2023, is not captured.</w:t>
      </w:r>
    </w:p>
    <w:p>
      <w:pPr>
        <w:pStyle w:val="ListParagraph"/>
        <w:numPr>
          <w:ilvl w:val="0"/>
          <w:numId w:val="2"/>
        </w:numPr>
        <w:spacing w:after="90"/>
      </w:pPr>
      <w:r>
        <w:rPr>
          <w:rFonts w:ascii="Calibri" w:cs="Calibri" w:eastAsia="Calibri" w:hAnsi="Calibri"/>
          <w:sz w:val="21"/>
          <w:szCs w:val="21"/>
        </w:rPr>
        <w:t xml:space="preserve">The inventory table appears to represent stock levels as of the point of analysis rather than a full time series of stock movements, so it is not possible to say when a low-inventory position first arose or how long it has persisted.</w:t>
      </w:r>
    </w:p>
    <w:p>
      <w:pPr>
        <w:pStyle w:val="ListParagraph"/>
        <w:numPr>
          <w:ilvl w:val="0"/>
          <w:numId w:val="2"/>
        </w:numPr>
        <w:spacing w:after="90"/>
      </w:pPr>
      <w:r>
        <w:rPr>
          <w:rFonts w:ascii="Calibri" w:cs="Calibri" w:eastAsia="Calibri" w:hAnsi="Calibri"/>
          <w:sz w:val="21"/>
          <w:szCs w:val="21"/>
        </w:rPr>
        <w:t xml:space="preserve">No customer-level information (e.g. repeat purchase behavior, demographics, loyalty) is included in the supplied dataset, so this report cannot speak to customer-level drivers of the trends observed.</w:t>
      </w:r>
    </w:p>
    <w:p>
      <w:pPr>
        <w:pStyle w:val="ListParagraph"/>
        <w:numPr>
          <w:ilvl w:val="0"/>
          <w:numId w:val="2"/>
        </w:numPr>
        <w:spacing w:after="90"/>
      </w:pPr>
      <w:r>
        <w:rPr>
          <w:rFonts w:ascii="Calibri" w:cs="Calibri" w:eastAsia="Calibri" w:hAnsi="Calibri"/>
          <w:sz w:val="21"/>
          <w:szCs w:val="21"/>
        </w:rPr>
        <w:t xml:space="preserve">The data does not include marketing, promotional, or external/macroeconomic information, so the report describes what happened in sales and inventory rather than definitively explaining why (for example, the exact cause of the August 2022 dip cannot be determined from this dataset alone).</w:t>
      </w:r>
    </w:p>
    <w:p>
      <w:pPr>
        <w:pStyle w:val="ListParagraph"/>
        <w:numPr>
          <w:ilvl w:val="0"/>
          <w:numId w:val="2"/>
        </w:numPr>
        <w:spacing w:after="90"/>
      </w:pPr>
      <w:r>
        <w:rPr>
          <w:rFonts w:ascii="Calibri" w:cs="Calibri" w:eastAsia="Calibri" w:hAnsi="Calibri"/>
          <w:sz w:val="21"/>
          <w:szCs w:val="21"/>
        </w:rPr>
        <w:t xml:space="preserve">Sales velocity, as calculated, is undefined for store-product records with zero stock on hand; these records were treated qualitatively as high-risk rather than ranked numerically alongside the rest.</w:t>
      </w:r>
    </w:p>
    <w:p>
      <w:r>
        <w:br w:type="page"/>
      </w:r>
    </w:p>
    <w:p>
      <w:pPr>
        <w:pStyle w:val="Heading1"/>
        <w:spacing w:after="180" w:before="360"/>
      </w:pPr>
      <w:r>
        <w:rPr>
          <w:rFonts w:ascii="Calibri" w:cs="Calibri" w:eastAsia="Calibri" w:hAnsi="Calibri"/>
          <w:b/>
          <w:bCs/>
          <w:color w:val="1F3864"/>
          <w:sz w:val="30"/>
          <w:szCs w:val="30"/>
        </w:rPr>
        <w:t xml:space="preserve">17. Conclusion</w:t>
      </w:r>
    </w:p>
    <w:p>
      <w:pPr>
        <w:spacing w:after="160" w:line="276"/>
        <w:jc w:val="both"/>
      </w:pPr>
      <w:r>
        <w:rPr>
          <w:rFonts w:ascii="Calibri" w:cs="Calibri" w:eastAsia="Calibri" w:hAnsi="Calibri"/>
          <w:sz w:val="21"/>
          <w:szCs w:val="21"/>
        </w:rPr>
        <w:t xml:space="preserve">This project analyzed 829,262 sales transactions, together with product, store, and inventory reference data, covering Maven Toys' operations from January 2022 through September 2023. The analysis found total revenue of $14,444,572.35 and total profit of $4,014,029.00, an overall margin of 27.79%, with a generally rising trend in both revenue and profit over the period, punctuated by a clear year-end peak and a mid-2022 low point.</w:t>
      </w:r>
    </w:p>
    <w:p>
      <w:pPr>
        <w:spacing w:after="160" w:line="276"/>
        <w:jc w:val="both"/>
      </w:pPr>
      <w:r>
        <w:rPr>
          <w:rFonts w:ascii="Calibri" w:cs="Calibri" w:eastAsia="Calibri" w:hAnsi="Calibri"/>
          <w:sz w:val="21"/>
          <w:szCs w:val="21"/>
        </w:rPr>
        <w:t xml:space="preserve">The Toys category and Lego Bricks product lead on revenue, while Electronics and Colorbuds lead on margin and profit respectively, illustrating the value of looking at profitability alongside sales volume. Maven Toys Ciudad de Mexico 2 is the strongest single store on both measures, and the Ciudad de Mexico, Guadalajara and Monterrey markets are the company's strongest geographies. The inventory analysis identified a specific, actionable set of fast-moving products running on very low stock levels — most notably Action Figure, Colorbuds, Dart Gun, Barrel O' Slime and Magic Sand — that represent the clearest near-term operational risk surfaced by this analysis.</w:t>
      </w:r>
    </w:p>
    <w:p>
      <w:pPr>
        <w:spacing w:after="160" w:line="276"/>
        <w:jc w:val="both"/>
      </w:pPr>
      <w:r>
        <w:rPr>
          <w:rFonts w:ascii="Calibri" w:cs="Calibri" w:eastAsia="Calibri" w:hAnsi="Calibri"/>
          <w:sz w:val="21"/>
          <w:szCs w:val="21"/>
        </w:rPr>
        <w:t xml:space="preserve">Taken together, the findings in this report answer all 27 business questions posed for the project and translate the underlying transaction data into a concise set of evidence-based recommendations covering inventory replenishment, product and category margin management, store performance, and seasonal planning.</w:t>
      </w:r>
    </w:p>
    <w:sectPr>
      <w:headerReference w:type="default" r:id="rId7"/>
      <w:footerReference w:type="default" r:id="rId8"/>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Page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of </w:t>
    </w:r>
    <w:r>
      <w:rPr>
        <w:rFonts w:ascii="Calibri" w:cs="Calibri" w:eastAsia="Calibri" w:hAnsi="Calibri"/>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rFonts w:ascii="Calibri" w:cs="Calibri" w:eastAsia="Calibri" w:hAnsi="Calibri"/>
        <w:i/>
        <w:iCs/>
        <w:color w:val="595959"/>
        <w:sz w:val="16"/>
        <w:szCs w:val="16"/>
      </w:rPr>
      <w:t xml:space="preserve">Maven Toys Retail Sales &amp; Inventory Performance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tru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fca24770ef069571c9361a4ec6bcb55860a9211.png"/><Relationship Id="rId10" Type="http://schemas.openxmlformats.org/officeDocument/2006/relationships/image" Target="media/eca3049983750117ce385638afb34b80a633365e.png"/><Relationship Id="rId11" Type="http://schemas.openxmlformats.org/officeDocument/2006/relationships/image" Target="media/3d7e3a8652592c01fc6fe45b7a621840675036ab.png"/><Relationship Id="rId12" Type="http://schemas.openxmlformats.org/officeDocument/2006/relationships/image" Target="media/6dc1566cceb7fe027ed489e7507b2e11d916706e.png"/><Relationship Id="rId13" Type="http://schemas.openxmlformats.org/officeDocument/2006/relationships/image" Target="media/c6bc5a1c0fb1e46906d5ecceef7bde7a87c67b38.png"/><Relationship Id="rId14" Type="http://schemas.openxmlformats.org/officeDocument/2006/relationships/image" Target="media/d9b6671a876ac4e616b080b4ba94ed28f89eecfc.png"/><Relationship Id="rId15" Type="http://schemas.openxmlformats.org/officeDocument/2006/relationships/image" Target="media/20fdc1367477202ec3b299665909185d65f28ee2.png"/><Relationship Id="rId16" Type="http://schemas.openxmlformats.org/officeDocument/2006/relationships/image" Target="media/9df9bd15c927ce7edb76140794b2b0914c98e5ec.png"/><Relationship Id="rId17" Type="http://schemas.openxmlformats.org/officeDocument/2006/relationships/image" Target="media/acc3da8c751c3f589a5b2b810393d7b506bdd5c1.png"/><Relationship Id="rId18" Type="http://schemas.openxmlformats.org/officeDocument/2006/relationships/image" Target="media/b4c714bdbb29a26a961d65d1371c19ce34136fee.png"/><Relationship Id="rId19" Type="http://schemas.openxmlformats.org/officeDocument/2006/relationships/image" Target="media/c09e734d915454dfcaa90e1929c6352b230a62b0.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Maven Toys Retail Sales &amp; Inventory Performance Analysis</dc:title>
  <dc:creator>Vaishnav Gopakumar</dc:creator>
  <cp:lastModifiedBy>Un-named</cp:lastModifiedBy>
  <cp:revision>1</cp:revision>
  <dcterms:created xsi:type="dcterms:W3CDTF">2026-09-23T06:40:52.487Z</dcterms:created>
  <dcterms:modified xsi:type="dcterms:W3CDTF">2026-09-23T06:40:52.487Z</dcterms:modified>
</cp:coreProperties>
</file>

<file path=docProps/custom.xml><?xml version="1.0" encoding="utf-8"?>
<Properties xmlns="http://schemas.openxmlformats.org/officeDocument/2006/custom-properties" xmlns:vt="http://schemas.openxmlformats.org/officeDocument/2006/docPropsVTypes"/>
</file>