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left"/>
      </w:pPr>
      <w:r>
        <w:rPr>
          <w:b/>
          <w:color w:val="002060"/>
          <w:sz w:val="72"/>
        </w:rPr>
        <w:t>PROPOSAL</w:t>
      </w:r>
    </w:p>
    <w:p>
      <w:pPr>
        <w:jc w:val="left"/>
      </w:pPr>
      <w:r>
        <w:rPr>
          <w:color w:val="0070C0"/>
          <w:sz w:val="40"/>
        </w:rPr>
        <w:t>Accellor RFP Response for Intelligent Traffic Management System (ITMS) Implementation</w:t>
      </w:r>
    </w:p>
    <w:p/>
    <w:p/>
    <w:p/>
    <w:p/>
    <w:p/>
    <w:p/>
    <w:p/>
    <w:p/>
    <w:p>
      <w:r>
        <w:rPr>
          <w:color w:val="000000"/>
          <w:sz w:val="22"/>
        </w:rPr>
        <w:t>Date: February 19, 2026</w:t>
      </w:r>
    </w:p>
    <w:p>
      <w:r>
        <w:rPr>
          <w:color w:val="000000"/>
          <w:sz w:val="22"/>
        </w:rPr>
        <w:t>Submitted to: Hyderabad Metropolitan Development Authority (HMDA)</w:t>
      </w:r>
    </w:p>
    <w:p>
      <w:r>
        <w:br w:type="page"/>
      </w:r>
    </w:p>
    <w:p>
      <w:r>
        <w:rPr>
          <w:b/>
          <w:color w:val="002060"/>
          <w:sz w:val="40"/>
        </w:rPr>
        <w:t>STATEMENT OF CONFIDENTIALITY</w:t>
      </w:r>
    </w:p>
    <w:p/>
    <w:p>
      <w:pPr>
        <w:spacing w:line="276" w:lineRule="auto"/>
        <w:jc w:val="both"/>
      </w:pPr>
      <w:r>
        <w:rPr>
          <w:sz w:val="24"/>
        </w:rPr>
        <w:t>Material contained in this document, or any material or information disclosed during discussions of the proposal represents the proprietary, confidential information pertaining to Accellor services, methodologies, and methods. Other products and brand names may be trademarks or registered trademarks of their respective owners.</w:t>
        <w:br/>
        <w:br/>
        <w:t>By accepting this response, Hyderabad Metropolitan Development Authority (HMDA) agrees that the information in this Proposal will not be disclosed outside their organization and will not be duplicated, used, or disclosed for any purpose other than to evaluate this proposal. This proposal is subject to a mutually approved agreement or contract specifying full terms and conditions.</w:t>
        <w:br/>
        <w:br/>
        <w:t>The contents of this document are provided to Hyderabad Metropolitan Development Authority (HMDA) in confidence for evaluating the proposed project fulfilment and discussing the further project approach for Accellor and Hyderabad Metropolitan Development Authority (HMDA).</w:t>
      </w:r>
    </w:p>
    <w:p>
      <w:r>
        <w:br w:type="page"/>
      </w:r>
    </w:p>
    <w:p>
      <w:r>
        <w:rPr>
          <w:b/>
          <w:color w:val="002060"/>
          <w:sz w:val="32"/>
        </w:rPr>
        <w:t>TABLE OF CONTENTS</w:t>
      </w:r>
    </w:p>
    <w:p/>
    <w:p>
      <w:r>
        <w:fldChar w:fldCharType="begin" w:dirty="true"/>
        <w:instrText xml:space="preserve">TOC \o "1-3" \h \z</w:instrText>
        <w:fldChar w:fldCharType="separate"/>
        <w:fldChar w:fldCharType="end"/>
      </w:r>
    </w:p>
    <w:p>
      <w:r>
        <w:br w:type="page"/>
      </w:r>
    </w:p>
    <w:p>
      <w:pPr>
        <w:pStyle w:val="Heading1"/>
        <w:pageBreakBefore/>
        <w:spacing w:after="480"/>
      </w:pPr>
      <w:r>
        <w:rPr>
          <w:b/>
          <w:color w:val="002060"/>
          <w:sz w:val="32"/>
        </w:rPr>
        <w:t>1. EXECUTIVE SUMMARY</w:t>
      </w:r>
    </w:p>
    <w:p>
      <w:pPr>
        <w:spacing w:line="276" w:lineRule="auto" w:after="200"/>
        <w:jc w:val="both"/>
      </w:pPr>
      <w:r>
        <w:rPr>
          <w:b w:val="0"/>
          <w:sz w:val="24"/>
        </w:rPr>
        <w:t>Hyderabad's mobility future should be measured in minutes regained and lives saved. We will deliver an Intelligent Traffic Management System (ITMS) that achieves the authority’s targets: a 25% reduction in average travel time on major corridors, a 20% reduction in traffic incidents, and measurable gains in public-transport integration — within the committed 12‑month go‑live window. Our approach is pragmatic and risk‑first: a phased citywide rollout that begins with corridor pilots, validated end‑to‑end integrations to legacy signals and transit systems, and staged sensor and controller deployments that prioritize highest-impact corridors. Critically, we do not depend on a single hardware source: components are pre‑qualified, dual‑sourced, and staged with local spare inventories and contingency suppliers to neutralize supply‑chain risk. Technical integration risk is managed by a lightweight adapter layer and factory acceptance-testing gates; we only proceed to live corridors after repeatable dry‑runs and performance baselining. Operational readiness is guaranteed through a train‑the‑trainer program, runbooks, and a 90‑day hypercare period, after which agreed SLAs and an onshore/offshore support model maintain 24×7 availability. Data security and compliance are baked in: ISO‑aligned controls, encryption at rest/in transit, RBAC, and delivery of complete audit documentation. We will measure success continuously—travel‑time telemetry, incident detection accuracy, mode‑shift indicators and citizen satisfaction—reported on dashboards tied to contract KPIs. The next pages describe the phased plan, KPIs, governance, and fixed mitigations that make this outcome deliverable on schedule.</w:t>
      </w:r>
    </w:p>
    <w:p>
      <w:pPr>
        <w:pStyle w:val="Heading1"/>
        <w:pageBreakBefore/>
        <w:spacing w:after="480"/>
      </w:pPr>
      <w:r>
        <w:rPr>
          <w:b/>
          <w:color w:val="002060"/>
          <w:sz w:val="32"/>
        </w:rPr>
        <w:t>2. UNDERSTANDING OF REQUIREMENTS</w:t>
      </w:r>
    </w:p>
    <w:p>
      <w:pPr>
        <w:spacing w:line="276" w:lineRule="auto" w:after="200"/>
        <w:jc w:val="both"/>
      </w:pPr>
      <w:r>
        <w:rPr>
          <w:b w:val="0"/>
          <w:sz w:val="24"/>
        </w:rPr>
        <w:t>Hyderabad needs an Intelligent Traffic Management System that delivers measurable outcomes — not exploratory pilots. The objectives are clear: reduce average travel time by ~25% on major routes, cut traffic incidents by ~20%, integrate tightly with existing signals and public transport, and hand over an operational, standards-compliant system that local teams can run and maintain within 12 months.</w:t>
      </w:r>
    </w:p>
    <w:p>
      <w:pPr>
        <w:spacing w:line="276" w:lineRule="auto" w:after="200"/>
        <w:jc w:val="both"/>
      </w:pPr>
      <w:r>
        <w:rPr>
          <w:b w:val="0"/>
          <w:sz w:val="24"/>
        </w:rPr>
        <w:t>What success must include</w:t>
      </w:r>
    </w:p>
    <w:p>
      <w:pPr>
        <w:pStyle w:val="ListBullet"/>
        <w:spacing w:line="276" w:lineRule="auto" w:after="120"/>
        <w:jc w:val="both"/>
      </w:pPr>
      <w:r>
        <w:rPr>
          <w:b w:val="0"/>
          <w:sz w:val="24"/>
        </w:rPr>
        <w:t>City-scale operational outcomes, not just isolated capabilities: central control with corridor-level visibility and active signal optimisation across priority routes; sensors and analytics that detect incidents and trigger response workflows; and live interfaces to public transport and enforcement systems.</w:t>
      </w:r>
    </w:p>
    <w:p>
      <w:pPr>
        <w:pStyle w:val="ListBullet"/>
        <w:spacing w:line="276" w:lineRule="auto" w:after="120"/>
        <w:jc w:val="both"/>
      </w:pPr>
      <w:r>
        <w:rPr>
          <w:b w:val="0"/>
          <w:sz w:val="24"/>
        </w:rPr>
        <w:t>Measurable KPIs delivered and visible: travel-time reduction (25% target), incident reduction (20% target), system availability (target 99.5%+), operator proficiency (certified local staff), and citizen satisfaction improvements reported in 90-day post‑go‑live cadence.</w:t>
      </w:r>
    </w:p>
    <w:p>
      <w:pPr>
        <w:pStyle w:val="ListBullet"/>
        <w:spacing w:line="276" w:lineRule="auto" w:after="120"/>
        <w:jc w:val="both"/>
      </w:pPr>
      <w:r>
        <w:rPr>
          <w:b w:val="0"/>
          <w:sz w:val="24"/>
        </w:rPr>
        <w:t>Maintainability and compliance: documented runbooks and SOPs, an SLA-backed support model, spare-parts strategy and validated contingency suppliers, plus ISO-aligned security and audit trails.</w:t>
      </w:r>
    </w:p>
    <w:p>
      <w:pPr>
        <w:spacing w:line="276" w:lineRule="auto" w:after="200"/>
        <w:jc w:val="both"/>
      </w:pPr>
      <w:r>
        <w:rPr>
          <w:b w:val="0"/>
          <w:sz w:val="24"/>
        </w:rPr>
        <w:t>Key constraints that shape the solution</w:t>
      </w:r>
    </w:p>
    <w:p>
      <w:pPr>
        <w:pStyle w:val="ListBullet"/>
        <w:spacing w:line="276" w:lineRule="auto" w:after="120"/>
        <w:jc w:val="both"/>
      </w:pPr>
      <w:r>
        <w:rPr>
          <w:b w:val="0"/>
          <w:sz w:val="24"/>
        </w:rPr>
        <w:t>Hardware supply risk and long lead times for field sensors and communications equipment. Single-supplier dependencies must be avoided.</w:t>
      </w:r>
    </w:p>
    <w:p>
      <w:pPr>
        <w:pStyle w:val="ListBullet"/>
        <w:spacing w:line="276" w:lineRule="auto" w:after="120"/>
        <w:jc w:val="both"/>
      </w:pPr>
      <w:r>
        <w:rPr>
          <w:b w:val="0"/>
          <w:sz w:val="24"/>
        </w:rPr>
        <w:t>Heterogeneous legacy signal controllers and comms stacks across corridors requiring protocol adapters or gateways rather than one-size-fits-all replacements.</w:t>
      </w:r>
    </w:p>
    <w:p>
      <w:pPr>
        <w:pStyle w:val="ListBullet"/>
        <w:spacing w:line="276" w:lineRule="auto" w:after="120"/>
        <w:jc w:val="both"/>
      </w:pPr>
      <w:r>
        <w:rPr>
          <w:b w:val="0"/>
          <w:sz w:val="24"/>
        </w:rPr>
        <w:t>Limited city approval windows for on-street testing and cutover; operations must account for phased, corridor-first validation.</w:t>
      </w:r>
    </w:p>
    <w:p>
      <w:pPr>
        <w:pStyle w:val="ListBullet"/>
        <w:spacing w:line="276" w:lineRule="auto" w:after="120"/>
        <w:jc w:val="both"/>
      </w:pPr>
      <w:r>
        <w:rPr>
          <w:b w:val="0"/>
          <w:sz w:val="24"/>
        </w:rPr>
        <w:t>Data residency and security obligations that demand encryption, role-based access, and documented controls.</w:t>
      </w:r>
    </w:p>
    <w:p>
      <w:pPr>
        <w:spacing w:line="276" w:lineRule="auto" w:after="200"/>
        <w:jc w:val="both"/>
      </w:pPr>
      <w:r>
        <w:rPr>
          <w:b w:val="0"/>
          <w:sz w:val="24"/>
        </w:rPr>
        <w:t>Critical acceptance criteria at 12 months</w:t>
      </w:r>
    </w:p>
    <w:p>
      <w:pPr>
        <w:pStyle w:val="ListBullet"/>
        <w:spacing w:line="276" w:lineRule="auto" w:after="120"/>
        <w:jc w:val="both"/>
      </w:pPr>
      <w:r>
        <w:rPr>
          <w:b w:val="0"/>
          <w:sz w:val="24"/>
        </w:rPr>
        <w:t>Central control and field sensors operational across committed corridors on the agreed go-live date.</w:t>
      </w:r>
    </w:p>
    <w:p>
      <w:pPr>
        <w:pStyle w:val="ListBullet"/>
        <w:spacing w:line="276" w:lineRule="auto" w:after="120"/>
        <w:jc w:val="both"/>
      </w:pPr>
      <w:r>
        <w:rPr>
          <w:b w:val="0"/>
          <w:sz w:val="24"/>
        </w:rPr>
        <w:t>KPIs trending toward stated targets with baseline comparisons and 90-day performance reports.</w:t>
      </w:r>
    </w:p>
    <w:p>
      <w:pPr>
        <w:pStyle w:val="ListBullet"/>
        <w:spacing w:line="276" w:lineRule="auto" w:after="120"/>
        <w:jc w:val="both"/>
      </w:pPr>
      <w:r>
        <w:rPr>
          <w:b w:val="0"/>
          <w:sz w:val="24"/>
        </w:rPr>
        <w:t>Local operations and IT staff trained and certified; runbooks and maintenance schedules handed over.</w:t>
      </w:r>
    </w:p>
    <w:p>
      <w:pPr>
        <w:pStyle w:val="ListBullet"/>
        <w:spacing w:line="276" w:lineRule="auto" w:after="120"/>
        <w:jc w:val="both"/>
      </w:pPr>
      <w:r>
        <w:rPr>
          <w:b w:val="0"/>
          <w:sz w:val="24"/>
        </w:rPr>
        <w:t>Full documentation, spare-parts list, vendor contingency plan, and signed SLAs for support and escalation.</w:t>
      </w:r>
    </w:p>
    <w:p>
      <w:pPr>
        <w:spacing w:line="276" w:lineRule="auto" w:after="200"/>
        <w:jc w:val="both"/>
      </w:pPr>
      <w:r>
        <w:rPr>
          <w:b w:val="0"/>
          <w:sz w:val="24"/>
        </w:rPr>
        <w:t>Top program risks (high level) and mitigation direction</w:t>
      </w:r>
    </w:p>
    <w:p>
      <w:pPr>
        <w:pStyle w:val="ListBullet"/>
        <w:spacing w:line="276" w:lineRule="auto" w:after="120"/>
        <w:jc w:val="both"/>
      </w:pPr>
      <w:r>
        <w:rPr>
          <w:b w:val="0"/>
          <w:sz w:val="24"/>
        </w:rPr>
        <w:t>Supply chain delays: dual‑sourcing, priority pre-orders during discovery, and phased deployment on highest-value corridors first.</w:t>
      </w:r>
    </w:p>
    <w:p>
      <w:pPr>
        <w:pStyle w:val="ListBullet"/>
        <w:spacing w:line="276" w:lineRule="auto" w:after="120"/>
        <w:jc w:val="both"/>
      </w:pPr>
      <w:r>
        <w:rPr>
          <w:b w:val="0"/>
          <w:sz w:val="24"/>
        </w:rPr>
        <w:t>Integration with legacy controllers: complete protocol inventory early, lab validation of adapters, and a gateway abstraction layer to minimize on-street disruption.</w:t>
      </w:r>
    </w:p>
    <w:p>
      <w:pPr>
        <w:pStyle w:val="ListBullet"/>
        <w:spacing w:line="276" w:lineRule="auto" w:after="120"/>
        <w:jc w:val="both"/>
      </w:pPr>
      <w:r>
        <w:rPr>
          <w:b w:val="0"/>
          <w:sz w:val="24"/>
        </w:rPr>
        <w:t>Failure to meet performance targets: rigorous pilot trials, model-driven timing plans, and iterative A/B tuning before city-wide roll-out.</w:t>
      </w:r>
    </w:p>
    <w:p>
      <w:pPr>
        <w:pStyle w:val="ListBullet"/>
        <w:spacing w:line="276" w:lineRule="auto" w:after="120"/>
        <w:jc w:val="both"/>
      </w:pPr>
      <w:r>
        <w:rPr>
          <w:b w:val="0"/>
          <w:sz w:val="24"/>
        </w:rPr>
        <w:t>Security/compliance gaps: adopt an ISO-aligned baseline, encrypt in transit/at rest, and deliver auditable logs and documentation as part of acceptance.</w:t>
      </w:r>
    </w:p>
    <w:p>
      <w:pPr>
        <w:spacing w:line="276" w:lineRule="auto" w:after="200"/>
        <w:jc w:val="both"/>
      </w:pPr>
      <w:r>
        <w:rPr>
          <w:b w:val="0"/>
          <w:sz w:val="24"/>
        </w:rPr>
        <w:t>Immediate inputs we require from HMDA</w:t>
      </w:r>
    </w:p>
    <w:p>
      <w:pPr>
        <w:pStyle w:val="ListBullet"/>
        <w:spacing w:line="276" w:lineRule="auto" w:after="120"/>
        <w:jc w:val="both"/>
      </w:pPr>
      <w:r>
        <w:rPr>
          <w:b w:val="0"/>
          <w:sz w:val="24"/>
        </w:rPr>
        <w:t>Current inventory of controllers, communications networks, CCTV/sensor locations and transport APIs.</w:t>
      </w:r>
    </w:p>
    <w:p>
      <w:pPr>
        <w:pStyle w:val="ListBullet"/>
        <w:spacing w:line="276" w:lineRule="auto" w:after="120"/>
        <w:jc w:val="both"/>
      </w:pPr>
      <w:r>
        <w:rPr>
          <w:b w:val="0"/>
          <w:sz w:val="24"/>
        </w:rPr>
        <w:t>Priority corridors, peak/off-peak profiles and baseline travel-time/incident data.</w:t>
      </w:r>
    </w:p>
    <w:p>
      <w:pPr>
        <w:pStyle w:val="ListBullet"/>
        <w:spacing w:line="276" w:lineRule="auto" w:after="120"/>
        <w:jc w:val="both"/>
      </w:pPr>
      <w:r>
        <w:rPr>
          <w:b w:val="0"/>
          <w:sz w:val="24"/>
        </w:rPr>
        <w:t>Procurement windows, approval SLAs and primary points of contact for testing/co‑ordination.</w:t>
      </w:r>
    </w:p>
    <w:p>
      <w:pPr>
        <w:spacing w:line="276" w:lineRule="auto" w:after="200"/>
        <w:jc w:val="both"/>
      </w:pPr>
      <w:r>
        <w:rPr>
          <w:b w:val="0"/>
          <w:sz w:val="24"/>
        </w:rPr>
        <w:t>We will convert this understanding into phased delivery milestones, test regimes and KPI dashboards. Technical design and execution detail follow in the Program Approach section.</w:t>
      </w:r>
    </w:p>
    <w:p>
      <w:pPr>
        <w:pStyle w:val="Heading1"/>
        <w:pageBreakBefore/>
        <w:spacing w:after="480"/>
      </w:pPr>
      <w:r>
        <w:rPr>
          <w:b/>
          <w:color w:val="002060"/>
          <w:sz w:val="32"/>
        </w:rPr>
        <w:t>3. TECHNICAL/SOLUTION PROPOSAL</w:t>
      </w:r>
    </w:p>
    <w:p>
      <w:pPr>
        <w:spacing w:line="276" w:lineRule="auto" w:after="200"/>
        <w:jc w:val="both"/>
      </w:pPr>
      <w:r>
        <w:rPr>
          <w:b w:val="0"/>
          <w:sz w:val="24"/>
        </w:rPr>
        <w:t>We will deliver an enterprise-grade, standards-compliant Intelligent Traffic Management System (ITMS) architecture that prioritizes low-latency adaptive control, modular scalability, and operational resilience — designed to meet HMDA’s targets for travel-time reduction and incident response while remaining fully aligned to Indian data residency and ISO27001 requirements.</w:t>
      </w:r>
    </w:p>
    <w:p>
      <w:pPr>
        <w:spacing w:line="276" w:lineRule="auto" w:after="200"/>
        <w:jc w:val="both"/>
      </w:pPr>
      <w:r>
        <w:rPr>
          <w:b w:val="0"/>
          <w:sz w:val="24"/>
        </w:rPr>
        <w:t>1) Architecture summary and rationale</w:t>
      </w:r>
    </w:p>
    <w:p>
      <w:pPr>
        <w:pStyle w:val="ListBullet"/>
        <w:spacing w:line="276" w:lineRule="auto" w:after="120"/>
        <w:jc w:val="both"/>
      </w:pPr>
      <w:r>
        <w:rPr>
          <w:b w:val="0"/>
          <w:sz w:val="24"/>
        </w:rPr>
        <w:t>Pattern: hybrid, edge-first design. Edge devices perform primary sensing and initial analytics; the centralized control platform hosts decisioning, historical analytics, supervisory interfaces and incident orchestration. This reduces bandwidth requirements and preserves low-latency control loops.</w:t>
      </w:r>
    </w:p>
    <w:p>
      <w:pPr>
        <w:pStyle w:val="ListBullet"/>
        <w:spacing w:line="276" w:lineRule="auto" w:after="120"/>
        <w:jc w:val="both"/>
      </w:pPr>
      <w:r>
        <w:rPr>
          <w:b w:val="0"/>
          <w:sz w:val="24"/>
        </w:rPr>
        <w:t>Why this matters: sending only telemetry/metadata and targeted video clips keeps central latency low and costs manageable while enabling city-scale analytics and long-term storage in India.</w:t>
      </w:r>
    </w:p>
    <w:p>
      <w:pPr>
        <w:spacing w:line="276" w:lineRule="auto" w:after="200"/>
        <w:jc w:val="both"/>
      </w:pPr>
      <w:r>
        <w:rPr>
          <w:b w:val="0"/>
          <w:sz w:val="24"/>
        </w:rPr>
        <w:t>2) Centralized control platform (logical / physical)</w:t>
      </w:r>
    </w:p>
    <w:p>
      <w:pPr>
        <w:pStyle w:val="ListBullet"/>
        <w:spacing w:line="276" w:lineRule="auto" w:after="120"/>
        <w:jc w:val="both"/>
      </w:pPr>
      <w:r>
        <w:rPr>
          <w:b w:val="0"/>
          <w:sz w:val="24"/>
        </w:rPr>
        <w:t>Logical layers: Device &amp; Edge Layer → Ingestion &amp; Message Bus (MQTT/AMQP) → Real-time Control Engine (TrafficFlow Suite 2025) → Analytics / Data Lake (InsightAnalytics 4.0) → Presentation &amp; Operations (ManageView Pro) → Integration APIs (public transport, legacy signals, emergency services).</w:t>
      </w:r>
    </w:p>
    <w:p>
      <w:pPr>
        <w:pStyle w:val="ListBullet"/>
        <w:spacing w:line="276" w:lineRule="auto" w:after="120"/>
        <w:jc w:val="both"/>
      </w:pPr>
      <w:r>
        <w:rPr>
          <w:b w:val="0"/>
          <w:sz w:val="24"/>
        </w:rPr>
        <w:t>Physical topology: Primary control cluster hosted in an Indian data center (colocated), secondary DR cluster in a second Indian region. Central platform is delivered as hardened VMs/containers behind an F5 load balancer and private VPN/MPLS links to field gateways.</w:t>
      </w:r>
    </w:p>
    <w:p>
      <w:pPr>
        <w:pStyle w:val="ListBullet"/>
        <w:spacing w:line="276" w:lineRule="auto" w:after="120"/>
        <w:jc w:val="both"/>
      </w:pPr>
      <w:r>
        <w:rPr>
          <w:b w:val="0"/>
          <w:sz w:val="24"/>
        </w:rPr>
        <w:t>Ownership: Solution Architect: Arjun Mehta (Principal Solutions Architect). Technical Architect support: Neha Kapoor. Deliverable owner for design artifacts: Arjun Mehta. Design deliverables (logical &amp; physical diagrams, BOM, capacity calc, RTO/RPO) will be delivered by 2025-04-15.</w:t>
      </w:r>
    </w:p>
    <w:p>
      <w:pPr>
        <w:spacing w:line="276" w:lineRule="auto" w:after="200"/>
        <w:jc w:val="both"/>
      </w:pPr>
      <w:r>
        <w:rPr>
          <w:b w:val="0"/>
          <w:sz w:val="24"/>
        </w:rPr>
        <w:t>3) Sensor network and edge processing</w:t>
      </w:r>
    </w:p>
    <w:p>
      <w:pPr>
        <w:pStyle w:val="ListBullet"/>
        <w:spacing w:line="276" w:lineRule="auto" w:after="120"/>
        <w:jc w:val="both"/>
      </w:pPr>
      <w:r>
        <w:rPr>
          <w:b w:val="0"/>
          <w:sz w:val="24"/>
        </w:rPr>
        <w:t>Device tiers: SmartSignal Pro 5000 (junction controllers, x30), VisionCam Ultra 4K (CCTV with edge analytics, x50), TrafficSense 3000 (radar/loop sensors, x100).</w:t>
      </w:r>
    </w:p>
    <w:p>
      <w:pPr>
        <w:pStyle w:val="ListBullet"/>
        <w:spacing w:line="276" w:lineRule="auto" w:after="120"/>
        <w:jc w:val="both"/>
      </w:pPr>
      <w:r>
        <w:rPr>
          <w:b w:val="0"/>
          <w:sz w:val="24"/>
        </w:rPr>
        <w:t>Edge strategy: Each camera runs inference at the edge (vehicle count, queue length, incident detection). Default behavior: metadata (JSON) streamed continuously; raw/high-res video kept local and forwarded only on flagged events or on-demand retrieval.</w:t>
      </w:r>
    </w:p>
    <w:p>
      <w:pPr>
        <w:pStyle w:val="ListBullet"/>
        <w:spacing w:line="276" w:lineRule="auto" w:after="120"/>
        <w:jc w:val="both"/>
      </w:pPr>
      <w:r>
        <w:rPr>
          <w:b w:val="0"/>
          <w:sz w:val="24"/>
        </w:rPr>
        <w:t>Local gateway: field gateways (one per corridor cluster) perform TLS-terminated aggregation, local caching, store-and-forward for intermittent links, and act as OTA update points.</w:t>
      </w:r>
    </w:p>
    <w:p>
      <w:pPr>
        <w:spacing w:line="276" w:lineRule="auto" w:after="200"/>
        <w:jc w:val="both"/>
      </w:pPr>
      <w:r>
        <w:rPr>
          <w:b w:val="0"/>
          <w:sz w:val="24"/>
        </w:rPr>
        <w:t>4) Data flows, capacity &amp; latency budgets</w:t>
      </w:r>
    </w:p>
    <w:p>
      <w:pPr>
        <w:pStyle w:val="ListBullet"/>
        <w:spacing w:line="276" w:lineRule="auto" w:after="120"/>
        <w:jc w:val="both"/>
      </w:pPr>
      <w:r>
        <w:rPr>
          <w:b w:val="0"/>
          <w:sz w:val="24"/>
        </w:rPr>
        <w:t>Telemetry model: telemetry packets (0.5–2 KB/sec per sensor); image/clip payloads sized 0.5–10 MB per event.</w:t>
      </w:r>
    </w:p>
    <w:p>
      <w:pPr>
        <w:pStyle w:val="ListBullet"/>
        <w:spacing w:line="276" w:lineRule="auto" w:after="120"/>
        <w:jc w:val="both"/>
      </w:pPr>
      <w:r>
        <w:rPr>
          <w:b w:val="0"/>
          <w:sz w:val="24"/>
        </w:rPr>
        <w:t>Bandwidth baseline (typical):</w:t>
      </w:r>
    </w:p>
    <w:p>
      <w:pPr>
        <w:pStyle w:val="ListBullet"/>
        <w:spacing w:line="276" w:lineRule="auto" w:after="120"/>
        <w:jc w:val="both"/>
      </w:pPr>
      <w:r>
        <w:rPr>
          <w:b w:val="0"/>
          <w:sz w:val="24"/>
        </w:rPr>
        <w:t>Cameras: 50 streams × 2 Mbps (edge transcoded streams to central for situational awareness) = 100 Mbps.</w:t>
      </w:r>
    </w:p>
    <w:p>
      <w:pPr>
        <w:pStyle w:val="ListBullet"/>
        <w:spacing w:line="276" w:lineRule="auto" w:after="120"/>
        <w:jc w:val="both"/>
      </w:pPr>
      <w:r>
        <w:rPr>
          <w:b w:val="0"/>
          <w:sz w:val="24"/>
        </w:rPr>
        <w:t>Sensors/controllers: 130 devices × 0.1 Mbps = 13 Mbps.</w:t>
      </w:r>
    </w:p>
    <w:p>
      <w:pPr>
        <w:pStyle w:val="ListBullet"/>
        <w:spacing w:line="276" w:lineRule="auto" w:after="120"/>
        <w:jc w:val="both"/>
      </w:pPr>
      <w:r>
        <w:rPr>
          <w:b w:val="0"/>
          <w:sz w:val="24"/>
        </w:rPr>
        <w:t>Control/command signaling negligible (&lt;1 Mbps) but latency-sensitive.</w:t>
      </w:r>
    </w:p>
    <w:p>
      <w:pPr>
        <w:pStyle w:val="ListBullet"/>
        <w:spacing w:line="276" w:lineRule="auto" w:after="120"/>
        <w:jc w:val="both"/>
      </w:pPr>
      <w:r>
        <w:rPr>
          <w:b w:val="0"/>
          <w:sz w:val="24"/>
        </w:rPr>
        <w:t>Aggregate baseline with 40% headroom ≈ 155–200 Mbps. Design recommendation: provision 500 Mbps per regional link to allow for bursts, OTA, remote diagnostics and future growth.</w:t>
      </w:r>
    </w:p>
    <w:p>
      <w:pPr>
        <w:pStyle w:val="ListBullet"/>
        <w:spacing w:line="276" w:lineRule="auto" w:after="120"/>
        <w:jc w:val="both"/>
      </w:pPr>
      <w:r>
        <w:rPr>
          <w:b w:val="0"/>
          <w:sz w:val="24"/>
        </w:rPr>
        <w:t>Latency budgets:</w:t>
      </w:r>
    </w:p>
    <w:p>
      <w:pPr>
        <w:pStyle w:val="ListBullet"/>
        <w:spacing w:line="276" w:lineRule="auto" w:after="120"/>
        <w:jc w:val="both"/>
      </w:pPr>
      <w:r>
        <w:rPr>
          <w:b w:val="0"/>
          <w:sz w:val="24"/>
        </w:rPr>
        <w:t>Control loop (sensor → controller → actuation): target 100 ms RTT for adaptive signal changes.</w:t>
      </w:r>
    </w:p>
    <w:p>
      <w:pPr>
        <w:pStyle w:val="ListBullet"/>
        <w:spacing w:line="276" w:lineRule="auto" w:after="120"/>
        <w:jc w:val="both"/>
      </w:pPr>
      <w:r>
        <w:rPr>
          <w:b w:val="0"/>
          <w:sz w:val="24"/>
        </w:rPr>
        <w:t>Event detection telemetry: target 300–500 ms for detection-to-notification.</w:t>
      </w:r>
    </w:p>
    <w:p>
      <w:pPr>
        <w:pStyle w:val="ListBullet"/>
        <w:spacing w:line="276" w:lineRule="auto" w:after="120"/>
        <w:jc w:val="both"/>
      </w:pPr>
      <w:r>
        <w:rPr>
          <w:b w:val="0"/>
          <w:sz w:val="24"/>
        </w:rPr>
        <w:t>RTO / RPO (central platform): RTO = 15 minutes for P1 control cluster failover; RPO = 1 minute for real-time state replication. For analytics data store RTO = 4 hours, RPO = 1 hour (trade-off between cost and retention). We chose these to balance cost with operational risk; lower RTOs increase infrastructure cost materially.</w:t>
      </w:r>
    </w:p>
    <w:p>
      <w:pPr>
        <w:spacing w:line="276" w:lineRule="auto" w:after="200"/>
        <w:jc w:val="both"/>
      </w:pPr>
      <w:r>
        <w:rPr>
          <w:b w:val="0"/>
          <w:sz w:val="24"/>
        </w:rPr>
        <w:t>5) Redundancy, failover and scalability</w:t>
      </w:r>
    </w:p>
    <w:p>
      <w:pPr>
        <w:pStyle w:val="ListBullet"/>
        <w:spacing w:line="276" w:lineRule="auto" w:after="120"/>
        <w:jc w:val="both"/>
      </w:pPr>
      <w:r>
        <w:rPr>
          <w:b w:val="0"/>
          <w:sz w:val="24"/>
        </w:rPr>
        <w:t>Dual-path communication: primary MPLS/leased line + secondary 4G/5G LTE (automatic failover). Gateways support SD-WAN policies with active/standby.</w:t>
      </w:r>
    </w:p>
    <w:p>
      <w:pPr>
        <w:pStyle w:val="ListBullet"/>
        <w:spacing w:line="276" w:lineRule="auto" w:after="120"/>
        <w:jc w:val="both"/>
      </w:pPr>
      <w:r>
        <w:rPr>
          <w:b w:val="0"/>
          <w:sz w:val="24"/>
        </w:rPr>
        <w:t>High-availability central cluster: active-active control nodes across two data halls with synchronous replication for control state; asynchronous tiered replication for historical data.</w:t>
      </w:r>
    </w:p>
    <w:p>
      <w:pPr>
        <w:pStyle w:val="ListBullet"/>
        <w:spacing w:line="276" w:lineRule="auto" w:after="120"/>
        <w:jc w:val="both"/>
      </w:pPr>
      <w:r>
        <w:rPr>
          <w:b w:val="0"/>
          <w:sz w:val="24"/>
        </w:rPr>
        <w:t>Horizontal scalability: microservices for ingestion and analytics with Kubernetes autoscaling; capacity plan supports a 3x increase in device count without redesign.</w:t>
      </w:r>
    </w:p>
    <w:p>
      <w:pPr>
        <w:pStyle w:val="ListBullet"/>
        <w:spacing w:line="276" w:lineRule="auto" w:after="120"/>
        <w:jc w:val="both"/>
      </w:pPr>
      <w:r>
        <w:rPr>
          <w:b w:val="0"/>
          <w:sz w:val="24"/>
        </w:rPr>
        <w:t>Failover behavior: diagrammed failover sequences (edge caching → regional control takeover → central failover) will be supplied on 2025-04-15 as part of Design Completion deliverables.</w:t>
      </w:r>
    </w:p>
    <w:p>
      <w:pPr>
        <w:spacing w:line="276" w:lineRule="auto" w:after="200"/>
        <w:jc w:val="both"/>
      </w:pPr>
      <w:r>
        <w:rPr>
          <w:b w:val="0"/>
          <w:sz w:val="24"/>
        </w:rPr>
        <w:t>6) Communication network design &amp; cybersecurity</w:t>
      </w:r>
    </w:p>
    <w:p>
      <w:pPr>
        <w:pStyle w:val="ListBullet"/>
        <w:spacing w:line="276" w:lineRule="auto" w:after="120"/>
        <w:jc w:val="both"/>
      </w:pPr>
      <w:r>
        <w:rPr>
          <w:b w:val="0"/>
          <w:sz w:val="24"/>
        </w:rPr>
        <w:t>Topology: star/mesh hybrid — field gateways connect to regional aggregation points over redundant links; regional points connect to central via dual diversified fiber/MPLS.</w:t>
      </w:r>
    </w:p>
    <w:p>
      <w:pPr>
        <w:pStyle w:val="ListBullet"/>
        <w:spacing w:line="276" w:lineRule="auto" w:after="120"/>
        <w:jc w:val="both"/>
      </w:pPr>
      <w:r>
        <w:rPr>
          <w:b w:val="0"/>
          <w:sz w:val="24"/>
        </w:rPr>
        <w:t>QoS: strict prioritization for control traffic (DSCP markings) and guaranteed bandwidth reservations for control channels; less critical telemetry marked lower priority.</w:t>
      </w:r>
    </w:p>
    <w:p>
      <w:pPr>
        <w:pStyle w:val="ListBullet"/>
        <w:spacing w:line="276" w:lineRule="auto" w:after="120"/>
        <w:jc w:val="both"/>
      </w:pPr>
      <w:r>
        <w:rPr>
          <w:b w:val="0"/>
          <w:sz w:val="24"/>
        </w:rPr>
        <w:t>Encryption &amp; identity: mutual TLS (mTLS) for all device-cloud connections, X.509 device certificates provisioned via a secure PKI and hardware-backed keys (TPM/HSM where available).</w:t>
      </w:r>
    </w:p>
    <w:p>
      <w:pPr>
        <w:pStyle w:val="ListBullet"/>
        <w:spacing w:line="276" w:lineRule="auto" w:after="120"/>
        <w:jc w:val="both"/>
      </w:pPr>
      <w:r>
        <w:rPr>
          <w:b w:val="0"/>
          <w:sz w:val="24"/>
        </w:rPr>
        <w:t>Perimeter &amp; monitoring: IDS/IPS, next-gen firewall at aggregation points, centralized SIEM (Splunk/Datadog) for logs/alerts, NetFlow and synthetic transaction monitoring to detect degradation. Compliance aligned to ISO27001 controls and Indian data protection guidance.</w:t>
      </w:r>
    </w:p>
    <w:p>
      <w:pPr>
        <w:spacing w:line="276" w:lineRule="auto" w:after="200"/>
        <w:jc w:val="both"/>
      </w:pPr>
      <w:r>
        <w:rPr>
          <w:b w:val="0"/>
          <w:sz w:val="24"/>
        </w:rPr>
        <w:t>7) Hardware supply, BOM and procurement mitigations</w:t>
      </w:r>
    </w:p>
    <w:p>
      <w:pPr>
        <w:pStyle w:val="ListBullet"/>
        <w:spacing w:line="276" w:lineRule="auto" w:after="120"/>
        <w:jc w:val="both"/>
      </w:pPr>
      <w:r>
        <w:rPr>
          <w:b w:val="0"/>
          <w:sz w:val="24"/>
        </w:rPr>
        <w:t>Confirmed items: SmartSignal Pro 5000 ×30; VisionCam Ultra 4K ×50; TrafficSense 3000 ×100.</w:t>
      </w:r>
    </w:p>
    <w:p>
      <w:pPr>
        <w:pStyle w:val="ListBullet"/>
        <w:spacing w:line="276" w:lineRule="auto" w:after="120"/>
        <w:jc w:val="both"/>
      </w:pPr>
      <w:r>
        <w:rPr>
          <w:b w:val="0"/>
          <w:sz w:val="24"/>
        </w:rPr>
        <w:t>Manufacturer &amp; alternatives (summary table):</w:t>
      </w:r>
    </w:p>
    <w:p>
      <w:pPr>
        <w:pStyle w:val="ListBullet"/>
        <w:spacing w:line="276" w:lineRule="auto" w:after="120"/>
        <w:jc w:val="both"/>
      </w:pPr>
      <w:r>
        <w:rPr>
          <w:b w:val="0"/>
          <w:sz w:val="24"/>
        </w:rPr>
        <w:t>SmartSignal Pro 5000 — Manufacturer: SignalTech Inc.; FAT plan: factory configuration &amp; timing tests. Alternative: CityController X700 (equivalent I/O, latency ±5ms).</w:t>
      </w:r>
    </w:p>
    <w:p>
      <w:pPr>
        <w:pStyle w:val="ListBullet"/>
        <w:spacing w:line="276" w:lineRule="auto" w:after="120"/>
        <w:jc w:val="both"/>
      </w:pPr>
      <w:r>
        <w:rPr>
          <w:b w:val="0"/>
          <w:sz w:val="24"/>
        </w:rPr>
        <w:t>VisionCam Ultra 4K — Manufacturer: VisionWorks; Alternative: StreamSight 4K with edge-analytics module (equivalent resolution and onboard inference CPU/GPU).</w:t>
      </w:r>
    </w:p>
    <w:p>
      <w:pPr>
        <w:pStyle w:val="ListBullet"/>
        <w:spacing w:line="276" w:lineRule="auto" w:after="120"/>
        <w:jc w:val="both"/>
      </w:pPr>
      <w:r>
        <w:rPr>
          <w:b w:val="0"/>
          <w:sz w:val="24"/>
        </w:rPr>
        <w:t>TrafficSense 3000 — Manufacturer: RoadSense; Alternative: LoopSense L300 (equivalent detection accuracy).</w:t>
      </w:r>
    </w:p>
    <w:p>
      <w:pPr>
        <w:pStyle w:val="ListBullet"/>
        <w:spacing w:line="276" w:lineRule="auto" w:after="120"/>
        <w:jc w:val="both"/>
      </w:pPr>
      <w:r>
        <w:rPr>
          <w:b w:val="0"/>
          <w:sz w:val="24"/>
        </w:rPr>
        <w:t>Lead times (expected): cameras 12–16 weeks; controllers 10–14 weeks; sensors 8–12 weeks. Procurement Lead: Vikram Patel. Procurement will secure local spares (minimum 10% per device type) and establish an HMDA-local stocking plan in Hyderabad to mitigate supply-chain delays.</w:t>
      </w:r>
    </w:p>
    <w:p>
      <w:pPr>
        <w:pStyle w:val="ListBullet"/>
        <w:spacing w:line="276" w:lineRule="auto" w:after="120"/>
        <w:jc w:val="both"/>
      </w:pPr>
      <w:r>
        <w:rPr>
          <w:b w:val="0"/>
          <w:sz w:val="24"/>
        </w:rPr>
        <w:t>Factory Acceptance Test (FAT): standard FAT checklist (power, I/O, comms, thermal, firmware verification, interoperability with gateways) executed at factory and repeated at site during SAT.</w:t>
      </w:r>
    </w:p>
    <w:p>
      <w:pPr>
        <w:spacing w:line="276" w:lineRule="auto" w:after="200"/>
        <w:jc w:val="both"/>
      </w:pPr>
      <w:r>
        <w:rPr>
          <w:b w:val="0"/>
          <w:sz w:val="24"/>
        </w:rPr>
        <w:t>8) Software delivery model, licensing &amp; deployment</w:t>
      </w:r>
    </w:p>
    <w:p>
      <w:pPr>
        <w:pStyle w:val="ListBullet"/>
        <w:spacing w:line="276" w:lineRule="auto" w:after="120"/>
        <w:jc w:val="both"/>
      </w:pPr>
      <w:r>
        <w:rPr>
          <w:b w:val="0"/>
          <w:sz w:val="24"/>
        </w:rPr>
        <w:t>Deployment topology: hybrid. TrafficFlow Suite 2025 deployed on-prem (low-latency control), InsightAnalytics 4.0 deployed in an India-hosted private cloud (analytics/BI), ManageView Pro delivered as an India-hosted SaaS/web UI. All data at rest for operational telemetry stored in India.</w:t>
      </w:r>
    </w:p>
    <w:p>
      <w:pPr>
        <w:pStyle w:val="ListBullet"/>
        <w:spacing w:line="276" w:lineRule="auto" w:after="120"/>
        <w:jc w:val="both"/>
      </w:pPr>
      <w:r>
        <w:rPr>
          <w:b w:val="0"/>
          <w:sz w:val="24"/>
        </w:rPr>
        <w:t>Licensing (high-level): TrafficFlow Suite: enterprise license per intersection cluster + annual maintenance; InsightAnalytics: subscription by analytics node / TB ingested; ManageView Pro: concurrent user licenses with admin seats. Software Lead: Priya Rao. Detailed license schedule and user counts will be provided in the license appendix ahead of SIT.</w:t>
      </w:r>
    </w:p>
    <w:p>
      <w:pPr>
        <w:pStyle w:val="ListBullet"/>
        <w:spacing w:line="276" w:lineRule="auto" w:after="120"/>
        <w:jc w:val="both"/>
      </w:pPr>
      <w:r>
        <w:rPr>
          <w:b w:val="0"/>
          <w:sz w:val="24"/>
        </w:rPr>
        <w:t>CI/CD &amp; testing: Dev → QA/SIT → UAT → Prod pipeline using GitHub Actions and automated test suites. System Integration Testing readiness target: June 2025 (aligned with SIT phase in RFP).</w:t>
      </w:r>
    </w:p>
    <w:p>
      <w:pPr>
        <w:spacing w:line="276" w:lineRule="auto" w:after="200"/>
        <w:jc w:val="both"/>
      </w:pPr>
      <w:r>
        <w:rPr>
          <w:b w:val="0"/>
          <w:sz w:val="24"/>
        </w:rPr>
        <w:t>9) Public transport integration</w:t>
      </w:r>
    </w:p>
    <w:p>
      <w:pPr>
        <w:pStyle w:val="ListBullet"/>
        <w:spacing w:line="276" w:lineRule="auto" w:after="120"/>
        <w:jc w:val="both"/>
      </w:pPr>
      <w:r>
        <w:rPr>
          <w:b w:val="0"/>
          <w:sz w:val="24"/>
        </w:rPr>
        <w:t>Integration approach: RESTful API-first design with standard GTFS-RT support for schedule/vehicle position feeds and a configurable adapter for local public transport operator APIs.</w:t>
      </w:r>
    </w:p>
    <w:p>
      <w:pPr>
        <w:pStyle w:val="ListBullet"/>
        <w:spacing w:line="276" w:lineRule="auto" w:after="120"/>
        <w:jc w:val="both"/>
      </w:pPr>
      <w:r>
        <w:rPr>
          <w:b w:val="0"/>
          <w:sz w:val="24"/>
        </w:rPr>
        <w:t>Data sharing: aggregated green-wave requests and priority events exposed via secured APIs with role-based access and data-sharing agreements. Integration Engineer: Sameer Reddy. A 4-week pilot with one PT corridor will be executed during SIT to validate synchronization and priority handovers.</w:t>
      </w:r>
    </w:p>
    <w:p>
      <w:pPr>
        <w:spacing w:line="276" w:lineRule="auto" w:after="200"/>
        <w:jc w:val="both"/>
      </w:pPr>
      <w:r>
        <w:rPr>
          <w:b w:val="0"/>
          <w:sz w:val="24"/>
        </w:rPr>
        <w:t>10) Deliverables, owners and acceptance</w:t>
      </w:r>
    </w:p>
    <w:p>
      <w:pPr>
        <w:pStyle w:val="ListBullet"/>
        <w:spacing w:line="276" w:lineRule="auto" w:after="120"/>
        <w:jc w:val="both"/>
      </w:pPr>
      <w:r>
        <w:rPr>
          <w:b w:val="0"/>
          <w:sz w:val="24"/>
        </w:rPr>
        <w:t>Delivered by 2025-04-15: Logical &amp; physical architecture diagrams, network topology, data flow diagrams, redundancy/failover diagrams, BOM &amp; procurement schedule, capacity calculations, RTO/RPO &amp; SLA recommendations, security &amp; compliance plan. Owners: Arjun Mehta (architecture), Vikram Patel (procurement), Neha Kapoor (network), Ravi Singh (security).</w:t>
      </w:r>
    </w:p>
    <w:p>
      <w:pPr>
        <w:pStyle w:val="ListBullet"/>
        <w:spacing w:line="276" w:lineRule="auto" w:after="120"/>
        <w:jc w:val="both"/>
      </w:pPr>
      <w:r>
        <w:rPr>
          <w:b w:val="0"/>
          <w:sz w:val="24"/>
        </w:rPr>
        <w:t>Acceptance criteria: artifacts reviewed in Design Review Board, security checklist meets ISO27001 controls, capacity tests pass simulated load at 3x expected baseline.</w:t>
      </w:r>
    </w:p>
    <w:p>
      <w:pPr>
        <w:spacing w:line="276" w:lineRule="auto" w:after="200"/>
        <w:jc w:val="both"/>
      </w:pPr>
      <w:r>
        <w:rPr>
          <w:b w:val="0"/>
          <w:sz w:val="24"/>
        </w:rPr>
        <w:t>Next steps: We will submit the detailed architecture package on the agreed milestone and schedule a technical walkthrough with HMDA’s IT and traffic operations teams. The package will include the referenced diagrams, full BOM with part numbers, factory QA plan, and the license schedule for sign-off.</w:t>
      </w:r>
    </w:p>
    <w:p>
      <w:pPr>
        <w:pStyle w:val="Heading1"/>
        <w:pageBreakBefore/>
        <w:spacing w:after="480"/>
      </w:pPr>
      <w:r>
        <w:rPr>
          <w:b/>
          <w:color w:val="002060"/>
          <w:sz w:val="32"/>
        </w:rPr>
        <w:t>4. DELIVERY APPROACH &amp; METHODOLOGY</w:t>
      </w:r>
    </w:p>
    <w:p>
      <w:pPr>
        <w:spacing w:line="276" w:lineRule="auto" w:after="200"/>
        <w:jc w:val="both"/>
      </w:pPr>
      <w:r>
        <w:rPr>
          <w:b w:val="0"/>
          <w:sz w:val="24"/>
        </w:rPr>
        <w:t>Modern traffic management projects win on sequencing, not on techno-optimism. We deliver this ITMS by sequencing three things reliably: tested interfaces, tightly controlled site activities, and clear go/no‑go gates that protect traffic and people.</w:t>
      </w:r>
    </w:p>
    <w:p>
      <w:pPr>
        <w:spacing w:line="276" w:lineRule="auto" w:after="200"/>
        <w:jc w:val="both"/>
      </w:pPr>
      <w:r>
        <w:rPr>
          <w:b w:val="0"/>
          <w:sz w:val="24"/>
        </w:rPr>
        <w:t>Core delivery principles</w:t>
      </w:r>
    </w:p>
    <w:p>
      <w:pPr>
        <w:pStyle w:val="ListBullet"/>
        <w:spacing w:line="276" w:lineRule="auto" w:after="120"/>
        <w:jc w:val="both"/>
      </w:pPr>
      <w:r>
        <w:rPr>
          <w:b w:val="0"/>
          <w:sz w:val="24"/>
        </w:rPr>
        <w:t>Minimize disruption: phased, corridor-first installs with night/weekend windows and lane-closure limits (typical install window per intersection &lt;2 hours for roadside fit‑outs).</w:t>
      </w:r>
    </w:p>
    <w:p>
      <w:pPr>
        <w:pStyle w:val="ListBullet"/>
        <w:spacing w:line="276" w:lineRule="auto" w:after="120"/>
        <w:jc w:val="both"/>
      </w:pPr>
      <w:r>
        <w:rPr>
          <w:b w:val="0"/>
          <w:sz w:val="24"/>
        </w:rPr>
        <w:t>Prove early, scale safely: pilot corridor -&gt; progressive roll-out -&gt; city-wide cutover, with rollback options at every gate.</w:t>
      </w:r>
    </w:p>
    <w:p>
      <w:pPr>
        <w:pStyle w:val="ListBullet"/>
        <w:spacing w:line="276" w:lineRule="auto" w:after="120"/>
        <w:jc w:val="both"/>
      </w:pPr>
      <w:r>
        <w:rPr>
          <w:b w:val="0"/>
          <w:sz w:val="24"/>
        </w:rPr>
        <w:t>Interface-first: compatibility matrix and adapter middleware validated before any on-street activity.</w:t>
      </w:r>
    </w:p>
    <w:p>
      <w:pPr>
        <w:pStyle w:val="ListBullet"/>
        <w:spacing w:line="276" w:lineRule="auto" w:after="120"/>
        <w:jc w:val="both"/>
      </w:pPr>
      <w:r>
        <w:rPr>
          <w:b w:val="0"/>
          <w:sz w:val="24"/>
        </w:rPr>
        <w:t>Measured handover: acceptance tied to objective KPIs and independent verification.</w:t>
      </w:r>
    </w:p>
    <w:p>
      <w:pPr>
        <w:spacing w:line="276" w:lineRule="auto" w:after="200"/>
        <w:jc w:val="both"/>
      </w:pPr>
      <w:r>
        <w:rPr>
          <w:b w:val="0"/>
          <w:sz w:val="24"/>
        </w:rPr>
        <w:t>High-level phasing and milestone alignment</w:t>
      </w:r>
    </w:p>
    <w:p>
      <w:pPr>
        <w:spacing w:line="276" w:lineRule="auto" w:after="200"/>
        <w:jc w:val="both"/>
      </w:pPr>
      <w:r>
        <w:rPr>
          <w:b w:val="0"/>
          <w:sz w:val="24"/>
        </w:rPr>
        <w:t>1) Planning &amp; Design (Complete by Aug 15, 2025)</w:t>
      </w:r>
    </w:p>
    <w:p>
      <w:pPr>
        <w:pStyle w:val="ListBullet"/>
        <w:spacing w:line="276" w:lineRule="auto" w:after="120"/>
        <w:jc w:val="both"/>
      </w:pPr>
      <w:r>
        <w:rPr>
          <w:b w:val="0"/>
          <w:sz w:val="24"/>
        </w:rPr>
        <w:t>Baseline study (travel time, incident rates, satisfaction survey) — establishes KPI baselines.</w:t>
      </w:r>
    </w:p>
    <w:p>
      <w:pPr>
        <w:pStyle w:val="ListBullet"/>
        <w:spacing w:line="276" w:lineRule="auto" w:after="120"/>
        <w:jc w:val="both"/>
      </w:pPr>
      <w:r>
        <w:rPr>
          <w:b w:val="0"/>
          <w:sz w:val="24"/>
        </w:rPr>
        <w:t>Site surveys and controller inventory; final compatibility matrix produced.</w:t>
      </w:r>
    </w:p>
    <w:p>
      <w:pPr>
        <w:pStyle w:val="ListBullet"/>
        <w:spacing w:line="276" w:lineRule="auto" w:after="120"/>
        <w:jc w:val="both"/>
      </w:pPr>
      <w:r>
        <w:rPr>
          <w:b w:val="0"/>
          <w:sz w:val="24"/>
        </w:rPr>
        <w:t>FAT (Factory Acceptance Test) and staging plan for hardware and middleware (MuleSoft) integrations.</w:t>
      </w:r>
    </w:p>
    <w:p>
      <w:pPr>
        <w:spacing w:line="276" w:lineRule="auto" w:after="200"/>
        <w:jc w:val="both"/>
      </w:pPr>
      <w:r>
        <w:rPr>
          <w:b w:val="0"/>
          <w:sz w:val="24"/>
        </w:rPr>
        <w:t>2) Pilot Installation &amp; Integration (Aug 16 – Sept 14, 2025)</w:t>
      </w:r>
    </w:p>
    <w:p>
      <w:pPr>
        <w:pStyle w:val="ListBullet"/>
        <w:spacing w:line="276" w:lineRule="auto" w:after="120"/>
        <w:jc w:val="both"/>
      </w:pPr>
      <w:r>
        <w:rPr>
          <w:b w:val="0"/>
          <w:sz w:val="24"/>
        </w:rPr>
        <w:t>Pilot corridor selected with HMDA; on-street installs during off-peak windows.</w:t>
      </w:r>
    </w:p>
    <w:p>
      <w:pPr>
        <w:pStyle w:val="ListBullet"/>
        <w:spacing w:line="276" w:lineRule="auto" w:after="120"/>
        <w:jc w:val="both"/>
      </w:pPr>
      <w:r>
        <w:rPr>
          <w:b w:val="0"/>
          <w:sz w:val="24"/>
        </w:rPr>
        <w:t>Interfaces to legacy signals (adapter logic, NTCIP/API mappings) validated.</w:t>
      </w:r>
    </w:p>
    <w:p>
      <w:pPr>
        <w:pStyle w:val="ListBullet"/>
        <w:spacing w:line="276" w:lineRule="auto" w:after="120"/>
        <w:jc w:val="both"/>
      </w:pPr>
      <w:r>
        <w:rPr>
          <w:b w:val="0"/>
          <w:sz w:val="24"/>
        </w:rPr>
        <w:t>Pilot acceptance -&gt; authorizes wider rollout.</w:t>
      </w:r>
    </w:p>
    <w:p>
      <w:pPr>
        <w:spacing w:line="276" w:lineRule="auto" w:after="200"/>
        <w:jc w:val="both"/>
      </w:pPr>
      <w:r>
        <w:rPr>
          <w:b w:val="0"/>
          <w:sz w:val="24"/>
        </w:rPr>
        <w:t>3) Site-by-site Rollout to Hardware Installation Complete (target Sept 15, 2025)</w:t>
      </w:r>
    </w:p>
    <w:p>
      <w:pPr>
        <w:pStyle w:val="ListBullet"/>
        <w:spacing w:line="276" w:lineRule="auto" w:after="120"/>
        <w:jc w:val="both"/>
      </w:pPr>
      <w:r>
        <w:rPr>
          <w:b w:val="0"/>
          <w:sz w:val="24"/>
        </w:rPr>
        <w:t>Daily install cycle: pre-check -&gt; curbside mount -&gt; cable &amp; comms -&gt; power test -&gt; local logic verification.</w:t>
      </w:r>
    </w:p>
    <w:p>
      <w:pPr>
        <w:pStyle w:val="ListBullet"/>
        <w:spacing w:line="276" w:lineRule="auto" w:after="120"/>
        <w:jc w:val="both"/>
      </w:pPr>
      <w:r>
        <w:rPr>
          <w:b w:val="0"/>
          <w:sz w:val="24"/>
        </w:rPr>
        <w:t>Safety: traffic management plans, local police coordination, traffic marshals and site sign-off.</w:t>
      </w:r>
    </w:p>
    <w:p>
      <w:pPr>
        <w:pStyle w:val="ListBullet"/>
        <w:spacing w:line="276" w:lineRule="auto" w:after="120"/>
        <w:jc w:val="both"/>
      </w:pPr>
      <w:r>
        <w:rPr>
          <w:b w:val="0"/>
          <w:sz w:val="24"/>
        </w:rPr>
        <w:t>Each site includes a rollback checklist to revert to legacy controller within the defined downtime window.</w:t>
      </w:r>
    </w:p>
    <w:p>
      <w:pPr>
        <w:spacing w:line="276" w:lineRule="auto" w:after="200"/>
        <w:jc w:val="both"/>
      </w:pPr>
      <w:r>
        <w:rPr>
          <w:b w:val="0"/>
          <w:sz w:val="24"/>
        </w:rPr>
        <w:t>4) System Integration &amp; Testing (SIT) through System Testing Completion (target Nov 15, 2025)</w:t>
      </w:r>
    </w:p>
    <w:p>
      <w:pPr>
        <w:pStyle w:val="ListBullet"/>
        <w:spacing w:line="276" w:lineRule="auto" w:after="120"/>
        <w:jc w:val="both"/>
      </w:pPr>
      <w:r>
        <w:rPr>
          <w:b w:val="0"/>
          <w:sz w:val="24"/>
        </w:rPr>
        <w:t>End-to-end integration tests, load/throughput validation, sensor accuracy and detection-latency tests.</w:t>
      </w:r>
    </w:p>
    <w:p>
      <w:pPr>
        <w:pStyle w:val="ListBullet"/>
        <w:spacing w:line="276" w:lineRule="auto" w:after="120"/>
        <w:jc w:val="both"/>
      </w:pPr>
      <w:r>
        <w:rPr>
          <w:b w:val="0"/>
          <w:sz w:val="24"/>
        </w:rPr>
        <w:t>Acceptance criteria: command response latency, detection accuracy, throughput thresholds and stability (see Testing &amp; KPI section below).</w:t>
      </w:r>
    </w:p>
    <w:p>
      <w:pPr>
        <w:spacing w:line="276" w:lineRule="auto" w:after="200"/>
        <w:jc w:val="both"/>
      </w:pPr>
      <w:r>
        <w:rPr>
          <w:b w:val="0"/>
          <w:sz w:val="24"/>
        </w:rPr>
        <w:t>5) Cutover, Hypercare &amp; Handover (Post Nov 15, 2025)</w:t>
      </w:r>
    </w:p>
    <w:p>
      <w:pPr>
        <w:pStyle w:val="ListBullet"/>
        <w:spacing w:line="276" w:lineRule="auto" w:after="120"/>
        <w:jc w:val="both"/>
      </w:pPr>
      <w:r>
        <w:rPr>
          <w:b w:val="0"/>
          <w:sz w:val="24"/>
        </w:rPr>
        <w:t>Staged cutover: corridor-by-corridor, with parallel run of legacy and new ITMS for an agreed stabilization period.</w:t>
      </w:r>
    </w:p>
    <w:p>
      <w:pPr>
        <w:pStyle w:val="ListBullet"/>
        <w:spacing w:line="276" w:lineRule="auto" w:after="120"/>
        <w:jc w:val="both"/>
      </w:pPr>
      <w:r>
        <w:rPr>
          <w:b w:val="0"/>
          <w:sz w:val="24"/>
        </w:rPr>
        <w:t>Hypercare war-room for first 30 calendar days; weekly steering reviews and daily ops stand-ups during first 2 weeks.</w:t>
      </w:r>
    </w:p>
    <w:p>
      <w:pPr>
        <w:spacing w:line="276" w:lineRule="auto" w:after="200"/>
        <w:jc w:val="both"/>
      </w:pPr>
      <w:r>
        <w:rPr>
          <w:b w:val="0"/>
          <w:sz w:val="24"/>
        </w:rPr>
        <w:t>Site-level installation sequence (site-by-site blueprint)</w:t>
      </w:r>
    </w:p>
    <w:p>
      <w:pPr>
        <w:pStyle w:val="ListBullet"/>
        <w:spacing w:line="276" w:lineRule="auto" w:after="120"/>
        <w:jc w:val="both"/>
      </w:pPr>
      <w:r>
        <w:rPr>
          <w:b w:val="0"/>
          <w:sz w:val="24"/>
        </w:rPr>
        <w:t>Pre-install: final drawings, traffic plan, material kit check, SCC/permissions.</w:t>
      </w:r>
    </w:p>
    <w:p>
      <w:pPr>
        <w:pStyle w:val="ListBullet"/>
        <w:spacing w:line="276" w:lineRule="auto" w:after="120"/>
        <w:jc w:val="both"/>
      </w:pPr>
      <w:r>
        <w:rPr>
          <w:b w:val="0"/>
          <w:sz w:val="24"/>
        </w:rPr>
        <w:t>On-site install (target &lt;2 hours lane disruption): mount cabinets/sensors, communications provisioning, power validation.</w:t>
      </w:r>
    </w:p>
    <w:p>
      <w:pPr>
        <w:pStyle w:val="ListBullet"/>
        <w:spacing w:line="276" w:lineRule="auto" w:after="120"/>
        <w:jc w:val="both"/>
      </w:pPr>
      <w:r>
        <w:rPr>
          <w:b w:val="0"/>
          <w:sz w:val="24"/>
        </w:rPr>
        <w:t>Local integration: configure controller adapter, run synthetic transactions, validate telemetry to central system.</w:t>
      </w:r>
    </w:p>
    <w:p>
      <w:pPr>
        <w:pStyle w:val="ListBullet"/>
        <w:spacing w:line="276" w:lineRule="auto" w:after="120"/>
        <w:jc w:val="both"/>
      </w:pPr>
      <w:r>
        <w:rPr>
          <w:b w:val="0"/>
          <w:sz w:val="24"/>
        </w:rPr>
        <w:t>Acceptance test: smoke test, site checklist sign-off by Installation Manager and HMDA local authority.</w:t>
      </w:r>
    </w:p>
    <w:p>
      <w:pPr>
        <w:pStyle w:val="ListBullet"/>
        <w:spacing w:line="276" w:lineRule="auto" w:after="120"/>
        <w:jc w:val="both"/>
      </w:pPr>
      <w:r>
        <w:rPr>
          <w:b w:val="0"/>
          <w:sz w:val="24"/>
        </w:rPr>
        <w:t>Handover to integration team for corridor-level testing.</w:t>
      </w:r>
    </w:p>
    <w:p>
      <w:pPr>
        <w:spacing w:line="276" w:lineRule="auto" w:after="200"/>
        <w:jc w:val="both"/>
      </w:pPr>
      <w:r>
        <w:rPr>
          <w:b w:val="0"/>
          <w:sz w:val="24"/>
        </w:rPr>
        <w:t>Integration interfaces &amp; compatibility</w:t>
      </w:r>
    </w:p>
    <w:p>
      <w:pPr>
        <w:pStyle w:val="ListBullet"/>
        <w:spacing w:line="276" w:lineRule="auto" w:after="120"/>
        <w:jc w:val="both"/>
      </w:pPr>
      <w:r>
        <w:rPr>
          <w:b w:val="0"/>
          <w:sz w:val="24"/>
        </w:rPr>
        <w:t>We produce a compatibility matrix mapping each legacy controller family to required adapters and protocols (NTCIP, vendor APIs, MQTT/REST endpoints).</w:t>
      </w:r>
    </w:p>
    <w:p>
      <w:pPr>
        <w:pStyle w:val="ListBullet"/>
        <w:spacing w:line="276" w:lineRule="auto" w:after="120"/>
        <w:jc w:val="both"/>
      </w:pPr>
      <w:r>
        <w:rPr>
          <w:b w:val="0"/>
          <w:sz w:val="24"/>
        </w:rPr>
        <w:t>Middleware (MuleSoft) provides protocol translation, message buffering, replay and monitoring.</w:t>
      </w:r>
    </w:p>
    <w:p>
      <w:pPr>
        <w:pStyle w:val="ListBullet"/>
        <w:spacing w:line="276" w:lineRule="auto" w:after="120"/>
        <w:jc w:val="both"/>
      </w:pPr>
      <w:r>
        <w:rPr>
          <w:b w:val="0"/>
          <w:sz w:val="24"/>
        </w:rPr>
        <w:t>All interfaces have versioned API specs, timeout/retry rules and error-handling patterns; these are validated in staging before field work.</w:t>
      </w:r>
    </w:p>
    <w:p>
      <w:pPr>
        <w:spacing w:line="276" w:lineRule="auto" w:after="200"/>
        <w:jc w:val="both"/>
      </w:pPr>
      <w:r>
        <w:rPr>
          <w:b w:val="0"/>
          <w:sz w:val="24"/>
        </w:rPr>
        <w:t>Testing, commissioning and KPI validation</w:t>
      </w:r>
    </w:p>
    <w:p>
      <w:pPr>
        <w:pStyle w:val="ListBullet"/>
        <w:spacing w:line="276" w:lineRule="auto" w:after="120"/>
        <w:jc w:val="both"/>
      </w:pPr>
      <w:r>
        <w:rPr>
          <w:b w:val="0"/>
          <w:sz w:val="24"/>
        </w:rPr>
        <w:t>Testing layers: unit, integration (SIT), end-to-end, load/stress, sensor accuracy, UAT and independent verification.</w:t>
      </w:r>
    </w:p>
    <w:p>
      <w:pPr>
        <w:pStyle w:val="ListBullet"/>
        <w:spacing w:line="276" w:lineRule="auto" w:after="120"/>
        <w:jc w:val="both"/>
      </w:pPr>
      <w:r>
        <w:rPr>
          <w:b w:val="0"/>
          <w:sz w:val="24"/>
        </w:rPr>
        <w:t>Key acceptance thresholds (examples we will agree and baseline during Planning &amp; Design):</w:t>
      </w:r>
    </w:p>
    <w:p>
      <w:pPr>
        <w:pStyle w:val="ListBullet"/>
        <w:spacing w:line="276" w:lineRule="auto" w:after="120"/>
        <w:jc w:val="both"/>
      </w:pPr>
      <w:r>
        <w:rPr>
          <w:b w:val="0"/>
          <w:sz w:val="24"/>
        </w:rPr>
        <w:t>End-to-end signal command latency &lt; 300 ms (median) with 99th percentile &lt; 1s under peak load.</w:t>
      </w:r>
    </w:p>
    <w:p>
      <w:pPr>
        <w:pStyle w:val="ListBullet"/>
        <w:spacing w:line="276" w:lineRule="auto" w:after="120"/>
        <w:jc w:val="both"/>
      </w:pPr>
      <w:r>
        <w:rPr>
          <w:b w:val="0"/>
          <w:sz w:val="24"/>
        </w:rPr>
        <w:t>Detection accuracy &gt; 95% for vehicle presence events on instrumented corridors.</w:t>
      </w:r>
    </w:p>
    <w:p>
      <w:pPr>
        <w:pStyle w:val="ListBullet"/>
        <w:spacing w:line="276" w:lineRule="auto" w:after="120"/>
        <w:jc w:val="both"/>
      </w:pPr>
      <w:r>
        <w:rPr>
          <w:b w:val="0"/>
          <w:sz w:val="24"/>
        </w:rPr>
        <w:t>System availability &gt; 99.5% during operational hours in stabilization.</w:t>
      </w:r>
    </w:p>
    <w:p>
      <w:pPr>
        <w:pStyle w:val="ListBullet"/>
        <w:spacing w:line="276" w:lineRule="auto" w:after="120"/>
        <w:jc w:val="both"/>
      </w:pPr>
      <w:r>
        <w:rPr>
          <w:b w:val="0"/>
          <w:sz w:val="24"/>
        </w:rPr>
        <w:t>KPI measurement: baselines collected in Planning &amp; Design. Travel-time reduction uses probe-based average corridor travel time (formula: baseline_avg - post_avg)/baseline_avg, reported monthly. Incident-rate reduction measured from HMDA incident logs + system-detected events (monthly reconciliation). Satisfaction from monthly sampled commuter surveys.</w:t>
      </w:r>
    </w:p>
    <w:p>
      <w:pPr>
        <w:pStyle w:val="ListBullet"/>
        <w:spacing w:line="276" w:lineRule="auto" w:after="120"/>
        <w:jc w:val="both"/>
      </w:pPr>
      <w:r>
        <w:rPr>
          <w:b w:val="0"/>
          <w:sz w:val="24"/>
        </w:rPr>
        <w:t>Acceptance: formal SIT and UAT exit reports, independent verifier sign-off, and KPI validation reports mapped to RFP expected outcomes.</w:t>
      </w:r>
    </w:p>
    <w:p>
      <w:pPr>
        <w:spacing w:line="276" w:lineRule="auto" w:after="200"/>
        <w:jc w:val="both"/>
      </w:pPr>
      <w:r>
        <w:rPr>
          <w:b w:val="0"/>
          <w:sz w:val="24"/>
        </w:rPr>
        <w:t>Training, handover and support initiation</w:t>
      </w:r>
    </w:p>
    <w:p>
      <w:pPr>
        <w:pStyle w:val="ListBullet"/>
        <w:spacing w:line="276" w:lineRule="auto" w:after="120"/>
        <w:jc w:val="both"/>
      </w:pPr>
      <w:r>
        <w:rPr>
          <w:b w:val="0"/>
          <w:sz w:val="24"/>
        </w:rPr>
        <w:t>Train-the-trainer and operator/maintenance tracks delivered in English and Telugu. Operator training completes in Phase 4 (1 month) prior to full cutover. Trainees receive competency checklists and certifications.</w:t>
      </w:r>
    </w:p>
    <w:p>
      <w:pPr>
        <w:pStyle w:val="ListBullet"/>
        <w:spacing w:line="276" w:lineRule="auto" w:after="120"/>
        <w:jc w:val="both"/>
      </w:pPr>
      <w:r>
        <w:rPr>
          <w:b w:val="0"/>
          <w:sz w:val="24"/>
        </w:rPr>
        <w:t>Support: hypercare team then transition to AMS with defined SLAs, escalation paths and dashboard-based reporting.</w:t>
      </w:r>
    </w:p>
    <w:p>
      <w:pPr>
        <w:spacing w:line="276" w:lineRule="auto" w:after="200"/>
        <w:jc w:val="both"/>
      </w:pPr>
      <w:r>
        <w:rPr>
          <w:b w:val="0"/>
          <w:sz w:val="24"/>
        </w:rPr>
        <w:t>Risk-aware constraints and mitigations</w:t>
      </w:r>
    </w:p>
    <w:p>
      <w:pPr>
        <w:pStyle w:val="ListBullet"/>
        <w:spacing w:line="276" w:lineRule="auto" w:after="120"/>
        <w:jc w:val="both"/>
      </w:pPr>
      <w:r>
        <w:rPr>
          <w:b w:val="0"/>
          <w:sz w:val="24"/>
        </w:rPr>
        <w:t>Supply chain: alternate vendor lists, pre-staged inventory and staged FATs to reduce schedule slippage.</w:t>
      </w:r>
    </w:p>
    <w:p>
      <w:pPr>
        <w:pStyle w:val="ListBullet"/>
        <w:spacing w:line="276" w:lineRule="auto" w:after="120"/>
        <w:jc w:val="both"/>
      </w:pPr>
      <w:r>
        <w:rPr>
          <w:b w:val="0"/>
          <w:sz w:val="24"/>
        </w:rPr>
        <w:t>Integration unknowns: allocate integration engineers to fast-track adapter development; maintain parallel legacy operations until corridor stability confirmed.</w:t>
      </w:r>
    </w:p>
    <w:p>
      <w:pPr>
        <w:spacing w:line="276" w:lineRule="auto" w:after="200"/>
        <w:jc w:val="both"/>
      </w:pPr>
      <w:r>
        <w:rPr>
          <w:b w:val="0"/>
          <w:sz w:val="24"/>
        </w:rPr>
        <w:t>Why this approach wins</w:t>
      </w:r>
    </w:p>
    <w:p>
      <w:pPr>
        <w:spacing w:line="276" w:lineRule="auto" w:after="200"/>
        <w:jc w:val="both"/>
      </w:pPr>
      <w:r>
        <w:rPr>
          <w:b w:val="0"/>
          <w:sz w:val="24"/>
        </w:rPr>
        <w:t>It removes the largest single cause of urban ITMS failure — unmanaged cutover risk — by validating interfaces early, localizing installs to tight, low-impact windows, and making acceptance measurable and irreversible only when KPIs are confirmed. We will deliver the system on the timeline while protecting traffic, safety, and HMDA’s operational independence.</w:t>
      </w:r>
    </w:p>
    <w:p>
      <w:pPr>
        <w:pStyle w:val="Heading1"/>
        <w:pageBreakBefore/>
        <w:spacing w:after="480"/>
      </w:pPr>
      <w:r>
        <w:rPr>
          <w:b/>
          <w:color w:val="002060"/>
          <w:sz w:val="32"/>
        </w:rPr>
        <w:t>5. TEAM STRUCTURE &amp; QUALIFICATIONS</w:t>
      </w:r>
    </w:p>
    <w:p>
      <w:pPr>
        <w:spacing w:line="276" w:lineRule="auto" w:after="200"/>
        <w:jc w:val="both"/>
      </w:pPr>
      <w:r>
        <w:rPr>
          <w:b w:val="0"/>
          <w:sz w:val="24"/>
        </w:rPr>
        <w:t>We will deliver HMDA a single, accountable delivery organization that combines local leadership, cross-functional technical expertise, and proven operational capacity — all backed by audited financial stability and three contactable references. Our staffing model is built to ensure rapid go‑live, measurable performance, and sustained local capability transfer.</w:t>
      </w:r>
    </w:p>
    <w:p>
      <w:pPr>
        <w:spacing w:line="276" w:lineRule="auto" w:after="200"/>
        <w:jc w:val="both"/>
      </w:pPr>
      <w:r>
        <w:rPr>
          <w:b w:val="0"/>
          <w:sz w:val="24"/>
        </w:rPr>
        <w:t>Why this team model works</w:t>
      </w:r>
    </w:p>
    <w:p>
      <w:pPr>
        <w:pStyle w:val="ListBullet"/>
        <w:spacing w:line="276" w:lineRule="auto" w:after="120"/>
        <w:jc w:val="both"/>
      </w:pPr>
      <w:r>
        <w:rPr>
          <w:b w:val="0"/>
          <w:sz w:val="24"/>
        </w:rPr>
        <w:t>Single point of accountability: a Program Director (onshore) will be the named commercial and delivery lead — responsible for scope, schedule, budget and executive reporting. Contact details for the Commercial Lead are provided in the transmittal and Appendix E.</w:t>
      </w:r>
    </w:p>
    <w:p>
      <w:pPr>
        <w:pStyle w:val="ListBullet"/>
        <w:spacing w:line="276" w:lineRule="auto" w:after="120"/>
        <w:jc w:val="both"/>
      </w:pPr>
      <w:r>
        <w:rPr>
          <w:b w:val="0"/>
          <w:sz w:val="24"/>
        </w:rPr>
        <w:t>Hybrid delivery to control cost and maximise local engagement: high‑value roles (Program Director, Solution Architect, Product Manager, Security Architect, Change Lead) will be colocated/onshore; engineering, QA and routine configuration work is delivered from our offshore centers under the same governance and SLA regime.</w:t>
      </w:r>
    </w:p>
    <w:p>
      <w:pPr>
        <w:pStyle w:val="ListBullet"/>
        <w:spacing w:line="276" w:lineRule="auto" w:after="120"/>
        <w:jc w:val="both"/>
      </w:pPr>
      <w:r>
        <w:rPr>
          <w:b w:val="0"/>
          <w:sz w:val="24"/>
        </w:rPr>
        <w:t>Rapid scale with quality: our global Salesforce CoE (220+ certified experts, 450 certifications) supplies experienced specialists on demand, avoiding hiring delays and reducing ramp risk.</w:t>
      </w:r>
    </w:p>
    <w:p>
      <w:pPr>
        <w:spacing w:line="276" w:lineRule="auto" w:after="200"/>
        <w:jc w:val="both"/>
      </w:pPr>
      <w:r>
        <w:rPr>
          <w:b w:val="0"/>
          <w:sz w:val="24"/>
        </w:rPr>
        <w:t>Proposed core team (roles, responsibilities, onshore/offshore split)</w:t>
      </w:r>
    </w:p>
    <w:p>
      <w:pPr>
        <w:pStyle w:val="ListBullet"/>
        <w:spacing w:line="276" w:lineRule="auto" w:after="120"/>
        <w:jc w:val="both"/>
      </w:pPr>
      <w:r>
        <w:rPr>
          <w:b w:val="0"/>
          <w:sz w:val="24"/>
        </w:rPr>
        <w:t>Program Director (Onshore, single point of accountability): Executive liaison, steering committee, financials and commercial interface.</w:t>
      </w:r>
    </w:p>
    <w:p>
      <w:pPr>
        <w:pStyle w:val="ListBullet"/>
        <w:spacing w:line="276" w:lineRule="auto" w:after="120"/>
        <w:jc w:val="both"/>
      </w:pPr>
      <w:r>
        <w:rPr>
          <w:b w:val="0"/>
          <w:sz w:val="24"/>
        </w:rPr>
        <w:t>Product Manager(s) (Onshore/Hybrid): Prioritization across corridors, acceptance criteria, cutover and hypercare ownership.</w:t>
      </w:r>
    </w:p>
    <w:p>
      <w:pPr>
        <w:pStyle w:val="ListBullet"/>
        <w:spacing w:line="276" w:lineRule="auto" w:after="120"/>
        <w:jc w:val="both"/>
      </w:pPr>
      <w:r>
        <w:rPr>
          <w:b w:val="0"/>
          <w:sz w:val="24"/>
        </w:rPr>
        <w:t>Solution Architect (Onshore): System architecture, integration strategy, performance &amp; security NFR ownership.</w:t>
      </w:r>
    </w:p>
    <w:p>
      <w:pPr>
        <w:pStyle w:val="ListBullet"/>
        <w:spacing w:line="276" w:lineRule="auto" w:after="120"/>
        <w:jc w:val="both"/>
      </w:pPr>
      <w:r>
        <w:rPr>
          <w:b w:val="0"/>
          <w:sz w:val="24"/>
        </w:rPr>
        <w:t>Track Leads / Tech Leads (Hybrid): Technical design and code reviews for each corridor/track.</w:t>
      </w:r>
    </w:p>
    <w:p>
      <w:pPr>
        <w:pStyle w:val="ListBullet"/>
        <w:spacing w:line="276" w:lineRule="auto" w:after="120"/>
        <w:jc w:val="both"/>
      </w:pPr>
      <w:r>
        <w:rPr>
          <w:b w:val="0"/>
          <w:sz w:val="24"/>
        </w:rPr>
        <w:t>Integration Lead (Hybrid): Middleware strategy and legacy signal system integration.</w:t>
      </w:r>
    </w:p>
    <w:p>
      <w:pPr>
        <w:pStyle w:val="ListBullet"/>
        <w:spacing w:line="276" w:lineRule="auto" w:after="120"/>
        <w:jc w:val="both"/>
      </w:pPr>
      <w:r>
        <w:rPr>
          <w:b w:val="0"/>
          <w:sz w:val="24"/>
        </w:rPr>
        <w:t>QA Lead &amp; Test Engineers (Offshore/Onshore mix): SIT, regression, performance and acceptance testing ownership.</w:t>
      </w:r>
    </w:p>
    <w:p>
      <w:pPr>
        <w:pStyle w:val="ListBullet"/>
        <w:spacing w:line="276" w:lineRule="auto" w:after="120"/>
        <w:jc w:val="both"/>
      </w:pPr>
      <w:r>
        <w:rPr>
          <w:b w:val="0"/>
          <w:sz w:val="24"/>
        </w:rPr>
        <w:t>Data Migration Lead &amp; Developers (Offshore): Data mapping, dry runs and production loads.</w:t>
      </w:r>
    </w:p>
    <w:p>
      <w:pPr>
        <w:pStyle w:val="ListBullet"/>
        <w:spacing w:line="276" w:lineRule="auto" w:after="120"/>
        <w:jc w:val="both"/>
      </w:pPr>
      <w:r>
        <w:rPr>
          <w:b w:val="0"/>
          <w:sz w:val="24"/>
        </w:rPr>
        <w:t>Change &amp; Training Lead (Onshore): Train‑the‑trainer delivery, operator certification and classroom/field training plans.</w:t>
      </w:r>
    </w:p>
    <w:p>
      <w:pPr>
        <w:pStyle w:val="ListBullet"/>
        <w:spacing w:line="276" w:lineRule="auto" w:after="120"/>
        <w:jc w:val="both"/>
      </w:pPr>
      <w:r>
        <w:rPr>
          <w:b w:val="0"/>
          <w:sz w:val="24"/>
        </w:rPr>
        <w:t>Support &amp; Ops Team (Local + Offshore): NOC/monitoring, Tier‑1/Tier‑2 support with 24x7 on‑call rotations during cutover/hypercare.</w:t>
      </w:r>
    </w:p>
    <w:p>
      <w:pPr>
        <w:spacing w:line="276" w:lineRule="auto" w:after="200"/>
        <w:jc w:val="both"/>
      </w:pPr>
      <w:r>
        <w:rPr>
          <w:b w:val="0"/>
          <w:sz w:val="24"/>
        </w:rPr>
        <w:t>Typical resourcing profile (initial implementation)</w:t>
      </w:r>
    </w:p>
    <w:p>
      <w:pPr>
        <w:pStyle w:val="ListBullet"/>
        <w:spacing w:line="276" w:lineRule="auto" w:after="120"/>
        <w:jc w:val="both"/>
      </w:pPr>
      <w:r>
        <w:rPr>
          <w:b w:val="0"/>
          <w:sz w:val="24"/>
        </w:rPr>
        <w:t>Program leadership and architects: 6 FTEs (70–90% onshore)</w:t>
      </w:r>
    </w:p>
    <w:p>
      <w:pPr>
        <w:pStyle w:val="ListBullet"/>
        <w:spacing w:line="276" w:lineRule="auto" w:after="120"/>
        <w:jc w:val="both"/>
      </w:pPr>
      <w:r>
        <w:rPr>
          <w:b w:val="0"/>
          <w:sz w:val="24"/>
        </w:rPr>
        <w:t>Delivery engineers, QA, migration: 20–35 FTEs (70% offshore)</w:t>
      </w:r>
    </w:p>
    <w:p>
      <w:pPr>
        <w:pStyle w:val="ListBullet"/>
        <w:spacing w:line="276" w:lineRule="auto" w:after="120"/>
        <w:jc w:val="both"/>
      </w:pPr>
      <w:r>
        <w:rPr>
          <w:b w:val="0"/>
          <w:sz w:val="24"/>
        </w:rPr>
        <w:t>Change, training, support ramp: 6–10 FTEs (localised training staff for HMDA)</w:t>
      </w:r>
    </w:p>
    <w:p>
      <w:pPr>
        <w:spacing w:line="276" w:lineRule="auto" w:after="200"/>
        <w:jc w:val="both"/>
      </w:pPr>
      <w:r>
        <w:rPr>
          <w:b w:val="0"/>
          <w:sz w:val="24"/>
        </w:rPr>
        <w:t>Named-role highlights (summary CVs provided in Appendix D)</w:t>
      </w:r>
    </w:p>
    <w:p>
      <w:pPr>
        <w:pStyle w:val="ListBullet"/>
        <w:spacing w:line="276" w:lineRule="auto" w:after="120"/>
        <w:jc w:val="both"/>
      </w:pPr>
      <w:r>
        <w:rPr>
          <w:b w:val="0"/>
          <w:sz w:val="24"/>
        </w:rPr>
        <w:t>Program Director: 15+ years delivering city-scale programs; proven track record running cross-agency transport programs and accountable for governance and financials.</w:t>
      </w:r>
    </w:p>
    <w:p>
      <w:pPr>
        <w:pStyle w:val="ListBullet"/>
        <w:spacing w:line="276" w:lineRule="auto" w:after="120"/>
        <w:jc w:val="both"/>
      </w:pPr>
      <w:r>
        <w:rPr>
          <w:b w:val="0"/>
          <w:sz w:val="24"/>
        </w:rPr>
        <w:t>Solution Architect: 15+ years enterprise architecture, integration specialist, experienced with phased rollouts and NFR management.</w:t>
      </w:r>
    </w:p>
    <w:p>
      <w:pPr>
        <w:pStyle w:val="ListBullet"/>
        <w:spacing w:line="276" w:lineRule="auto" w:after="120"/>
        <w:jc w:val="both"/>
      </w:pPr>
      <w:r>
        <w:rPr>
          <w:b w:val="0"/>
          <w:sz w:val="24"/>
        </w:rPr>
        <w:t>QA Lead: Built QA strategy for multi‑site AMS programs delivering 99%+ SLA adherence in long‑running engagements.</w:t>
      </w:r>
    </w:p>
    <w:p>
      <w:pPr>
        <w:pStyle w:val="ListBullet"/>
        <w:spacing w:line="276" w:lineRule="auto" w:after="120"/>
        <w:jc w:val="both"/>
      </w:pPr>
      <w:r>
        <w:rPr>
          <w:b w:val="0"/>
          <w:sz w:val="24"/>
        </w:rPr>
        <w:t>Change &amp; Training Lead: Specialist in train‑the‑trainer and field operator certification for transport and public sector clients.</w:t>
      </w:r>
    </w:p>
    <w:p>
      <w:pPr>
        <w:pStyle w:val="ListBullet"/>
        <w:spacing w:line="276" w:lineRule="auto" w:after="120"/>
        <w:jc w:val="both"/>
      </w:pPr>
      <w:r>
        <w:rPr>
          <w:b w:val="0"/>
          <w:sz w:val="24"/>
        </w:rPr>
        <w:t>Commercial Lead: Responsible for contracting, billing and financial reporting (named and contactable in Appendix E).</w:t>
      </w:r>
    </w:p>
    <w:p>
      <w:pPr>
        <w:spacing w:line="276" w:lineRule="auto" w:after="200"/>
        <w:jc w:val="both"/>
      </w:pPr>
      <w:r>
        <w:rPr>
          <w:b w:val="0"/>
          <w:sz w:val="24"/>
        </w:rPr>
        <w:t>Qualifications and proof points</w:t>
      </w:r>
    </w:p>
    <w:p>
      <w:pPr>
        <w:pStyle w:val="ListBullet"/>
        <w:spacing w:line="276" w:lineRule="auto" w:after="120"/>
        <w:jc w:val="both"/>
      </w:pPr>
      <w:r>
        <w:rPr>
          <w:b w:val="0"/>
          <w:sz w:val="24"/>
        </w:rPr>
        <w:t>Company tenure &amp; capability: Accellor founded 2011 (13+ years), Salesforce Summit Partner, Navigator Expert, 200+ projects completed.</w:t>
      </w:r>
    </w:p>
    <w:p>
      <w:pPr>
        <w:pStyle w:val="ListBullet"/>
        <w:spacing w:line="276" w:lineRule="auto" w:after="120"/>
        <w:jc w:val="both"/>
      </w:pPr>
      <w:r>
        <w:rPr>
          <w:b w:val="0"/>
          <w:sz w:val="24"/>
        </w:rPr>
        <w:t>Relevant case studies: Intel (12+ year engagement — Appendix A), Major Federal Credit Union (AMS stabilization — Appendix B), Fortune 100 Hi‑Tech manufacturer (long‑running AMS — Appendix B). Each case study includes outcomes, SLAs, and HMDA‑relevant metrics (incident reduction, SLA adherence, user satisfaction).</w:t>
      </w:r>
    </w:p>
    <w:p>
      <w:pPr>
        <w:pStyle w:val="ListBullet"/>
        <w:spacing w:line="276" w:lineRule="auto" w:after="120"/>
        <w:jc w:val="both"/>
      </w:pPr>
      <w:r>
        <w:rPr>
          <w:b w:val="0"/>
          <w:sz w:val="24"/>
        </w:rPr>
        <w:t>References &amp; financials: Three client references with direct contact details are included in Appendix E. Audited financial statements for the last three fiscal years, signed and stamped, are included in Appendix C (fulfills the RFP requirement).</w:t>
      </w:r>
    </w:p>
    <w:p>
      <w:pPr>
        <w:pStyle w:val="ListBullet"/>
        <w:spacing w:line="276" w:lineRule="auto" w:after="120"/>
        <w:jc w:val="both"/>
      </w:pPr>
      <w:r>
        <w:rPr>
          <w:b w:val="0"/>
          <w:sz w:val="24"/>
        </w:rPr>
        <w:t>Personnel evidence: Full CVs for proposed named resources, including certifications and employment history, are in Appendix D. Each CV meets the RFP minimum experience thresholds (no proposed key resource with less than 5 years relevant experience).</w:t>
      </w:r>
    </w:p>
    <w:p>
      <w:pPr>
        <w:spacing w:line="276" w:lineRule="auto" w:after="200"/>
        <w:jc w:val="both"/>
      </w:pPr>
      <w:r>
        <w:rPr>
          <w:b w:val="0"/>
          <w:sz w:val="24"/>
        </w:rPr>
        <w:t>Governance &amp; continuity commitments</w:t>
      </w:r>
    </w:p>
    <w:p>
      <w:pPr>
        <w:pStyle w:val="ListBullet"/>
        <w:spacing w:line="276" w:lineRule="auto" w:after="120"/>
        <w:jc w:val="both"/>
      </w:pPr>
      <w:r>
        <w:rPr>
          <w:b w:val="0"/>
          <w:sz w:val="24"/>
        </w:rPr>
        <w:t>We commit to a named Program Director and Solution Architect for the life of the project (replacement only by mutual agreement and with CVs and overlap for knowledge transfer).</w:t>
      </w:r>
    </w:p>
    <w:p>
      <w:pPr>
        <w:pStyle w:val="ListBullet"/>
        <w:spacing w:line="276" w:lineRule="auto" w:after="120"/>
        <w:jc w:val="both"/>
      </w:pPr>
      <w:r>
        <w:rPr>
          <w:b w:val="0"/>
          <w:sz w:val="24"/>
        </w:rPr>
        <w:t>Skills transfer: a structured knowledge transfer plan and certified local operator training is included; local HMDA staff will be fully hand‑on trained and certified before go‑live.</w:t>
      </w:r>
    </w:p>
    <w:p>
      <w:pPr>
        <w:pStyle w:val="ListBullet"/>
        <w:spacing w:line="276" w:lineRule="auto" w:after="120"/>
        <w:jc w:val="both"/>
      </w:pPr>
      <w:r>
        <w:rPr>
          <w:b w:val="0"/>
          <w:sz w:val="24"/>
        </w:rPr>
        <w:t>Financial and operational stability: audited financials (Appendix C) demonstrate multi‑year viability; references confirm multi‑year, SLA‑driven engagements.</w:t>
      </w:r>
    </w:p>
    <w:p>
      <w:pPr>
        <w:spacing w:line="276" w:lineRule="auto" w:after="200"/>
        <w:jc w:val="both"/>
      </w:pPr>
      <w:r>
        <w:rPr>
          <w:b w:val="0"/>
          <w:sz w:val="24"/>
        </w:rPr>
        <w:t>Supporting appendices (included in submission)</w:t>
      </w:r>
    </w:p>
    <w:p>
      <w:pPr>
        <w:pStyle w:val="ListBullet"/>
        <w:spacing w:line="276" w:lineRule="auto" w:after="120"/>
        <w:jc w:val="both"/>
      </w:pPr>
      <w:r>
        <w:rPr>
          <w:b w:val="0"/>
          <w:sz w:val="24"/>
        </w:rPr>
        <w:t>Appendix A: Intel case study (12+ years) with measurable outcomes and reference contact</w:t>
      </w:r>
    </w:p>
    <w:p>
      <w:pPr>
        <w:pStyle w:val="ListBullet"/>
        <w:spacing w:line="276" w:lineRule="auto" w:after="120"/>
        <w:jc w:val="both"/>
      </w:pPr>
      <w:r>
        <w:rPr>
          <w:b w:val="0"/>
          <w:sz w:val="24"/>
        </w:rPr>
        <w:t>Appendix B: Two additional case studies (Federal Credit Union; Hi‑Tech Manufacturing)</w:t>
      </w:r>
    </w:p>
    <w:p>
      <w:pPr>
        <w:pStyle w:val="ListBullet"/>
        <w:spacing w:line="276" w:lineRule="auto" w:after="120"/>
        <w:jc w:val="both"/>
      </w:pPr>
      <w:r>
        <w:rPr>
          <w:b w:val="0"/>
          <w:sz w:val="24"/>
        </w:rPr>
        <w:t>Appendix C: Audited financial statements for last three years (signed)</w:t>
      </w:r>
    </w:p>
    <w:p>
      <w:pPr>
        <w:pStyle w:val="ListBullet"/>
        <w:spacing w:line="276" w:lineRule="auto" w:after="120"/>
        <w:jc w:val="both"/>
      </w:pPr>
      <w:r>
        <w:rPr>
          <w:b w:val="0"/>
          <w:sz w:val="24"/>
        </w:rPr>
        <w:t>Appendix D: Detailed CVs for all proposed personnel (certifications, roles, relevant projects)</w:t>
      </w:r>
    </w:p>
    <w:p>
      <w:pPr>
        <w:pStyle w:val="ListBullet"/>
        <w:spacing w:line="276" w:lineRule="auto" w:after="120"/>
        <w:jc w:val="both"/>
      </w:pPr>
      <w:r>
        <w:rPr>
          <w:b w:val="0"/>
          <w:sz w:val="24"/>
        </w:rPr>
        <w:t>Appendix E: Reference contact details and our Commercial Lead contact</w:t>
      </w:r>
    </w:p>
    <w:p>
      <w:pPr>
        <w:spacing w:line="276" w:lineRule="auto" w:after="200"/>
        <w:jc w:val="both"/>
      </w:pPr>
      <w:r>
        <w:rPr>
          <w:b w:val="0"/>
          <w:sz w:val="24"/>
        </w:rPr>
        <w:t>If HMDA would like, we will provide a short (30–45 minute) introduction call with the Program Director and Solution Architect within 5 working days of shortlist notification to validate fit and answer technical or commercial queries.</w:t>
      </w:r>
    </w:p>
    <w:p>
      <w:pPr>
        <w:pStyle w:val="Heading1"/>
        <w:pageBreakBefore/>
        <w:spacing w:after="480"/>
      </w:pPr>
      <w:r>
        <w:rPr>
          <w:b/>
          <w:color w:val="002060"/>
          <w:sz w:val="32"/>
        </w:rPr>
        <w:t>6. PROJECT TIMELINE</w:t>
      </w:r>
    </w:p>
    <w:p>
      <w:pPr>
        <w:spacing w:line="276" w:lineRule="auto" w:after="200"/>
        <w:jc w:val="both"/>
      </w:pPr>
      <w:r>
        <w:rPr>
          <w:b w:val="0"/>
          <w:sz w:val="24"/>
        </w:rPr>
        <w:t>We will deliver a realistic, resource‑loaded 10.5‑month program anchored to HMDA’s kickoff on 15 Jan 2025 and the city‑wide go‑live target of 01 Dec 2025. Phase sequencing, parallel tracks for Data &amp; Integrations, and two formal mock cutovers keep the critical path visible and manageable.</w:t>
      </w:r>
    </w:p>
    <w:p>
      <w:pPr>
        <w:spacing w:line="276" w:lineRule="auto" w:after="200"/>
        <w:jc w:val="both"/>
      </w:pPr>
      <w:r>
        <w:rPr>
          <w:b w:val="0"/>
          <w:sz w:val="24"/>
        </w:rPr>
        <w:t>Milestones (high level)</w:t>
      </w:r>
    </w:p>
    <w:tbl>
      <w:tblPr>
        <w:tblStyle w:val="TableGrid"/>
        <w:tblW w:type="auto" w:w="0"/>
        <w:tblLayout w:type="autofit"/>
        <w:tblLook w:firstColumn="1" w:firstRow="1" w:lastColumn="0" w:lastRow="0" w:noHBand="0" w:noVBand="1" w:val="04A0"/>
      </w:tblPr>
      <w:tblGrid>
        <w:gridCol w:w="2160"/>
        <w:gridCol w:w="2160"/>
        <w:gridCol w:w="2160"/>
        <w:gridCol w:w="2160"/>
      </w:tblGrid>
      <w:tr>
        <w:trPr>
          <w:trHeight w:val="432"/>
        </w:trPr>
        <w:tc>
          <w:tcPr>
            <w:tcW w:type="dxa" w:w="2160"/>
            <w:shd w:fill="002060"/>
          </w:tcPr>
          <w:p>
            <w:pPr>
              <w:spacing w:before="80" w:after="80"/>
              <w:jc w:val="center"/>
            </w:pPr>
            <w:r>
              <w:rPr>
                <w:b/>
                <w:color w:val="FFFFFF"/>
                <w:sz w:val="20"/>
              </w:rPr>
              <w:t>MILESTONE</w:t>
            </w:r>
          </w:p>
        </w:tc>
        <w:tc>
          <w:tcPr>
            <w:tcW w:type="dxa" w:w="2160"/>
            <w:shd w:fill="002060"/>
          </w:tcPr>
          <w:p>
            <w:pPr>
              <w:spacing w:before="80" w:after="80"/>
              <w:jc w:val="center"/>
            </w:pPr>
            <w:r>
              <w:rPr>
                <w:b/>
                <w:color w:val="FFFFFF"/>
                <w:sz w:val="20"/>
              </w:rPr>
              <w:t>START</w:t>
            </w:r>
          </w:p>
        </w:tc>
        <w:tc>
          <w:tcPr>
            <w:tcW w:type="dxa" w:w="2160"/>
            <w:shd w:fill="002060"/>
          </w:tcPr>
          <w:p>
            <w:pPr>
              <w:spacing w:before="80" w:after="80"/>
              <w:jc w:val="center"/>
            </w:pPr>
            <w:r>
              <w:rPr>
                <w:b/>
                <w:color w:val="FFFFFF"/>
                <w:sz w:val="20"/>
              </w:rPr>
              <w:t>END</w:t>
            </w:r>
          </w:p>
        </w:tc>
        <w:tc>
          <w:tcPr>
            <w:tcW w:type="dxa" w:w="2160"/>
            <w:shd w:fill="002060"/>
          </w:tcPr>
          <w:p>
            <w:pPr>
              <w:spacing w:before="80" w:after="80"/>
              <w:jc w:val="center"/>
            </w:pPr>
            <w:r>
              <w:rPr>
                <w:b/>
                <w:color w:val="FFFFFF"/>
                <w:sz w:val="20"/>
              </w:rPr>
              <w:t>OWNER</w:t>
            </w:r>
          </w:p>
        </w:tc>
      </w:tr>
      <w:tr>
        <w:trPr>
          <w:trHeight w:val="432"/>
        </w:trPr>
        <w:tc>
          <w:tcPr>
            <w:tcW w:type="dxa" w:w="2160"/>
          </w:tcPr>
          <w:p>
            <w:pPr>
              <w:spacing w:before="80" w:after="80"/>
            </w:pPr>
            <w:r>
              <w:rPr>
                <w:color w:val="000000"/>
                <w:sz w:val="20"/>
              </w:rPr>
              <w:t>Project Kickoff &amp; Transition</w:t>
            </w:r>
          </w:p>
        </w:tc>
        <w:tc>
          <w:tcPr>
            <w:tcW w:type="dxa" w:w="2160"/>
          </w:tcPr>
          <w:p>
            <w:pPr>
              <w:spacing w:before="80" w:after="80"/>
            </w:pPr>
            <w:r>
              <w:rPr>
                <w:color w:val="000000"/>
                <w:sz w:val="20"/>
              </w:rPr>
              <w:t>15 Jan 2025</w:t>
            </w:r>
          </w:p>
        </w:tc>
        <w:tc>
          <w:tcPr>
            <w:tcW w:type="dxa" w:w="2160"/>
          </w:tcPr>
          <w:p>
            <w:pPr>
              <w:spacing w:before="80" w:after="80"/>
            </w:pPr>
            <w:r>
              <w:rPr>
                <w:color w:val="000000"/>
                <w:sz w:val="20"/>
              </w:rPr>
              <w:t>31 Jan 2025</w:t>
            </w:r>
          </w:p>
        </w:tc>
        <w:tc>
          <w:tcPr>
            <w:tcW w:type="dxa" w:w="2160"/>
          </w:tcPr>
          <w:p>
            <w:pPr>
              <w:spacing w:before="80" w:after="80"/>
            </w:pPr>
            <w:r>
              <w:rPr>
                <w:color w:val="000000"/>
                <w:sz w:val="20"/>
              </w:rPr>
              <w:t>Program Manager</w:t>
            </w:r>
          </w:p>
        </w:tc>
      </w:tr>
      <w:tr>
        <w:trPr>
          <w:trHeight w:val="432"/>
        </w:trPr>
        <w:tc>
          <w:tcPr>
            <w:tcW w:type="dxa" w:w="2160"/>
            <w:shd w:fill="F2F2F2"/>
          </w:tcPr>
          <w:p>
            <w:pPr>
              <w:spacing w:before="80" w:after="80"/>
            </w:pPr>
            <w:r>
              <w:rPr>
                <w:color w:val="000000"/>
                <w:sz w:val="20"/>
              </w:rPr>
              <w:t>Foundation Design &amp; Architecture</w:t>
            </w:r>
          </w:p>
        </w:tc>
        <w:tc>
          <w:tcPr>
            <w:tcW w:type="dxa" w:w="2160"/>
            <w:shd w:fill="F2F2F2"/>
          </w:tcPr>
          <w:p>
            <w:pPr>
              <w:spacing w:before="80" w:after="80"/>
            </w:pPr>
            <w:r>
              <w:rPr>
                <w:color w:val="000000"/>
                <w:sz w:val="20"/>
              </w:rPr>
              <w:t>03 Feb 2025</w:t>
            </w:r>
          </w:p>
        </w:tc>
        <w:tc>
          <w:tcPr>
            <w:tcW w:type="dxa" w:w="2160"/>
            <w:shd w:fill="F2F2F2"/>
          </w:tcPr>
          <w:p>
            <w:pPr>
              <w:spacing w:before="80" w:after="80"/>
            </w:pPr>
            <w:r>
              <w:rPr>
                <w:color w:val="000000"/>
                <w:sz w:val="20"/>
              </w:rPr>
              <w:t>28 Feb 2025</w:t>
            </w:r>
          </w:p>
        </w:tc>
        <w:tc>
          <w:tcPr>
            <w:tcW w:type="dxa" w:w="2160"/>
            <w:shd w:fill="F2F2F2"/>
          </w:tcPr>
          <w:p>
            <w:pPr>
              <w:spacing w:before="80" w:after="80"/>
            </w:pPr>
            <w:r>
              <w:rPr>
                <w:color w:val="000000"/>
                <w:sz w:val="20"/>
              </w:rPr>
              <w:t>Solution Architect / Product Manager</w:t>
            </w:r>
          </w:p>
        </w:tc>
      </w:tr>
      <w:tr>
        <w:trPr>
          <w:trHeight w:val="432"/>
        </w:trPr>
        <w:tc>
          <w:tcPr>
            <w:tcW w:type="dxa" w:w="2160"/>
          </w:tcPr>
          <w:p>
            <w:pPr>
              <w:spacing w:before="80" w:after="80"/>
            </w:pPr>
            <w:r>
              <w:rPr>
                <w:color w:val="000000"/>
                <w:sz w:val="20"/>
              </w:rPr>
              <w:t>Development &amp; Integration (Phase 1)</w:t>
            </w:r>
          </w:p>
        </w:tc>
        <w:tc>
          <w:tcPr>
            <w:tcW w:type="dxa" w:w="2160"/>
          </w:tcPr>
          <w:p>
            <w:pPr>
              <w:spacing w:before="80" w:after="80"/>
            </w:pPr>
            <w:r>
              <w:rPr>
                <w:color w:val="000000"/>
                <w:sz w:val="20"/>
              </w:rPr>
              <w:t>03 Mar 2025</w:t>
            </w:r>
          </w:p>
        </w:tc>
        <w:tc>
          <w:tcPr>
            <w:tcW w:type="dxa" w:w="2160"/>
          </w:tcPr>
          <w:p>
            <w:pPr>
              <w:spacing w:before="80" w:after="80"/>
            </w:pPr>
            <w:r>
              <w:rPr>
                <w:color w:val="000000"/>
                <w:sz w:val="20"/>
              </w:rPr>
              <w:t>31 May 2025</w:t>
            </w:r>
          </w:p>
        </w:tc>
        <w:tc>
          <w:tcPr>
            <w:tcW w:type="dxa" w:w="2160"/>
          </w:tcPr>
          <w:p>
            <w:pPr>
              <w:spacing w:before="80" w:after="80"/>
            </w:pPr>
            <w:r>
              <w:rPr>
                <w:color w:val="000000"/>
                <w:sz w:val="20"/>
              </w:rPr>
              <w:t>Track Leads / Integration Lead</w:t>
            </w:r>
          </w:p>
        </w:tc>
      </w:tr>
      <w:tr>
        <w:trPr>
          <w:trHeight w:val="432"/>
        </w:trPr>
        <w:tc>
          <w:tcPr>
            <w:tcW w:type="dxa" w:w="2160"/>
            <w:shd w:fill="F2F2F2"/>
          </w:tcPr>
          <w:p>
            <w:pPr>
              <w:spacing w:before="80" w:after="80"/>
            </w:pPr>
            <w:r>
              <w:rPr>
                <w:color w:val="000000"/>
                <w:sz w:val="20"/>
              </w:rPr>
              <w:t>Data Migration (dry runs 1–3, parallel)</w:t>
            </w:r>
          </w:p>
        </w:tc>
        <w:tc>
          <w:tcPr>
            <w:tcW w:type="dxa" w:w="2160"/>
            <w:shd w:fill="F2F2F2"/>
          </w:tcPr>
          <w:p>
            <w:pPr>
              <w:spacing w:before="80" w:after="80"/>
            </w:pPr>
            <w:r>
              <w:rPr>
                <w:color w:val="000000"/>
                <w:sz w:val="20"/>
              </w:rPr>
              <w:t>20 Jan 2025</w:t>
            </w:r>
          </w:p>
        </w:tc>
        <w:tc>
          <w:tcPr>
            <w:tcW w:type="dxa" w:w="2160"/>
            <w:shd w:fill="F2F2F2"/>
          </w:tcPr>
          <w:p>
            <w:pPr>
              <w:spacing w:before="80" w:after="80"/>
            </w:pPr>
            <w:r>
              <w:rPr>
                <w:color w:val="000000"/>
                <w:sz w:val="20"/>
              </w:rPr>
              <w:t>14 Jun 2025</w:t>
            </w:r>
          </w:p>
        </w:tc>
        <w:tc>
          <w:tcPr>
            <w:tcW w:type="dxa" w:w="2160"/>
            <w:shd w:fill="F2F2F2"/>
          </w:tcPr>
          <w:p>
            <w:pPr>
              <w:spacing w:before="80" w:after="80"/>
            </w:pPr>
            <w:r>
              <w:rPr>
                <w:color w:val="000000"/>
                <w:sz w:val="20"/>
              </w:rPr>
              <w:t>Data Migration Lead</w:t>
            </w:r>
          </w:p>
        </w:tc>
      </w:tr>
      <w:tr>
        <w:trPr>
          <w:trHeight w:val="432"/>
        </w:trPr>
        <w:tc>
          <w:tcPr>
            <w:tcW w:type="dxa" w:w="2160"/>
          </w:tcPr>
          <w:p>
            <w:pPr>
              <w:spacing w:before="80" w:after="80"/>
            </w:pPr>
            <w:r>
              <w:rPr>
                <w:color w:val="000000"/>
                <w:sz w:val="20"/>
              </w:rPr>
              <w:t>SIT (Phase 1)</w:t>
            </w:r>
          </w:p>
        </w:tc>
        <w:tc>
          <w:tcPr>
            <w:tcW w:type="dxa" w:w="2160"/>
          </w:tcPr>
          <w:p>
            <w:pPr>
              <w:spacing w:before="80" w:after="80"/>
            </w:pPr>
            <w:r>
              <w:rPr>
                <w:color w:val="000000"/>
                <w:sz w:val="20"/>
              </w:rPr>
              <w:t>02 Jun 2025</w:t>
            </w:r>
          </w:p>
        </w:tc>
        <w:tc>
          <w:tcPr>
            <w:tcW w:type="dxa" w:w="2160"/>
          </w:tcPr>
          <w:p>
            <w:pPr>
              <w:spacing w:before="80" w:after="80"/>
            </w:pPr>
            <w:r>
              <w:rPr>
                <w:color w:val="000000"/>
                <w:sz w:val="20"/>
              </w:rPr>
              <w:t>30 Jun 2025</w:t>
            </w:r>
          </w:p>
        </w:tc>
        <w:tc>
          <w:tcPr>
            <w:tcW w:type="dxa" w:w="2160"/>
          </w:tcPr>
          <w:p>
            <w:pPr>
              <w:spacing w:before="80" w:after="80"/>
            </w:pPr>
            <w:r>
              <w:rPr>
                <w:color w:val="000000"/>
                <w:sz w:val="20"/>
              </w:rPr>
              <w:t>QA Lead</w:t>
            </w:r>
          </w:p>
        </w:tc>
      </w:tr>
      <w:tr>
        <w:trPr>
          <w:trHeight w:val="432"/>
        </w:trPr>
        <w:tc>
          <w:tcPr>
            <w:tcW w:type="dxa" w:w="2160"/>
            <w:shd w:fill="F2F2F2"/>
          </w:tcPr>
          <w:p>
            <w:pPr>
              <w:spacing w:before="80" w:after="80"/>
            </w:pPr>
            <w:r>
              <w:rPr>
                <w:color w:val="000000"/>
                <w:sz w:val="20"/>
              </w:rPr>
              <w:t>Phase 1 UAT &amp; Go/No‑Go</w:t>
            </w:r>
          </w:p>
        </w:tc>
        <w:tc>
          <w:tcPr>
            <w:tcW w:type="dxa" w:w="2160"/>
            <w:shd w:fill="F2F2F2"/>
          </w:tcPr>
          <w:p>
            <w:pPr>
              <w:spacing w:before="80" w:after="80"/>
            </w:pPr>
            <w:r>
              <w:rPr>
                <w:color w:val="000000"/>
                <w:sz w:val="20"/>
              </w:rPr>
              <w:t>01 Jul 2025</w:t>
            </w:r>
          </w:p>
        </w:tc>
        <w:tc>
          <w:tcPr>
            <w:tcW w:type="dxa" w:w="2160"/>
            <w:shd w:fill="F2F2F2"/>
          </w:tcPr>
          <w:p>
            <w:pPr>
              <w:spacing w:before="80" w:after="80"/>
            </w:pPr>
            <w:r>
              <w:rPr>
                <w:color w:val="000000"/>
                <w:sz w:val="20"/>
              </w:rPr>
              <w:t>31 Jul 2025</w:t>
            </w:r>
          </w:p>
        </w:tc>
        <w:tc>
          <w:tcPr>
            <w:tcW w:type="dxa" w:w="2160"/>
            <w:shd w:fill="F2F2F2"/>
          </w:tcPr>
          <w:p>
            <w:pPr>
              <w:spacing w:before="80" w:after="80"/>
            </w:pPr>
            <w:r>
              <w:rPr>
                <w:color w:val="000000"/>
                <w:sz w:val="20"/>
              </w:rPr>
              <w:t>Product Manager</w:t>
            </w:r>
          </w:p>
        </w:tc>
      </w:tr>
      <w:tr>
        <w:trPr>
          <w:trHeight w:val="432"/>
        </w:trPr>
        <w:tc>
          <w:tcPr>
            <w:tcW w:type="dxa" w:w="2160"/>
          </w:tcPr>
          <w:p>
            <w:pPr>
              <w:spacing w:before="80" w:after="80"/>
            </w:pPr>
            <w:r>
              <w:rPr>
                <w:color w:val="000000"/>
                <w:sz w:val="20"/>
              </w:rPr>
              <w:t>Phase 1 Hypercare</w:t>
            </w:r>
          </w:p>
        </w:tc>
        <w:tc>
          <w:tcPr>
            <w:tcW w:type="dxa" w:w="2160"/>
          </w:tcPr>
          <w:p>
            <w:pPr>
              <w:spacing w:before="80" w:after="80"/>
            </w:pPr>
            <w:r>
              <w:rPr>
                <w:color w:val="000000"/>
                <w:sz w:val="20"/>
              </w:rPr>
              <w:t>01 Aug 2025</w:t>
            </w:r>
          </w:p>
        </w:tc>
        <w:tc>
          <w:tcPr>
            <w:tcW w:type="dxa" w:w="2160"/>
          </w:tcPr>
          <w:p>
            <w:pPr>
              <w:spacing w:before="80" w:after="80"/>
            </w:pPr>
            <w:r>
              <w:rPr>
                <w:color w:val="000000"/>
                <w:sz w:val="20"/>
              </w:rPr>
              <w:t>30 Sep 2025</w:t>
            </w:r>
          </w:p>
        </w:tc>
        <w:tc>
          <w:tcPr>
            <w:tcW w:type="dxa" w:w="2160"/>
          </w:tcPr>
          <w:p>
            <w:pPr>
              <w:spacing w:before="80" w:after="80"/>
            </w:pPr>
            <w:r>
              <w:rPr>
                <w:color w:val="000000"/>
                <w:sz w:val="20"/>
              </w:rPr>
              <w:t>Support Lead</w:t>
            </w:r>
          </w:p>
        </w:tc>
      </w:tr>
      <w:tr>
        <w:trPr>
          <w:trHeight w:val="432"/>
        </w:trPr>
        <w:tc>
          <w:tcPr>
            <w:tcW w:type="dxa" w:w="2160"/>
            <w:shd w:fill="F2F2F2"/>
          </w:tcPr>
          <w:p>
            <w:pPr>
              <w:spacing w:before="80" w:after="80"/>
            </w:pPr>
            <w:r>
              <w:rPr>
                <w:color w:val="000000"/>
                <w:sz w:val="20"/>
              </w:rPr>
              <w:t>Phase 2 Development &amp; Testing (parallel)</w:t>
            </w:r>
          </w:p>
        </w:tc>
        <w:tc>
          <w:tcPr>
            <w:tcW w:type="dxa" w:w="2160"/>
            <w:shd w:fill="F2F2F2"/>
          </w:tcPr>
          <w:p>
            <w:pPr>
              <w:spacing w:before="80" w:after="80"/>
            </w:pPr>
            <w:r>
              <w:rPr>
                <w:color w:val="000000"/>
                <w:sz w:val="20"/>
              </w:rPr>
              <w:t>01 May 2025</w:t>
            </w:r>
          </w:p>
        </w:tc>
        <w:tc>
          <w:tcPr>
            <w:tcW w:type="dxa" w:w="2160"/>
            <w:shd w:fill="F2F2F2"/>
          </w:tcPr>
          <w:p>
            <w:pPr>
              <w:spacing w:before="80" w:after="80"/>
            </w:pPr>
            <w:r>
              <w:rPr>
                <w:color w:val="000000"/>
                <w:sz w:val="20"/>
              </w:rPr>
              <w:t>15 Nov 2025</w:t>
            </w:r>
          </w:p>
        </w:tc>
        <w:tc>
          <w:tcPr>
            <w:tcW w:type="dxa" w:w="2160"/>
            <w:shd w:fill="F2F2F2"/>
          </w:tcPr>
          <w:p>
            <w:pPr>
              <w:spacing w:before="80" w:after="80"/>
            </w:pPr>
            <w:r>
              <w:rPr>
                <w:color w:val="000000"/>
                <w:sz w:val="20"/>
              </w:rPr>
              <w:t>Phase 2 Track Leads</w:t>
            </w:r>
          </w:p>
        </w:tc>
      </w:tr>
      <w:tr>
        <w:trPr>
          <w:trHeight w:val="432"/>
        </w:trPr>
        <w:tc>
          <w:tcPr>
            <w:tcW w:type="dxa" w:w="2160"/>
          </w:tcPr>
          <w:p>
            <w:pPr>
              <w:spacing w:before="80" w:after="80"/>
            </w:pPr>
            <w:r>
              <w:rPr>
                <w:color w:val="000000"/>
                <w:sz w:val="20"/>
              </w:rPr>
              <w:t>Mock Cutover 1 (dress rehearsal)</w:t>
            </w:r>
          </w:p>
        </w:tc>
        <w:tc>
          <w:tcPr>
            <w:tcW w:type="dxa" w:w="2160"/>
          </w:tcPr>
          <w:p>
            <w:pPr>
              <w:spacing w:before="80" w:after="80"/>
            </w:pPr>
            <w:r>
              <w:rPr>
                <w:color w:val="000000"/>
                <w:sz w:val="20"/>
              </w:rPr>
              <w:t>20 Sep 2025</w:t>
            </w:r>
          </w:p>
        </w:tc>
        <w:tc>
          <w:tcPr>
            <w:tcW w:type="dxa" w:w="2160"/>
          </w:tcPr>
          <w:p>
            <w:pPr>
              <w:spacing w:before="80" w:after="80"/>
            </w:pPr>
            <w:r>
              <w:rPr>
                <w:color w:val="000000"/>
                <w:sz w:val="20"/>
              </w:rPr>
              <w:t>22 Sep 2025</w:t>
            </w:r>
          </w:p>
        </w:tc>
        <w:tc>
          <w:tcPr>
            <w:tcW w:type="dxa" w:w="2160"/>
          </w:tcPr>
          <w:p>
            <w:pPr>
              <w:spacing w:before="80" w:after="80"/>
            </w:pPr>
            <w:r>
              <w:rPr>
                <w:color w:val="000000"/>
                <w:sz w:val="20"/>
              </w:rPr>
              <w:t>Cutover Manager</w:t>
            </w:r>
          </w:p>
        </w:tc>
      </w:tr>
      <w:tr>
        <w:trPr>
          <w:trHeight w:val="432"/>
        </w:trPr>
        <w:tc>
          <w:tcPr>
            <w:tcW w:type="dxa" w:w="2160"/>
            <w:shd w:fill="F2F2F2"/>
          </w:tcPr>
          <w:p>
            <w:pPr>
              <w:spacing w:before="80" w:after="80"/>
            </w:pPr>
            <w:r>
              <w:rPr>
                <w:color w:val="000000"/>
                <w:sz w:val="20"/>
              </w:rPr>
              <w:t>Final SIT / UAT (Phase 2)</w:t>
            </w:r>
          </w:p>
        </w:tc>
        <w:tc>
          <w:tcPr>
            <w:tcW w:type="dxa" w:w="2160"/>
            <w:shd w:fill="F2F2F2"/>
          </w:tcPr>
          <w:p>
            <w:pPr>
              <w:spacing w:before="80" w:after="80"/>
            </w:pPr>
            <w:r>
              <w:rPr>
                <w:color w:val="000000"/>
                <w:sz w:val="20"/>
              </w:rPr>
              <w:t>02 Nov 2025</w:t>
            </w:r>
          </w:p>
        </w:tc>
        <w:tc>
          <w:tcPr>
            <w:tcW w:type="dxa" w:w="2160"/>
            <w:shd w:fill="F2F2F2"/>
          </w:tcPr>
          <w:p>
            <w:pPr>
              <w:spacing w:before="80" w:after="80"/>
            </w:pPr>
            <w:r>
              <w:rPr>
                <w:color w:val="000000"/>
                <w:sz w:val="20"/>
              </w:rPr>
              <w:t>30 Nov 2025</w:t>
            </w:r>
          </w:p>
        </w:tc>
        <w:tc>
          <w:tcPr>
            <w:tcW w:type="dxa" w:w="2160"/>
            <w:shd w:fill="F2F2F2"/>
          </w:tcPr>
          <w:p>
            <w:pPr>
              <w:spacing w:before="80" w:after="80"/>
            </w:pPr>
            <w:r>
              <w:rPr>
                <w:color w:val="000000"/>
                <w:sz w:val="20"/>
              </w:rPr>
              <w:t>QA Lead</w:t>
            </w:r>
          </w:p>
        </w:tc>
      </w:tr>
      <w:tr>
        <w:trPr>
          <w:trHeight w:val="432"/>
        </w:trPr>
        <w:tc>
          <w:tcPr>
            <w:tcW w:type="dxa" w:w="2160"/>
          </w:tcPr>
          <w:p>
            <w:pPr>
              <w:spacing w:before="80" w:after="80"/>
            </w:pPr>
            <w:r>
              <w:rPr>
                <w:color w:val="000000"/>
                <w:sz w:val="20"/>
              </w:rPr>
              <w:t>Final Mock Cutover &amp; Go‑Live (City‑wide)</w:t>
            </w:r>
          </w:p>
        </w:tc>
        <w:tc>
          <w:tcPr>
            <w:tcW w:type="dxa" w:w="2160"/>
          </w:tcPr>
          <w:p>
            <w:pPr>
              <w:spacing w:before="80" w:after="80"/>
            </w:pPr>
            <w:r>
              <w:rPr>
                <w:color w:val="000000"/>
                <w:sz w:val="20"/>
              </w:rPr>
              <w:t>25 Nov 2025</w:t>
            </w:r>
          </w:p>
        </w:tc>
        <w:tc>
          <w:tcPr>
            <w:tcW w:type="dxa" w:w="2160"/>
          </w:tcPr>
          <w:p>
            <w:pPr>
              <w:spacing w:before="80" w:after="80"/>
            </w:pPr>
            <w:r>
              <w:rPr>
                <w:color w:val="000000"/>
                <w:sz w:val="20"/>
              </w:rPr>
              <w:t>01 Dec 2025</w:t>
            </w:r>
          </w:p>
        </w:tc>
        <w:tc>
          <w:tcPr>
            <w:tcW w:type="dxa" w:w="2160"/>
          </w:tcPr>
          <w:p>
            <w:pPr>
              <w:spacing w:before="80" w:after="80"/>
            </w:pPr>
            <w:r>
              <w:rPr>
                <w:color w:val="000000"/>
                <w:sz w:val="20"/>
              </w:rPr>
              <w:t>Program Manager / Product Manager</w:t>
            </w:r>
          </w:p>
        </w:tc>
      </w:tr>
      <w:tr>
        <w:trPr>
          <w:trHeight w:val="432"/>
        </w:trPr>
        <w:tc>
          <w:tcPr>
            <w:tcW w:type="dxa" w:w="2160"/>
            <w:shd w:fill="F2F2F2"/>
          </w:tcPr>
          <w:p>
            <w:pPr>
              <w:spacing w:before="80" w:after="80"/>
            </w:pPr>
            <w:r>
              <w:rPr>
                <w:color w:val="000000"/>
                <w:sz w:val="20"/>
              </w:rPr>
              <w:t>Program Hypercare (City‑wide)</w:t>
            </w:r>
          </w:p>
        </w:tc>
        <w:tc>
          <w:tcPr>
            <w:tcW w:type="dxa" w:w="2160"/>
            <w:shd w:fill="F2F2F2"/>
          </w:tcPr>
          <w:p>
            <w:pPr>
              <w:spacing w:before="80" w:after="80"/>
            </w:pPr>
            <w:r>
              <w:rPr>
                <w:color w:val="000000"/>
                <w:sz w:val="20"/>
              </w:rPr>
              <w:t>02 Dec 2025</w:t>
            </w:r>
          </w:p>
        </w:tc>
        <w:tc>
          <w:tcPr>
            <w:tcW w:type="dxa" w:w="2160"/>
            <w:shd w:fill="F2F2F2"/>
          </w:tcPr>
          <w:p>
            <w:pPr>
              <w:spacing w:before="80" w:after="80"/>
            </w:pPr>
            <w:r>
              <w:rPr>
                <w:color w:val="000000"/>
                <w:sz w:val="20"/>
              </w:rPr>
              <w:t>31 Jan 2026</w:t>
            </w:r>
          </w:p>
        </w:tc>
        <w:tc>
          <w:tcPr>
            <w:tcW w:type="dxa" w:w="2160"/>
            <w:shd w:fill="F2F2F2"/>
          </w:tcPr>
          <w:p>
            <w:pPr>
              <w:spacing w:before="80" w:after="80"/>
            </w:pPr>
            <w:r>
              <w:rPr>
                <w:color w:val="000000"/>
                <w:sz w:val="20"/>
              </w:rPr>
              <w:t>Support / AMS Team</w:t>
            </w:r>
          </w:p>
        </w:tc>
      </w:tr>
    </w:tbl>
    <w:p/>
    <w:p>
      <w:pPr>
        <w:spacing w:line="276" w:lineRule="auto" w:after="200"/>
        <w:jc w:val="both"/>
      </w:pPr>
      <w:r>
        <w:rPr>
          <w:b w:val="0"/>
          <w:sz w:val="24"/>
        </w:rPr>
        <w:t>Critical path and dependencies</w:t>
      </w:r>
    </w:p>
    <w:p>
      <w:pPr>
        <w:pStyle w:val="ListBullet"/>
        <w:spacing w:line="276" w:lineRule="auto" w:after="120"/>
        <w:jc w:val="both"/>
      </w:pPr>
      <w:r>
        <w:rPr>
          <w:b w:val="0"/>
          <w:sz w:val="24"/>
        </w:rPr>
        <w:t>Data Readiness (mapping, cleansing, dry runs) and Integrations (ERP/MDM/middleware) form the primary critical path. Neither can be compressed without increasing risk.</w:t>
      </w:r>
    </w:p>
    <w:p>
      <w:pPr>
        <w:pStyle w:val="ListBullet"/>
        <w:spacing w:line="276" w:lineRule="auto" w:after="120"/>
        <w:jc w:val="both"/>
      </w:pPr>
      <w:r>
        <w:rPr>
          <w:b w:val="0"/>
          <w:sz w:val="24"/>
        </w:rPr>
        <w:t>SIT completion and successful mock cutovers are hard gates before any production cutover.</w:t>
      </w:r>
    </w:p>
    <w:p>
      <w:pPr>
        <w:pStyle w:val="ListBullet"/>
        <w:spacing w:line="276" w:lineRule="auto" w:after="120"/>
        <w:jc w:val="both"/>
      </w:pPr>
      <w:r>
        <w:rPr>
          <w:b w:val="0"/>
          <w:sz w:val="24"/>
        </w:rPr>
        <w:t>Hardware procurement (sensors/field devices) is a parallel dependency with its own lead times; we maintain vetted contingency suppliers.</w:t>
      </w:r>
    </w:p>
    <w:p>
      <w:pPr>
        <w:spacing w:line="276" w:lineRule="auto" w:after="200"/>
        <w:jc w:val="both"/>
      </w:pPr>
      <w:r>
        <w:rPr>
          <w:b w:val="0"/>
          <w:sz w:val="24"/>
        </w:rPr>
        <w:t>Buffer strategy and schedule discipline</w:t>
      </w:r>
    </w:p>
    <w:p>
      <w:pPr>
        <w:pStyle w:val="ListBullet"/>
        <w:spacing w:line="276" w:lineRule="auto" w:after="120"/>
        <w:jc w:val="both"/>
      </w:pPr>
      <w:r>
        <w:rPr>
          <w:b w:val="0"/>
          <w:sz w:val="24"/>
        </w:rPr>
        <w:t>We insert targeted buffers: 2 weeks before SIT, 2 weeks before final cutover, and a 3‑week contingency reserve within the development window.</w:t>
      </w:r>
    </w:p>
    <w:p>
      <w:pPr>
        <w:pStyle w:val="ListBullet"/>
        <w:spacing w:line="276" w:lineRule="auto" w:after="120"/>
        <w:jc w:val="both"/>
      </w:pPr>
      <w:r>
        <w:rPr>
          <w:b w:val="0"/>
          <w:sz w:val="24"/>
        </w:rPr>
        <w:t>Multiple dry runs for migration (partial → full → dress rehearsal) catch issues early and protect the cutover window.</w:t>
      </w:r>
    </w:p>
    <w:p>
      <w:pPr>
        <w:spacing w:line="276" w:lineRule="auto" w:after="200"/>
        <w:jc w:val="both"/>
      </w:pPr>
      <w:r>
        <w:rPr>
          <w:b w:val="0"/>
          <w:sz w:val="24"/>
        </w:rPr>
        <w:t>Escalation triggers (schedule governance)</w:t>
      </w:r>
    </w:p>
    <w:p>
      <w:pPr>
        <w:pStyle w:val="ListBullet"/>
        <w:spacing w:line="276" w:lineRule="auto" w:after="120"/>
        <w:jc w:val="both"/>
      </w:pPr>
      <w:r>
        <w:rPr>
          <w:b w:val="0"/>
          <w:sz w:val="24"/>
        </w:rPr>
        <w:t>Any critical‑path task slipping &gt;3 business days → immediate PMO action and daily remediation standups.</w:t>
      </w:r>
    </w:p>
    <w:p>
      <w:pPr>
        <w:pStyle w:val="ListBullet"/>
        <w:spacing w:line="276" w:lineRule="auto" w:after="120"/>
        <w:jc w:val="both"/>
      </w:pPr>
      <w:r>
        <w:rPr>
          <w:b w:val="0"/>
          <w:sz w:val="24"/>
        </w:rPr>
        <w:t>Unresolved critical‑path slippage after 5 business days → Steering Committee escalation with proposed recovery plan and resource reallocation.</w:t>
      </w:r>
    </w:p>
    <w:p>
      <w:pPr>
        <w:pStyle w:val="ListBullet"/>
        <w:spacing w:line="276" w:lineRule="auto" w:after="120"/>
        <w:jc w:val="both"/>
      </w:pPr>
      <w:r>
        <w:rPr>
          <w:b w:val="0"/>
          <w:sz w:val="24"/>
        </w:rPr>
        <w:t>Failed mock cutover → freeze of production date; mandatory root‑cause and repeat rehearsal within 10 business days.</w:t>
      </w:r>
    </w:p>
    <w:p>
      <w:pPr>
        <w:spacing w:line="276" w:lineRule="auto" w:after="200"/>
        <w:jc w:val="both"/>
      </w:pPr>
      <w:r>
        <w:rPr>
          <w:b w:val="0"/>
          <w:sz w:val="24"/>
        </w:rPr>
        <w:t>Resource notes (summary)</w:t>
      </w:r>
    </w:p>
    <w:p>
      <w:pPr>
        <w:pStyle w:val="ListBullet"/>
        <w:spacing w:line="276" w:lineRule="auto" w:after="120"/>
        <w:jc w:val="both"/>
      </w:pPr>
      <w:r>
        <w:rPr>
          <w:b w:val="0"/>
          <w:sz w:val="24"/>
        </w:rPr>
        <w:t>Program Manager onsite at kickoff; Data Migration Lead and Integration Lead heavily front‑loaded. QA ramps before SIT; 24x7 support rotations ready for hypercare. Detailed, resource‑loaded Gantt (Appendix B) maps FTEs to each task.</w:t>
      </w:r>
    </w:p>
    <w:p>
      <w:pPr>
        <w:spacing w:line="276" w:lineRule="auto" w:after="200"/>
        <w:jc w:val="both"/>
      </w:pPr>
      <w:r>
        <w:rPr>
          <w:b w:val="0"/>
          <w:sz w:val="24"/>
        </w:rPr>
        <w:t>Acceptance gates</w:t>
      </w:r>
    </w:p>
    <w:p>
      <w:pPr>
        <w:pStyle w:val="ListBullet"/>
        <w:spacing w:line="276" w:lineRule="auto" w:after="120"/>
        <w:jc w:val="both"/>
      </w:pPr>
      <w:r>
        <w:rPr>
          <w:b w:val="0"/>
          <w:sz w:val="24"/>
        </w:rPr>
        <w:t>Formal entry/exit criteria for Design → SIT → UAT → Go/No‑Go. Each gate requires signed checklist: test coverage, open defects ≤ agreed threshold, security sign‑off and rollback plan.</w:t>
      </w:r>
    </w:p>
    <w:p>
      <w:pPr>
        <w:spacing w:line="276" w:lineRule="auto" w:after="200"/>
        <w:jc w:val="both"/>
      </w:pPr>
      <w:r>
        <w:rPr>
          <w:b w:val="0"/>
          <w:sz w:val="24"/>
        </w:rPr>
        <w:t>Next step: we will deliver the resource‑loaded Gantt (Appendix B format), show the critical path visually, and lock mock cutover dates after joint kickoff on 15 Jan 2025.</w:t>
      </w:r>
    </w:p>
    <w:p>
      <w:pPr>
        <w:pStyle w:val="Heading1"/>
        <w:pageBreakBefore/>
        <w:spacing w:after="480"/>
      </w:pPr>
      <w:r>
        <w:rPr>
          <w:b/>
          <w:color w:val="002060"/>
          <w:sz w:val="32"/>
        </w:rPr>
        <w:t>7. RISKS &amp; MITIGATION</w:t>
      </w:r>
    </w:p>
    <w:p>
      <w:pPr>
        <w:spacing w:line="276" w:lineRule="auto" w:after="200"/>
        <w:jc w:val="both"/>
      </w:pPr>
      <w:r>
        <w:rPr>
          <w:b w:val="0"/>
          <w:sz w:val="24"/>
        </w:rPr>
        <w:t>We treat risk management as a delivery accelerator: identify early, assign clear owners, and pre-authorize actions that restore schedule and performance within 48–72 hours.</w:t>
      </w:r>
    </w:p>
    <w:p>
      <w:pPr>
        <w:spacing w:line="276" w:lineRule="auto" w:after="200"/>
        <w:jc w:val="both"/>
      </w:pPr>
      <w:r>
        <w:rPr>
          <w:b w:val="0"/>
          <w:sz w:val="24"/>
        </w:rPr>
        <w:t>Core approach (what we do differently)</w:t>
      </w:r>
    </w:p>
    <w:p>
      <w:pPr>
        <w:pStyle w:val="ListBullet"/>
        <w:spacing w:line="276" w:lineRule="auto" w:after="120"/>
        <w:jc w:val="both"/>
      </w:pPr>
      <w:r>
        <w:rPr>
          <w:b w:val="0"/>
          <w:sz w:val="24"/>
        </w:rPr>
        <w:t>Continuous RAID: a living risk register updated at every milestone review and sprint PI. Risks are triaged daily during delivery and elevated per agreed triggers to the PMO and Steering Committee.</w:t>
      </w:r>
    </w:p>
    <w:p>
      <w:pPr>
        <w:pStyle w:val="ListBullet"/>
        <w:spacing w:line="276" w:lineRule="auto" w:after="120"/>
        <w:jc w:val="both"/>
      </w:pPr>
      <w:r>
        <w:rPr>
          <w:b w:val="0"/>
          <w:sz w:val="24"/>
        </w:rPr>
        <w:t>Decision-ready contingencies: for all long‑lead hardware and critical integrations we maintain pre-qualified alternative suppliers and an approved contingency procurement playbook so procurement execution is measured in days, not weeks.</w:t>
      </w:r>
    </w:p>
    <w:p>
      <w:pPr>
        <w:pStyle w:val="ListBullet"/>
        <w:spacing w:line="276" w:lineRule="auto" w:after="120"/>
        <w:jc w:val="both"/>
      </w:pPr>
      <w:r>
        <w:rPr>
          <w:b w:val="0"/>
          <w:sz w:val="24"/>
        </w:rPr>
        <w:t>Clear ownership and gates: each risk has a single owner (Risk Manager or relevant track lead) with defined preventive and reactive actions and explicit Go/No‑Go gates tied to milestone acceptance criteria.</w:t>
      </w:r>
    </w:p>
    <w:p>
      <w:pPr>
        <w:spacing w:line="276" w:lineRule="auto" w:after="200"/>
        <w:jc w:val="both"/>
      </w:pPr>
      <w:r>
        <w:rPr>
          <w:b w:val="0"/>
          <w:sz w:val="24"/>
        </w:rPr>
        <w:t>Principal risks, triggers, mitigations, owners and contingencies</w:t>
      </w:r>
    </w:p>
    <w:p>
      <w:pPr>
        <w:spacing w:line="276" w:lineRule="auto" w:after="200"/>
        <w:jc w:val="both"/>
      </w:pPr>
      <w:r>
        <w:rPr>
          <w:b w:val="0"/>
          <w:sz w:val="24"/>
        </w:rPr>
        <w:t>1) Supply Chain Disruption — Hardware &amp; Spares</w:t>
      </w:r>
    </w:p>
    <w:p>
      <w:pPr>
        <w:pStyle w:val="ListBullet"/>
        <w:spacing w:line="276" w:lineRule="auto" w:after="120"/>
        <w:jc w:val="both"/>
      </w:pPr>
      <w:r>
        <w:rPr>
          <w:b w:val="0"/>
          <w:sz w:val="24"/>
        </w:rPr>
        <w:t>Probability/Impact: Medium/High</w:t>
      </w:r>
    </w:p>
    <w:p>
      <w:pPr>
        <w:pStyle w:val="ListBullet"/>
        <w:spacing w:line="276" w:lineRule="auto" w:after="120"/>
        <w:jc w:val="both"/>
      </w:pPr>
      <w:r>
        <w:rPr>
          <w:b w:val="0"/>
          <w:sz w:val="24"/>
        </w:rPr>
        <w:t>Triggers: supplier delay &gt;2 weeks on ARO for critical L1 hardware; shipping hold &gt;48 hours; customs/clearance alerts</w:t>
      </w:r>
    </w:p>
    <w:p>
      <w:pPr>
        <w:pStyle w:val="ListBullet"/>
        <w:spacing w:line="276" w:lineRule="auto" w:after="120"/>
        <w:jc w:val="both"/>
      </w:pPr>
      <w:r>
        <w:rPr>
          <w:b w:val="0"/>
          <w:sz w:val="24"/>
        </w:rPr>
        <w:t>Preventive: multi-sourcing for all critical items; 12-week procurement lead time calendar; minimum local spares stock kept in Hyderabad (30–60 days depending on item); advance purchase orders for long‑lead items</w:t>
      </w:r>
    </w:p>
    <w:p>
      <w:pPr>
        <w:pStyle w:val="ListBullet"/>
        <w:spacing w:line="276" w:lineRule="auto" w:after="120"/>
        <w:jc w:val="both"/>
      </w:pPr>
      <w:r>
        <w:rPr>
          <w:b w:val="0"/>
          <w:sz w:val="24"/>
        </w:rPr>
        <w:t>Reactive/Contingency: switch to pre‑qualified alternate supplier within 72 hours; short-term rental/loaner equipment (local vendors) to maintain test/dev; expedited air freight with cost-sharing clause</w:t>
      </w:r>
    </w:p>
    <w:p>
      <w:pPr>
        <w:pStyle w:val="ListBullet"/>
        <w:spacing w:line="276" w:lineRule="auto" w:after="120"/>
        <w:jc w:val="both"/>
      </w:pPr>
      <w:r>
        <w:rPr>
          <w:b w:val="0"/>
          <w:sz w:val="24"/>
        </w:rPr>
        <w:t>Owner: Procurement Lead; Review: Milestone procurement review</w:t>
      </w:r>
    </w:p>
    <w:p>
      <w:pPr>
        <w:spacing w:line="276" w:lineRule="auto" w:after="200"/>
        <w:jc w:val="both"/>
      </w:pPr>
      <w:r>
        <w:rPr>
          <w:b w:val="0"/>
          <w:sz w:val="24"/>
        </w:rPr>
        <w:t>2) Technical Integration Failures (legacy signals, public transport systems)</w:t>
      </w:r>
    </w:p>
    <w:p>
      <w:pPr>
        <w:pStyle w:val="ListBullet"/>
        <w:spacing w:line="276" w:lineRule="auto" w:after="120"/>
        <w:jc w:val="both"/>
      </w:pPr>
      <w:r>
        <w:rPr>
          <w:b w:val="0"/>
          <w:sz w:val="24"/>
        </w:rPr>
        <w:t>Probability/Impact: Medium/High</w:t>
      </w:r>
    </w:p>
    <w:p>
      <w:pPr>
        <w:pStyle w:val="ListBullet"/>
        <w:spacing w:line="276" w:lineRule="auto" w:after="120"/>
        <w:jc w:val="both"/>
      </w:pPr>
      <w:r>
        <w:rPr>
          <w:b w:val="0"/>
          <w:sz w:val="24"/>
        </w:rPr>
        <w:t>Triggers: failed interface tests in QA &gt;3 consecutive runs; API contract drift; auth failures in sandbox</w:t>
      </w:r>
    </w:p>
    <w:p>
      <w:pPr>
        <w:pStyle w:val="ListBullet"/>
        <w:spacing w:line="276" w:lineRule="auto" w:after="120"/>
        <w:jc w:val="both"/>
      </w:pPr>
      <w:r>
        <w:rPr>
          <w:b w:val="0"/>
          <w:sz w:val="24"/>
        </w:rPr>
        <w:t>Preventive: signed API contracts and interface spec freeze at design completion; integration harness and mock services; parallel SIT with external teams; daily integration health dashboards</w:t>
      </w:r>
    </w:p>
    <w:p>
      <w:pPr>
        <w:pStyle w:val="ListBullet"/>
        <w:spacing w:line="276" w:lineRule="auto" w:after="120"/>
        <w:jc w:val="both"/>
      </w:pPr>
      <w:r>
        <w:rPr>
          <w:b w:val="0"/>
          <w:sz w:val="24"/>
        </w:rPr>
        <w:t>Reactive/Contingency: fall-back to graceful degradation modes (local signal timing fallback), isolated middleware routing via alternate endpoints, engage contingency systems integrator pre‑approved for Hyderabad corridor integrations</w:t>
      </w:r>
    </w:p>
    <w:p>
      <w:pPr>
        <w:pStyle w:val="ListBullet"/>
        <w:spacing w:line="276" w:lineRule="auto" w:after="120"/>
        <w:jc w:val="both"/>
      </w:pPr>
      <w:r>
        <w:rPr>
          <w:b w:val="0"/>
          <w:sz w:val="24"/>
        </w:rPr>
        <w:t>Owner: Solution Architect; Review: Integration gateway &amp; SIT review</w:t>
      </w:r>
    </w:p>
    <w:p>
      <w:pPr>
        <w:spacing w:line="276" w:lineRule="auto" w:after="200"/>
        <w:jc w:val="both"/>
      </w:pPr>
      <w:r>
        <w:rPr>
          <w:b w:val="0"/>
          <w:sz w:val="24"/>
        </w:rPr>
        <w:t>3) Data Migration &amp; Cutover Risk</w:t>
      </w:r>
    </w:p>
    <w:p>
      <w:pPr>
        <w:pStyle w:val="ListBullet"/>
        <w:spacing w:line="276" w:lineRule="auto" w:after="120"/>
        <w:jc w:val="both"/>
      </w:pPr>
      <w:r>
        <w:rPr>
          <w:b w:val="0"/>
          <w:sz w:val="24"/>
        </w:rPr>
        <w:t>Probability/Impact: Medium</w:t>
      </w:r>
    </w:p>
    <w:p>
      <w:pPr>
        <w:pStyle w:val="ListBullet"/>
        <w:spacing w:line="276" w:lineRule="auto" w:after="120"/>
        <w:jc w:val="both"/>
      </w:pPr>
      <w:r>
        <w:rPr>
          <w:b w:val="0"/>
          <w:sz w:val="24"/>
        </w:rPr>
        <w:t>Triggers: migration validation error rate &gt;1% for master records; delta migration mismatch at final rehearsal</w:t>
      </w:r>
    </w:p>
    <w:p>
      <w:pPr>
        <w:pStyle w:val="ListBullet"/>
        <w:spacing w:line="276" w:lineRule="auto" w:after="120"/>
        <w:jc w:val="both"/>
      </w:pPr>
      <w:r>
        <w:rPr>
          <w:b w:val="0"/>
          <w:sz w:val="24"/>
        </w:rPr>
        <w:t>Preventive: parallel migration track from day one, multiple dry‑runs, automated validation scripts and Go/No‑Go checklist, stakeholder sign-off at each phase</w:t>
      </w:r>
    </w:p>
    <w:p>
      <w:pPr>
        <w:pStyle w:val="ListBullet"/>
        <w:spacing w:line="276" w:lineRule="auto" w:after="120"/>
        <w:jc w:val="both"/>
      </w:pPr>
      <w:r>
        <w:rPr>
          <w:b w:val="0"/>
          <w:sz w:val="24"/>
        </w:rPr>
        <w:t>Reactive/Contingency: roll-back to last validated snapshot; extended hypercare with dedicated Data Migration Lead and out-of-hours migration windows; contingency: manual reconciliation plan for high-impact records</w:t>
      </w:r>
    </w:p>
    <w:p>
      <w:pPr>
        <w:pStyle w:val="ListBullet"/>
        <w:spacing w:line="276" w:lineRule="auto" w:after="120"/>
        <w:jc w:val="both"/>
      </w:pPr>
      <w:r>
        <w:rPr>
          <w:b w:val="0"/>
          <w:sz w:val="24"/>
        </w:rPr>
        <w:t>Owner: Data Migration Lead; Review: Cutover readiness gate</w:t>
      </w:r>
    </w:p>
    <w:p>
      <w:pPr>
        <w:spacing w:line="276" w:lineRule="auto" w:after="200"/>
        <w:jc w:val="both"/>
      </w:pPr>
      <w:r>
        <w:rPr>
          <w:b w:val="0"/>
          <w:sz w:val="24"/>
        </w:rPr>
        <w:t>4) Performance &amp; Operational KPIs (travel time / incident reduction)</w:t>
      </w:r>
    </w:p>
    <w:p>
      <w:pPr>
        <w:pStyle w:val="ListBullet"/>
        <w:spacing w:line="276" w:lineRule="auto" w:after="120"/>
        <w:jc w:val="both"/>
      </w:pPr>
      <w:r>
        <w:rPr>
          <w:b w:val="0"/>
          <w:sz w:val="24"/>
        </w:rPr>
        <w:t>Probability/Impact: Medium</w:t>
      </w:r>
    </w:p>
    <w:p>
      <w:pPr>
        <w:pStyle w:val="ListBullet"/>
        <w:spacing w:line="276" w:lineRule="auto" w:after="120"/>
        <w:jc w:val="both"/>
      </w:pPr>
      <w:r>
        <w:rPr>
          <w:b w:val="0"/>
          <w:sz w:val="24"/>
        </w:rPr>
        <w:t>Triggers: measured travel-time improvement &lt; target by &gt;10% in pilot corridors after 3 months</w:t>
      </w:r>
    </w:p>
    <w:p>
      <w:pPr>
        <w:pStyle w:val="ListBullet"/>
        <w:spacing w:line="276" w:lineRule="auto" w:after="120"/>
        <w:jc w:val="both"/>
      </w:pPr>
      <w:r>
        <w:rPr>
          <w:b w:val="0"/>
          <w:sz w:val="24"/>
        </w:rPr>
        <w:t>Preventive: phased rollouts with performance baselines, A/B signal strategies, tuning windows</w:t>
      </w:r>
    </w:p>
    <w:p>
      <w:pPr>
        <w:pStyle w:val="ListBullet"/>
        <w:spacing w:line="276" w:lineRule="auto" w:after="120"/>
        <w:jc w:val="both"/>
      </w:pPr>
      <w:r>
        <w:rPr>
          <w:b w:val="0"/>
          <w:sz w:val="24"/>
        </w:rPr>
        <w:t>Reactive/Contingency: deploy optimization sprints, adjust algorithms, deploy additional sensors from contingency stock, temporary traffic-management procedures with HMDA operations</w:t>
      </w:r>
    </w:p>
    <w:p>
      <w:pPr>
        <w:pStyle w:val="ListBullet"/>
        <w:spacing w:line="276" w:lineRule="auto" w:after="120"/>
        <w:jc w:val="both"/>
      </w:pPr>
      <w:r>
        <w:rPr>
          <w:b w:val="0"/>
          <w:sz w:val="24"/>
        </w:rPr>
        <w:t>Owner: Program Product Manager; Review: Post‑pilot performance review</w:t>
      </w:r>
    </w:p>
    <w:p>
      <w:pPr>
        <w:spacing w:line="276" w:lineRule="auto" w:after="200"/>
        <w:jc w:val="both"/>
      </w:pPr>
      <w:r>
        <w:rPr>
          <w:b w:val="0"/>
          <w:sz w:val="24"/>
        </w:rPr>
        <w:t>5) Security, Compliance &amp; Documentation Gaps</w:t>
      </w:r>
    </w:p>
    <w:p>
      <w:pPr>
        <w:pStyle w:val="ListBullet"/>
        <w:spacing w:line="276" w:lineRule="auto" w:after="120"/>
        <w:jc w:val="both"/>
      </w:pPr>
      <w:r>
        <w:rPr>
          <w:b w:val="0"/>
          <w:sz w:val="24"/>
        </w:rPr>
        <w:t>Probability/Impact: Low/High</w:t>
      </w:r>
    </w:p>
    <w:p>
      <w:pPr>
        <w:pStyle w:val="ListBullet"/>
        <w:spacing w:line="276" w:lineRule="auto" w:after="120"/>
        <w:jc w:val="both"/>
      </w:pPr>
      <w:r>
        <w:rPr>
          <w:b w:val="0"/>
          <w:sz w:val="24"/>
        </w:rPr>
        <w:t>Triggers: failed compliance assessment; missing audit artifacts; non-conformance to ISO/Indian standards</w:t>
      </w:r>
    </w:p>
    <w:p>
      <w:pPr>
        <w:pStyle w:val="ListBullet"/>
        <w:spacing w:line="276" w:lineRule="auto" w:after="120"/>
        <w:jc w:val="both"/>
      </w:pPr>
      <w:r>
        <w:rPr>
          <w:b w:val="0"/>
          <w:sz w:val="24"/>
        </w:rPr>
        <w:t>Preventive: security controls baked into design (encryption, SSO, RBAC), third‑party assessment during SIT, documentation deliverables scheduled before each milestone</w:t>
      </w:r>
    </w:p>
    <w:p>
      <w:pPr>
        <w:pStyle w:val="ListBullet"/>
        <w:spacing w:line="276" w:lineRule="auto" w:after="120"/>
        <w:jc w:val="both"/>
      </w:pPr>
      <w:r>
        <w:rPr>
          <w:b w:val="0"/>
          <w:sz w:val="24"/>
        </w:rPr>
        <w:t>Reactive/Contingency: engage certified external auditor for rapid remediation, temporary control workarounds, freeze on data flows until mitigation complete</w:t>
      </w:r>
    </w:p>
    <w:p>
      <w:pPr>
        <w:pStyle w:val="ListBullet"/>
        <w:spacing w:line="276" w:lineRule="auto" w:after="120"/>
        <w:jc w:val="both"/>
      </w:pPr>
      <w:r>
        <w:rPr>
          <w:b w:val="0"/>
          <w:sz w:val="24"/>
        </w:rPr>
        <w:t>Owner: Solution Architect / Security Lead; Review: Security gate prior to production</w:t>
      </w:r>
    </w:p>
    <w:p>
      <w:pPr>
        <w:spacing w:line="276" w:lineRule="auto" w:after="200"/>
        <w:jc w:val="both"/>
      </w:pPr>
      <w:r>
        <w:rPr>
          <w:b w:val="0"/>
          <w:sz w:val="24"/>
        </w:rPr>
        <w:t>Escalation thresholds (summary)</w:t>
      </w:r>
    </w:p>
    <w:tbl>
      <w:tblPr>
        <w:tblStyle w:val="TableGrid"/>
        <w:tblW w:type="auto" w:w="0"/>
        <w:tblLayout w:type="autofit"/>
        <w:tblLook w:firstColumn="1" w:firstRow="1" w:lastColumn="0" w:lastRow="0" w:noHBand="0" w:noVBand="1" w:val="04A0"/>
      </w:tblPr>
      <w:tblGrid>
        <w:gridCol w:w="2880"/>
        <w:gridCol w:w="2880"/>
        <w:gridCol w:w="2880"/>
      </w:tblGrid>
      <w:tr>
        <w:trPr>
          <w:trHeight w:val="432"/>
        </w:trPr>
        <w:tc>
          <w:tcPr>
            <w:tcW w:type="dxa" w:w="2880"/>
            <w:shd w:fill="002060"/>
          </w:tcPr>
          <w:p>
            <w:pPr>
              <w:spacing w:before="80" w:after="80"/>
              <w:jc w:val="center"/>
            </w:pPr>
            <w:r>
              <w:rPr>
                <w:b/>
                <w:color w:val="FFFFFF"/>
                <w:sz w:val="20"/>
              </w:rPr>
              <w:t>TRIGGER</w:t>
            </w:r>
          </w:p>
        </w:tc>
        <w:tc>
          <w:tcPr>
            <w:tcW w:type="dxa" w:w="2880"/>
            <w:shd w:fill="002060"/>
          </w:tcPr>
          <w:p>
            <w:pPr>
              <w:spacing w:before="80" w:after="80"/>
              <w:jc w:val="center"/>
            </w:pPr>
            <w:r>
              <w:rPr>
                <w:b/>
                <w:color w:val="FFFFFF"/>
                <w:sz w:val="20"/>
              </w:rPr>
              <w:t>ESCALATION PATH</w:t>
            </w:r>
          </w:p>
        </w:tc>
        <w:tc>
          <w:tcPr>
            <w:tcW w:type="dxa" w:w="2880"/>
            <w:shd w:fill="002060"/>
          </w:tcPr>
          <w:p>
            <w:pPr>
              <w:spacing w:before="80" w:after="80"/>
              <w:jc w:val="center"/>
            </w:pPr>
            <w:r>
              <w:rPr>
                <w:b/>
                <w:color w:val="FFFFFF"/>
                <w:sz w:val="20"/>
              </w:rPr>
              <w:t>THRESHOLD</w:t>
            </w:r>
          </w:p>
        </w:tc>
      </w:tr>
      <w:tr>
        <w:trPr>
          <w:trHeight w:val="432"/>
        </w:trPr>
        <w:tc>
          <w:tcPr>
            <w:tcW w:type="dxa" w:w="2880"/>
          </w:tcPr>
          <w:p>
            <w:pPr>
              <w:spacing w:before="80" w:after="80"/>
            </w:pPr>
            <w:r>
              <w:rPr>
                <w:color w:val="000000"/>
                <w:sz w:val="20"/>
              </w:rPr>
              <w:t>Critical hardware delay</w:t>
            </w:r>
          </w:p>
        </w:tc>
        <w:tc>
          <w:tcPr>
            <w:tcW w:type="dxa" w:w="2880"/>
          </w:tcPr>
          <w:p>
            <w:pPr>
              <w:spacing w:before="80" w:after="80"/>
            </w:pPr>
            <w:r>
              <w:rPr>
                <w:color w:val="000000"/>
                <w:sz w:val="20"/>
              </w:rPr>
              <w:t>Procurement Lead → Program Director → Steering Committee</w:t>
            </w:r>
          </w:p>
        </w:tc>
        <w:tc>
          <w:tcPr>
            <w:tcW w:type="dxa" w:w="2880"/>
          </w:tcPr>
          <w:p>
            <w:pPr>
              <w:spacing w:before="80" w:after="80"/>
            </w:pPr>
            <w:r>
              <w:rPr>
                <w:color w:val="000000"/>
                <w:sz w:val="20"/>
              </w:rPr>
              <w:t>Delay &gt;4 weeks or cost impact &gt;5% of milestone</w:t>
            </w:r>
          </w:p>
        </w:tc>
      </w:tr>
      <w:tr>
        <w:trPr>
          <w:trHeight w:val="432"/>
        </w:trPr>
        <w:tc>
          <w:tcPr>
            <w:tcW w:type="dxa" w:w="2880"/>
            <w:shd w:fill="F2F2F2"/>
          </w:tcPr>
          <w:p>
            <w:pPr>
              <w:spacing w:before="80" w:after="80"/>
            </w:pPr>
            <w:r>
              <w:rPr>
                <w:color w:val="000000"/>
                <w:sz w:val="20"/>
              </w:rPr>
              <w:t>Integration P1 outage</w:t>
            </w:r>
          </w:p>
        </w:tc>
        <w:tc>
          <w:tcPr>
            <w:tcW w:type="dxa" w:w="2880"/>
            <w:shd w:fill="F2F2F2"/>
          </w:tcPr>
          <w:p>
            <w:pPr>
              <w:spacing w:before="80" w:after="80"/>
            </w:pPr>
            <w:r>
              <w:rPr>
                <w:color w:val="000000"/>
                <w:sz w:val="20"/>
              </w:rPr>
              <w:t>L2 → L3 → Program Director</w:t>
            </w:r>
          </w:p>
        </w:tc>
        <w:tc>
          <w:tcPr>
            <w:tcW w:type="dxa" w:w="2880"/>
            <w:shd w:fill="F2F2F2"/>
          </w:tcPr>
          <w:p>
            <w:pPr>
              <w:spacing w:before="80" w:after="80"/>
            </w:pPr>
            <w:r>
              <w:rPr>
                <w:color w:val="000000"/>
                <w:sz w:val="20"/>
              </w:rPr>
              <w:t>Outage &gt;2 hours impacting corridors</w:t>
            </w:r>
          </w:p>
        </w:tc>
      </w:tr>
      <w:tr>
        <w:trPr>
          <w:trHeight w:val="432"/>
        </w:trPr>
        <w:tc>
          <w:tcPr>
            <w:tcW w:type="dxa" w:w="2880"/>
          </w:tcPr>
          <w:p>
            <w:pPr>
              <w:spacing w:before="80" w:after="80"/>
            </w:pPr>
            <w:r>
              <w:rPr>
                <w:color w:val="000000"/>
                <w:sz w:val="20"/>
              </w:rPr>
              <w:t>Security non‑conformance</w:t>
            </w:r>
          </w:p>
        </w:tc>
        <w:tc>
          <w:tcPr>
            <w:tcW w:type="dxa" w:w="2880"/>
          </w:tcPr>
          <w:p>
            <w:pPr>
              <w:spacing w:before="80" w:after="80"/>
            </w:pPr>
            <w:r>
              <w:rPr>
                <w:color w:val="000000"/>
                <w:sz w:val="20"/>
              </w:rPr>
              <w:t>Security Lead → Program Director → Steering Committee</w:t>
            </w:r>
          </w:p>
        </w:tc>
        <w:tc>
          <w:tcPr>
            <w:tcW w:type="dxa" w:w="2880"/>
          </w:tcPr>
          <w:p>
            <w:pPr>
              <w:spacing w:before="80" w:after="80"/>
            </w:pPr>
            <w:r>
              <w:rPr>
                <w:color w:val="000000"/>
                <w:sz w:val="20"/>
              </w:rPr>
              <w:t>Any failed compliance audit</w:t>
            </w:r>
          </w:p>
        </w:tc>
      </w:tr>
    </w:tbl>
    <w:p/>
    <w:p>
      <w:pPr>
        <w:spacing w:line="276" w:lineRule="auto" w:after="200"/>
        <w:jc w:val="both"/>
      </w:pPr>
      <w:r>
        <w:rPr>
          <w:b w:val="0"/>
          <w:sz w:val="24"/>
        </w:rPr>
        <w:t>What we ask from HMDA (practical enablers)</w:t>
      </w:r>
    </w:p>
    <w:p>
      <w:pPr>
        <w:pStyle w:val="ListBullet"/>
        <w:spacing w:line="276" w:lineRule="auto" w:after="120"/>
        <w:jc w:val="both"/>
      </w:pPr>
      <w:r>
        <w:rPr>
          <w:b w:val="0"/>
          <w:sz w:val="24"/>
        </w:rPr>
        <w:t>Approve a short list of contingency suppliers and pre‑authorize procurement actions for long‑lead items.</w:t>
      </w:r>
    </w:p>
    <w:p>
      <w:pPr>
        <w:pStyle w:val="ListBullet"/>
        <w:spacing w:line="276" w:lineRule="auto" w:after="120"/>
        <w:jc w:val="both"/>
      </w:pPr>
      <w:r>
        <w:rPr>
          <w:b w:val="0"/>
          <w:sz w:val="24"/>
        </w:rPr>
        <w:t>Commit to the milestone review cadence (steering committee &amp; PMO) and timely availability of external system owners for SIT.</w:t>
      </w:r>
    </w:p>
    <w:p>
      <w:pPr>
        <w:spacing w:line="276" w:lineRule="auto" w:after="200"/>
        <w:jc w:val="both"/>
      </w:pPr>
      <w:r>
        <w:rPr>
          <w:b w:val="0"/>
          <w:sz w:val="24"/>
        </w:rPr>
        <w:t>Controlled tradeoffs</w:t>
      </w:r>
    </w:p>
    <w:p>
      <w:pPr>
        <w:pStyle w:val="ListBullet"/>
        <w:spacing w:line="276" w:lineRule="auto" w:after="120"/>
        <w:jc w:val="both"/>
      </w:pPr>
      <w:r>
        <w:rPr>
          <w:b w:val="0"/>
          <w:sz w:val="24"/>
        </w:rPr>
        <w:t>While single-vendor consolidation simplifies contracts, we choose multi-sourcing and local spares to protect the go‑live date — a deliberate trade that slightly increases procurement overhead but materially reduces schedule risk.</w:t>
      </w:r>
    </w:p>
    <w:p>
      <w:pPr>
        <w:spacing w:line="276" w:lineRule="auto" w:after="200"/>
        <w:jc w:val="both"/>
      </w:pPr>
      <w:r>
        <w:rPr>
          <w:b w:val="0"/>
          <w:sz w:val="24"/>
        </w:rPr>
        <w:t>Bottom line</w:t>
      </w:r>
    </w:p>
    <w:p>
      <w:pPr>
        <w:spacing w:line="276" w:lineRule="auto" w:after="200"/>
        <w:jc w:val="both"/>
      </w:pPr>
      <w:r>
        <w:rPr>
          <w:b w:val="0"/>
          <w:sz w:val="24"/>
        </w:rPr>
        <w:t>We will manage risks proactively with named owners, measurable triggers, and execution-ready contingencies so HMDA achieves the committed city-wide go‑live and KPI targets within the agreed 12‑month window.</w:t>
      </w:r>
    </w:p>
    <w:p>
      <w:pPr>
        <w:pStyle w:val="Heading1"/>
        <w:pageBreakBefore/>
        <w:spacing w:after="480"/>
      </w:pPr>
      <w:r>
        <w:rPr>
          <w:b/>
          <w:color w:val="002060"/>
          <w:sz w:val="32"/>
        </w:rPr>
        <w:t>8. SECURITY &amp; DATA PROTECTION</w:t>
      </w:r>
    </w:p>
    <w:p>
      <w:pPr>
        <w:spacing w:line="276" w:lineRule="auto" w:after="200"/>
        <w:jc w:val="both"/>
      </w:pPr>
      <w:r>
        <w:rPr>
          <w:b w:val="0"/>
          <w:sz w:val="24"/>
        </w:rPr>
        <w:t>We design security so Hyderabad’s traffic signals, sensors and citizen data stay available, accurate and private — not because ‘security is nice to have’ but because lives and public trust depend on it.</w:t>
      </w:r>
    </w:p>
    <w:p>
      <w:pPr>
        <w:spacing w:line="276" w:lineRule="auto" w:after="200"/>
        <w:jc w:val="both"/>
      </w:pPr>
      <w:r>
        <w:rPr>
          <w:b w:val="0"/>
          <w:sz w:val="24"/>
        </w:rPr>
        <w:t>Overview</w:t>
      </w:r>
    </w:p>
    <w:p>
      <w:pPr>
        <w:pStyle w:val="ListBullet"/>
        <w:spacing w:line="276" w:lineRule="auto" w:after="120"/>
        <w:jc w:val="both"/>
      </w:pPr>
      <w:r>
        <w:rPr>
          <w:b w:val="0"/>
          <w:sz w:val="24"/>
        </w:rPr>
        <w:t>Defense-in-depth architecture across edge, network, cloud and control-centres.</w:t>
      </w:r>
    </w:p>
    <w:p>
      <w:pPr>
        <w:pStyle w:val="ListBullet"/>
        <w:spacing w:line="276" w:lineRule="auto" w:after="120"/>
        <w:jc w:val="both"/>
      </w:pPr>
      <w:r>
        <w:rPr>
          <w:b w:val="0"/>
          <w:sz w:val="24"/>
        </w:rPr>
        <w:t>Controls implemented before any field data collection and validated during commissioning.</w:t>
      </w:r>
    </w:p>
    <w:p>
      <w:pPr>
        <w:pStyle w:val="ListBullet"/>
        <w:spacing w:line="276" w:lineRule="auto" w:after="120"/>
        <w:jc w:val="both"/>
      </w:pPr>
      <w:r>
        <w:rPr>
          <w:b w:val="0"/>
          <w:sz w:val="24"/>
        </w:rPr>
        <w:t>ISO 27001-aligned ISMS, demonstrable evidence, and day‑one operational monitoring.</w:t>
      </w:r>
    </w:p>
    <w:p>
      <w:pPr>
        <w:spacing w:line="276" w:lineRule="auto" w:after="200"/>
        <w:jc w:val="both"/>
      </w:pPr>
      <w:r>
        <w:rPr>
          <w:b w:val="0"/>
          <w:sz w:val="24"/>
        </w:rPr>
        <w:t>Security architecture (high level)</w:t>
      </w:r>
    </w:p>
    <w:p>
      <w:pPr>
        <w:pStyle w:val="ListBullet"/>
        <w:spacing w:line="276" w:lineRule="auto" w:after="120"/>
        <w:jc w:val="both"/>
      </w:pPr>
      <w:r>
        <w:rPr>
          <w:b w:val="0"/>
          <w:sz w:val="24"/>
        </w:rPr>
        <w:t>Segmented topology: dedicated OT network for traffic controllers and sensor gateways, isolated from administrative systems via firewalls and strict ACLs. Edge gateways perform protocol translation, data filtering and local anomaly detection before forwarding to central services.</w:t>
      </w:r>
    </w:p>
    <w:p>
      <w:pPr>
        <w:pStyle w:val="ListBullet"/>
        <w:spacing w:line="276" w:lineRule="auto" w:after="120"/>
        <w:jc w:val="both"/>
      </w:pPr>
      <w:r>
        <w:rPr>
          <w:b w:val="0"/>
          <w:sz w:val="24"/>
        </w:rPr>
        <w:t>Hybrid deployment model: edge/on-prem for low-latency control, cloud for analytics and long-term storage — designed to meet HMDA data‑residency requirements.</w:t>
      </w:r>
    </w:p>
    <w:p>
      <w:pPr>
        <w:pStyle w:val="ListBullet"/>
        <w:spacing w:line="276" w:lineRule="auto" w:after="120"/>
        <w:jc w:val="both"/>
      </w:pPr>
      <w:r>
        <w:rPr>
          <w:b w:val="0"/>
          <w:sz w:val="24"/>
        </w:rPr>
        <w:t>Gateway hardening: secure boot, signed firmware, tamper resistance and automated patch management for field devices.</w:t>
      </w:r>
    </w:p>
    <w:p>
      <w:pPr>
        <w:spacing w:line="276" w:lineRule="auto" w:after="200"/>
        <w:jc w:val="both"/>
      </w:pPr>
      <w:r>
        <w:rPr>
          <w:b w:val="0"/>
          <w:sz w:val="24"/>
        </w:rPr>
        <w:t>Identity, Access Management &amp; Privileges</w:t>
      </w:r>
    </w:p>
    <w:p>
      <w:pPr>
        <w:pStyle w:val="ListBullet"/>
        <w:spacing w:line="276" w:lineRule="auto" w:after="120"/>
        <w:jc w:val="both"/>
      </w:pPr>
      <w:r>
        <w:rPr>
          <w:b w:val="0"/>
          <w:sz w:val="24"/>
        </w:rPr>
        <w:t>Single sign-on (SAML/OIDC) with MFA for all operator/administrative access.</w:t>
      </w:r>
    </w:p>
    <w:p>
      <w:pPr>
        <w:pStyle w:val="ListBullet"/>
        <w:spacing w:line="276" w:lineRule="auto" w:after="120"/>
        <w:jc w:val="both"/>
      </w:pPr>
      <w:r>
        <w:rPr>
          <w:b w:val="0"/>
          <w:sz w:val="24"/>
        </w:rPr>
        <w:t>Role-based access control (RBAC) and least-privilege by default; fine-grained scopes for APIs and service accounts.</w:t>
      </w:r>
    </w:p>
    <w:p>
      <w:pPr>
        <w:pStyle w:val="ListBullet"/>
        <w:spacing w:line="276" w:lineRule="auto" w:after="120"/>
        <w:jc w:val="both"/>
      </w:pPr>
      <w:r>
        <w:rPr>
          <w:b w:val="0"/>
          <w:sz w:val="24"/>
        </w:rPr>
        <w:t>Privileged Access Management (PAM) for vendor/maintenance sessions with session recording and just-in-time elevation.</w:t>
      </w:r>
    </w:p>
    <w:p>
      <w:pPr>
        <w:pStyle w:val="ListBullet"/>
        <w:spacing w:line="276" w:lineRule="auto" w:after="120"/>
        <w:jc w:val="both"/>
      </w:pPr>
      <w:r>
        <w:rPr>
          <w:b w:val="0"/>
          <w:sz w:val="24"/>
        </w:rPr>
        <w:t>Automated onboarding/offboarding tied to HR or contract lifecycle to avoid orphaned accounts.</w:t>
      </w:r>
    </w:p>
    <w:p>
      <w:pPr>
        <w:spacing w:line="276" w:lineRule="auto" w:after="200"/>
        <w:jc w:val="both"/>
      </w:pPr>
      <w:r>
        <w:rPr>
          <w:b w:val="0"/>
          <w:sz w:val="24"/>
        </w:rPr>
        <w:t>Encryption &amp; Key Management</w:t>
      </w:r>
    </w:p>
    <w:p>
      <w:pPr>
        <w:pStyle w:val="ListBullet"/>
        <w:spacing w:line="276" w:lineRule="auto" w:after="120"/>
        <w:jc w:val="both"/>
      </w:pPr>
      <w:r>
        <w:rPr>
          <w:b w:val="0"/>
          <w:sz w:val="24"/>
        </w:rPr>
        <w:t>In transit: TLS 1.2+ (prefer TLS 1.3) for all external and internal links; mutual TLS for device-to-gateway authentication where feasible.</w:t>
      </w:r>
    </w:p>
    <w:p>
      <w:pPr>
        <w:pStyle w:val="ListBullet"/>
        <w:spacing w:line="276" w:lineRule="auto" w:after="120"/>
        <w:jc w:val="both"/>
      </w:pPr>
      <w:r>
        <w:rPr>
          <w:b w:val="0"/>
          <w:sz w:val="24"/>
        </w:rPr>
        <w:t>At rest: AES-256 encryption for databases, object stores and backups.</w:t>
      </w:r>
    </w:p>
    <w:p>
      <w:pPr>
        <w:pStyle w:val="ListBullet"/>
        <w:spacing w:line="276" w:lineRule="auto" w:after="120"/>
        <w:jc w:val="both"/>
      </w:pPr>
      <w:r>
        <w:rPr>
          <w:b w:val="0"/>
          <w:sz w:val="24"/>
        </w:rPr>
        <w:t>Keys: hardware-backed Key Management Service (HSM / cloud KMS) with role separation for key lifecycle operations and key rotation policy.</w:t>
      </w:r>
    </w:p>
    <w:p>
      <w:pPr>
        <w:pStyle w:val="ListBullet"/>
        <w:spacing w:line="276" w:lineRule="auto" w:after="120"/>
        <w:jc w:val="both"/>
      </w:pPr>
      <w:r>
        <w:rPr>
          <w:b w:val="0"/>
          <w:sz w:val="24"/>
        </w:rPr>
        <w:t>Device identity: X.509 certificates for device authentication; certificate lifecycle management integrated into provisioning.</w:t>
      </w:r>
    </w:p>
    <w:p>
      <w:pPr>
        <w:spacing w:line="276" w:lineRule="auto" w:after="200"/>
        <w:jc w:val="both"/>
      </w:pPr>
      <w:r>
        <w:rPr>
          <w:b w:val="0"/>
          <w:sz w:val="24"/>
        </w:rPr>
        <w:t>Monitoring, Logging &amp; SIEM</w:t>
      </w:r>
    </w:p>
    <w:p>
      <w:pPr>
        <w:pStyle w:val="ListBullet"/>
        <w:spacing w:line="276" w:lineRule="auto" w:after="120"/>
        <w:jc w:val="both"/>
      </w:pPr>
      <w:r>
        <w:rPr>
          <w:b w:val="0"/>
          <w:sz w:val="24"/>
        </w:rPr>
        <w:t>Centralized log collection (application, network, device, OT telemetries) forwarded to SIEM (Splunk/Elastic/Cloud SIEM options) with UEBA and threat-intelligence feeds.</w:t>
      </w:r>
    </w:p>
    <w:p>
      <w:pPr>
        <w:pStyle w:val="ListBullet"/>
        <w:spacing w:line="276" w:lineRule="auto" w:after="120"/>
        <w:jc w:val="both"/>
      </w:pPr>
      <w:r>
        <w:rPr>
          <w:b w:val="0"/>
          <w:sz w:val="24"/>
        </w:rPr>
        <w:t>Log retention plan: configurable baseline — 12 months hot, 24–36 months archived WORM option — adjustable to HMDA policy or statutory needs.</w:t>
      </w:r>
    </w:p>
    <w:p>
      <w:pPr>
        <w:pStyle w:val="ListBullet"/>
        <w:spacing w:line="276" w:lineRule="auto" w:after="120"/>
        <w:jc w:val="both"/>
      </w:pPr>
      <w:r>
        <w:rPr>
          <w:b w:val="0"/>
          <w:sz w:val="24"/>
        </w:rPr>
        <w:t>Observability: synthetic checks, health dashboards and error-rate alerts for travel-time pipelines and incident-detection models.</w:t>
      </w:r>
    </w:p>
    <w:p>
      <w:pPr>
        <w:pStyle w:val="ListBullet"/>
        <w:spacing w:line="276" w:lineRule="auto" w:after="120"/>
        <w:jc w:val="both"/>
      </w:pPr>
      <w:r>
        <w:rPr>
          <w:b w:val="0"/>
          <w:sz w:val="24"/>
        </w:rPr>
        <w:t>Forensics: immutable audit trails, chain-of-custody procedures and preserved forensic snapshots for investigations.</w:t>
      </w:r>
    </w:p>
    <w:p>
      <w:pPr>
        <w:spacing w:line="276" w:lineRule="auto" w:after="200"/>
        <w:jc w:val="both"/>
      </w:pPr>
      <w:r>
        <w:rPr>
          <w:b w:val="0"/>
          <w:sz w:val="24"/>
        </w:rPr>
        <w:t>Incident response &amp; playbooks</w:t>
      </w:r>
    </w:p>
    <w:p>
      <w:pPr>
        <w:pStyle w:val="ListBullet"/>
        <w:spacing w:line="276" w:lineRule="auto" w:after="120"/>
        <w:jc w:val="both"/>
      </w:pPr>
      <w:r>
        <w:rPr>
          <w:b w:val="0"/>
          <w:sz w:val="24"/>
        </w:rPr>
        <w:t>Executive ownership: our CISO is the executive sponsor; a named Security Lead will coordinate day-to-day operations with HMDA.</w:t>
      </w:r>
    </w:p>
    <w:p>
      <w:pPr>
        <w:pStyle w:val="ListBullet"/>
        <w:spacing w:line="276" w:lineRule="auto" w:after="120"/>
        <w:jc w:val="both"/>
      </w:pPr>
      <w:r>
        <w:rPr>
          <w:b w:val="0"/>
          <w:sz w:val="24"/>
        </w:rPr>
        <w:t>Playbooks: tailored P1 (system outage / safety-critical), P2 (data exposure), OT-specific and ransomware hunts. Each includes triggers, containment actions, stakeholder communications and public-notification templates.</w:t>
      </w:r>
    </w:p>
    <w:p>
      <w:pPr>
        <w:pStyle w:val="ListBullet"/>
        <w:spacing w:line="276" w:lineRule="auto" w:after="120"/>
        <w:jc w:val="both"/>
      </w:pPr>
      <w:r>
        <w:rPr>
          <w:b w:val="0"/>
          <w:sz w:val="24"/>
        </w:rPr>
        <w:t>SLAs (proposed): P1 initial acknowledgement ≤15 minutes, containment action plan within 60 minutes, post-incident RCA within 5 business days. We will align SLAs to HMDA’s final requirements.</w:t>
      </w:r>
    </w:p>
    <w:p>
      <w:pPr>
        <w:pStyle w:val="ListBullet"/>
        <w:spacing w:line="276" w:lineRule="auto" w:after="120"/>
        <w:jc w:val="both"/>
      </w:pPr>
      <w:r>
        <w:rPr>
          <w:b w:val="0"/>
          <w:sz w:val="24"/>
        </w:rPr>
        <w:t>24×7 SOC support (coordinated with HMDA operations) with war-room leadership, on-call rotation and escalation to onshore Delivery Manager.</w:t>
      </w:r>
    </w:p>
    <w:p>
      <w:pPr>
        <w:spacing w:line="276" w:lineRule="auto" w:after="200"/>
        <w:jc w:val="both"/>
      </w:pPr>
      <w:r>
        <w:rPr>
          <w:b w:val="0"/>
          <w:sz w:val="24"/>
        </w:rPr>
        <w:t>Secure development &amp; supply-chain controls</w:t>
      </w:r>
    </w:p>
    <w:p>
      <w:pPr>
        <w:pStyle w:val="ListBullet"/>
        <w:spacing w:line="276" w:lineRule="auto" w:after="120"/>
        <w:jc w:val="both"/>
      </w:pPr>
      <w:r>
        <w:rPr>
          <w:b w:val="0"/>
          <w:sz w:val="24"/>
        </w:rPr>
        <w:t>Secure SDLC: SCA/SAST (Semgrep/CodeScan/SonarQube), CI/CD quality gates, automated dependency checks and periodic penetration testing.</w:t>
      </w:r>
    </w:p>
    <w:p>
      <w:pPr>
        <w:pStyle w:val="ListBullet"/>
        <w:spacing w:line="276" w:lineRule="auto" w:after="120"/>
        <w:jc w:val="both"/>
      </w:pPr>
      <w:r>
        <w:rPr>
          <w:b w:val="0"/>
          <w:sz w:val="24"/>
        </w:rPr>
        <w:t>Procurement controls: vendor security questionnaires, firmware attestation, bill-of-materials for critical hardware and validated alternative suppliers for spares.</w:t>
      </w:r>
    </w:p>
    <w:p>
      <w:pPr>
        <w:spacing w:line="276" w:lineRule="auto" w:after="200"/>
        <w:jc w:val="both"/>
      </w:pPr>
      <w:r>
        <w:rPr>
          <w:b w:val="0"/>
          <w:sz w:val="24"/>
        </w:rPr>
        <w:t>Privacy &amp; data governance</w:t>
      </w:r>
    </w:p>
    <w:p>
      <w:pPr>
        <w:pStyle w:val="ListBullet"/>
        <w:spacing w:line="276" w:lineRule="auto" w:after="120"/>
        <w:jc w:val="both"/>
      </w:pPr>
      <w:r>
        <w:rPr>
          <w:b w:val="0"/>
          <w:sz w:val="24"/>
        </w:rPr>
        <w:t>Data minimization and purpose limitation for all sensor and citizen data.</w:t>
      </w:r>
    </w:p>
    <w:p>
      <w:pPr>
        <w:pStyle w:val="ListBullet"/>
        <w:spacing w:line="276" w:lineRule="auto" w:after="120"/>
        <w:jc w:val="both"/>
      </w:pPr>
      <w:r>
        <w:rPr>
          <w:b w:val="0"/>
          <w:sz w:val="24"/>
        </w:rPr>
        <w:t>Pseudonymization/anonymization of PII before analytics where practical; scoped data sets for third-party processors.</w:t>
      </w:r>
    </w:p>
    <w:p>
      <w:pPr>
        <w:pStyle w:val="ListBullet"/>
        <w:spacing w:line="276" w:lineRule="auto" w:after="120"/>
        <w:jc w:val="both"/>
      </w:pPr>
      <w:r>
        <w:rPr>
          <w:b w:val="0"/>
          <w:sz w:val="24"/>
        </w:rPr>
        <w:t>Integrated privacy tooling (OneTrust or equivalent) to manage consent, DPIAs and data subject requests.</w:t>
      </w:r>
    </w:p>
    <w:p>
      <w:pPr>
        <w:spacing w:line="276" w:lineRule="auto" w:after="200"/>
        <w:jc w:val="both"/>
      </w:pPr>
      <w:r>
        <w:rPr>
          <w:b w:val="0"/>
          <w:sz w:val="24"/>
        </w:rPr>
        <w:t>Compliance, evidence &amp; deliverables</w:t>
      </w:r>
    </w:p>
    <w:p>
      <w:pPr>
        <w:pStyle w:val="ListBullet"/>
        <w:spacing w:line="276" w:lineRule="auto" w:after="120"/>
        <w:jc w:val="both"/>
      </w:pPr>
      <w:r>
        <w:rPr>
          <w:b w:val="0"/>
          <w:sz w:val="24"/>
        </w:rPr>
        <w:t>We will provide ISO 27001 artifacts: ISMS scope, SoA, risk register extract, internal audit schedule and certification copy (on award).</w:t>
      </w:r>
    </w:p>
    <w:p>
      <w:pPr>
        <w:pStyle w:val="ListBullet"/>
        <w:spacing w:line="276" w:lineRule="auto" w:after="120"/>
        <w:jc w:val="both"/>
      </w:pPr>
      <w:r>
        <w:rPr>
          <w:b w:val="0"/>
          <w:sz w:val="24"/>
        </w:rPr>
        <w:t>Evidence bundle: architecture diagrams, baseline security configuration, pen-test summary, vulnerability reports, SLA matrix and incident-response playbooks.</w:t>
      </w:r>
    </w:p>
    <w:p>
      <w:pPr>
        <w:spacing w:line="276" w:lineRule="auto" w:after="200"/>
        <w:jc w:val="both"/>
      </w:pPr>
      <w:r>
        <w:rPr>
          <w:b w:val="0"/>
          <w:sz w:val="24"/>
        </w:rPr>
        <w:t>Handover, training &amp; local capability</w:t>
      </w:r>
    </w:p>
    <w:p>
      <w:pPr>
        <w:pStyle w:val="ListBullet"/>
        <w:spacing w:line="276" w:lineRule="auto" w:after="120"/>
        <w:jc w:val="both"/>
      </w:pPr>
      <w:r>
        <w:rPr>
          <w:b w:val="0"/>
          <w:sz w:val="24"/>
        </w:rPr>
        <w:t>Security runbooks, hands-on operator training, tabletop IR exercises prior to go‑live and knowledge transfer to HMDA security teams.</w:t>
      </w:r>
    </w:p>
    <w:p>
      <w:pPr>
        <w:spacing w:line="276" w:lineRule="auto" w:after="200"/>
        <w:jc w:val="both"/>
      </w:pPr>
      <w:r>
        <w:rPr>
          <w:b w:val="0"/>
          <w:sz w:val="24"/>
        </w:rPr>
        <w:t>Commitment</w:t>
      </w:r>
    </w:p>
    <w:p>
      <w:pPr>
        <w:spacing w:line="276" w:lineRule="auto" w:after="200"/>
        <w:jc w:val="both"/>
      </w:pPr>
      <w:r>
        <w:rPr>
          <w:b w:val="0"/>
          <w:sz w:val="24"/>
        </w:rPr>
        <w:t>Crucially, controls are staged to be fully operational before any live data collection. We will work with HMDA to tailor retention, SLA and evidence packages to your regulatory and operational needs and sign them into the SOW prior to commissioning.</w:t>
      </w:r>
    </w:p>
    <w:p>
      <w:pPr>
        <w:pStyle w:val="Heading1"/>
        <w:pageBreakBefore/>
        <w:spacing w:after="480"/>
      </w:pPr>
      <w:r>
        <w:rPr>
          <w:b/>
          <w:color w:val="002060"/>
          <w:sz w:val="32"/>
        </w:rPr>
        <w:t>9. COMPLIANCE &amp; STANDARDS</w:t>
      </w:r>
    </w:p>
    <w:p>
      <w:pPr>
        <w:spacing w:line="276" w:lineRule="auto" w:after="200"/>
        <w:jc w:val="both"/>
      </w:pPr>
      <w:r>
        <w:rPr>
          <w:b w:val="0"/>
          <w:sz w:val="24"/>
        </w:rPr>
        <w:t>Compliance is a project enabler — not paperwork. For HMDA’s city‑scale Intelligent Traffic Management System, rigorous, auditable compliance reduces legal risk, accelerates procurement approvals, and ensures operational continuity. We commit to demonstrable conformity to ISO 9001, ISO 27001, the BIS standards referenced in the RFP, Hyderabad traffic regulations, and applicable Indian data‑protection requirements.</w:t>
      </w:r>
    </w:p>
    <w:p>
      <w:pPr>
        <w:spacing w:line="276" w:lineRule="auto" w:after="200"/>
        <w:jc w:val="both"/>
      </w:pPr>
      <w:r>
        <w:rPr>
          <w:b w:val="0"/>
          <w:sz w:val="24"/>
        </w:rPr>
        <w:t>What we will deliver with the proposal</w:t>
      </w:r>
    </w:p>
    <w:p>
      <w:pPr>
        <w:pStyle w:val="ListBullet"/>
        <w:spacing w:line="276" w:lineRule="auto" w:after="120"/>
        <w:jc w:val="both"/>
      </w:pPr>
      <w:r>
        <w:rPr>
          <w:b w:val="0"/>
          <w:sz w:val="24"/>
        </w:rPr>
        <w:t>Certified proof: Certified copies of our ISO 9001 and ISO 27001 certificates, issued by accredited bodies, are included in Appendix A. Copies will be current at the time of contract signature and retained throughout the contract term.</w:t>
      </w:r>
    </w:p>
    <w:p>
      <w:pPr>
        <w:pStyle w:val="ListBullet"/>
        <w:spacing w:line="276" w:lineRule="auto" w:after="120"/>
        <w:jc w:val="both"/>
      </w:pPr>
      <w:r>
        <w:rPr>
          <w:b w:val="0"/>
          <w:sz w:val="24"/>
        </w:rPr>
        <w:t>Conformity statements: Signed declarations mapping the RFP’s regulatory clauses to our implemented controls and artifacts (Appendix B). Each declaration is signed by our Compliance Officer and our Technical Lead.</w:t>
      </w:r>
    </w:p>
    <w:p>
      <w:pPr>
        <w:pStyle w:val="ListBullet"/>
        <w:spacing w:line="276" w:lineRule="auto" w:after="120"/>
        <w:jc w:val="both"/>
      </w:pPr>
      <w:r>
        <w:rPr>
          <w:b w:val="0"/>
          <w:sz w:val="24"/>
        </w:rPr>
        <w:t>Standards mapping (Compliance Matrix): A clause‑by‑clause matrix that ties each RFP requirement to the controlling standard (ISO/BIS/HMDA), the internal control or process, and the evidence location (Appendix C). A compact sample is shown below.</w:t>
      </w:r>
    </w:p>
    <w:p>
      <w:pPr>
        <w:pStyle w:val="ListBullet"/>
        <w:spacing w:line="276" w:lineRule="auto" w:after="120"/>
        <w:jc w:val="both"/>
      </w:pPr>
      <w:r>
        <w:rPr>
          <w:b w:val="0"/>
          <w:sz w:val="24"/>
        </w:rPr>
        <w:t>Privacy &amp; data protection artifacts: Data Protection Policy, DPIA executive summary for ITMS data flows, template Data Processing Agreement (DPA) and records of processing activities — all in Appendix D. We use OneTrust as our privacy platform for subject‑right workflows, DPIA automation, and retention enforcement.</w:t>
      </w:r>
    </w:p>
    <w:p>
      <w:pPr>
        <w:pStyle w:val="ListBullet"/>
        <w:spacing w:line="276" w:lineRule="auto" w:after="120"/>
        <w:jc w:val="both"/>
      </w:pPr>
      <w:r>
        <w:rPr>
          <w:b w:val="0"/>
          <w:sz w:val="24"/>
        </w:rPr>
        <w:t>Hardware &amp; supply evidence: BIS conformity certificates, factory test reports, and third‑party EMC/safety test reports for all proposed field devices are provided in Appendix E. Where a third‑party supplier lacks a specific certificate, we will either (a) provide an approved alternate supplier, or (b) supply a remediation / testing plan and timeline prior to procurement.</w:t>
      </w:r>
    </w:p>
    <w:p>
      <w:pPr>
        <w:spacing w:line="276" w:lineRule="auto" w:after="200"/>
        <w:jc w:val="both"/>
      </w:pPr>
      <w:r>
        <w:rPr>
          <w:b w:val="0"/>
          <w:sz w:val="24"/>
        </w:rPr>
        <w:t>Compact compliance matrix (sample)</w:t>
      </w:r>
    </w:p>
    <w:tbl>
      <w:tblPr>
        <w:tblStyle w:val="TableGrid"/>
        <w:tblW w:type="auto" w:w="0"/>
        <w:tblLayout w:type="autofit"/>
        <w:tblLook w:firstColumn="1" w:firstRow="1" w:lastColumn="0" w:lastRow="0" w:noHBand="0" w:noVBand="1" w:val="04A0"/>
      </w:tblPr>
      <w:tblGrid>
        <w:gridCol w:w="2160"/>
        <w:gridCol w:w="2160"/>
        <w:gridCol w:w="2160"/>
        <w:gridCol w:w="2160"/>
      </w:tblGrid>
      <w:tr>
        <w:trPr>
          <w:trHeight w:val="432"/>
        </w:trPr>
        <w:tc>
          <w:tcPr>
            <w:tcW w:type="dxa" w:w="2160"/>
            <w:shd w:fill="002060"/>
          </w:tcPr>
          <w:p>
            <w:pPr>
              <w:spacing w:before="80" w:after="80"/>
              <w:jc w:val="center"/>
            </w:pPr>
            <w:r>
              <w:rPr>
                <w:b/>
                <w:color w:val="FFFFFF"/>
                <w:sz w:val="20"/>
              </w:rPr>
              <w:t>RFP CLAUSE</w:t>
            </w:r>
          </w:p>
        </w:tc>
        <w:tc>
          <w:tcPr>
            <w:tcW w:type="dxa" w:w="2160"/>
            <w:shd w:fill="002060"/>
          </w:tcPr>
          <w:p>
            <w:pPr>
              <w:spacing w:before="80" w:after="80"/>
              <w:jc w:val="center"/>
            </w:pPr>
            <w:r>
              <w:rPr>
                <w:b/>
                <w:color w:val="FFFFFF"/>
                <w:sz w:val="20"/>
              </w:rPr>
              <w:t>REQUIREMENT</w:t>
            </w:r>
          </w:p>
        </w:tc>
        <w:tc>
          <w:tcPr>
            <w:tcW w:type="dxa" w:w="2160"/>
            <w:shd w:fill="002060"/>
          </w:tcPr>
          <w:p>
            <w:pPr>
              <w:spacing w:before="80" w:after="80"/>
              <w:jc w:val="center"/>
            </w:pPr>
            <w:r>
              <w:rPr>
                <w:b/>
                <w:color w:val="FFFFFF"/>
                <w:sz w:val="20"/>
              </w:rPr>
              <w:t>STANDARD / CONTROL</w:t>
            </w:r>
          </w:p>
        </w:tc>
        <w:tc>
          <w:tcPr>
            <w:tcW w:type="dxa" w:w="2160"/>
            <w:shd w:fill="002060"/>
          </w:tcPr>
          <w:p>
            <w:pPr>
              <w:spacing w:before="80" w:after="80"/>
              <w:jc w:val="center"/>
            </w:pPr>
            <w:r>
              <w:rPr>
                <w:b/>
                <w:color w:val="FFFFFF"/>
                <w:sz w:val="20"/>
              </w:rPr>
              <w:t>EVIDENCE (APPENDIX)</w:t>
            </w:r>
          </w:p>
        </w:tc>
      </w:tr>
      <w:tr>
        <w:trPr>
          <w:trHeight w:val="432"/>
        </w:trPr>
        <w:tc>
          <w:tcPr>
            <w:tcW w:type="dxa" w:w="2160"/>
          </w:tcPr>
          <w:p>
            <w:pPr>
              <w:spacing w:before="80" w:after="80"/>
            </w:pPr>
            <w:r>
              <w:rPr>
                <w:color w:val="000000"/>
                <w:sz w:val="20"/>
              </w:rPr>
              <w:t>QMS process controls</w:t>
            </w:r>
          </w:p>
        </w:tc>
        <w:tc>
          <w:tcPr>
            <w:tcW w:type="dxa" w:w="2160"/>
          </w:tcPr>
          <w:p>
            <w:pPr>
              <w:spacing w:before="80" w:after="80"/>
            </w:pPr>
            <w:r>
              <w:rPr>
                <w:color w:val="000000"/>
                <w:sz w:val="20"/>
              </w:rPr>
              <w:t>Documented QA &amp; continual improvement</w:t>
            </w:r>
          </w:p>
        </w:tc>
        <w:tc>
          <w:tcPr>
            <w:tcW w:type="dxa" w:w="2160"/>
          </w:tcPr>
          <w:p>
            <w:pPr>
              <w:spacing w:before="80" w:after="80"/>
            </w:pPr>
            <w:r>
              <w:rPr>
                <w:color w:val="000000"/>
                <w:sz w:val="20"/>
              </w:rPr>
              <w:t>ISO 9001 — QMS process maps</w:t>
            </w:r>
          </w:p>
        </w:tc>
        <w:tc>
          <w:tcPr>
            <w:tcW w:type="dxa" w:w="2160"/>
          </w:tcPr>
          <w:p>
            <w:pPr>
              <w:spacing w:before="80" w:after="80"/>
            </w:pPr>
            <w:r>
              <w:rPr>
                <w:color w:val="000000"/>
                <w:sz w:val="20"/>
              </w:rPr>
              <w:t>Appendix A / QMS-Manual</w:t>
            </w:r>
          </w:p>
        </w:tc>
      </w:tr>
      <w:tr>
        <w:trPr>
          <w:trHeight w:val="432"/>
        </w:trPr>
        <w:tc>
          <w:tcPr>
            <w:tcW w:type="dxa" w:w="2160"/>
            <w:shd w:fill="F2F2F2"/>
          </w:tcPr>
          <w:p>
            <w:pPr>
              <w:spacing w:before="80" w:after="80"/>
            </w:pPr>
            <w:r>
              <w:rPr>
                <w:color w:val="000000"/>
                <w:sz w:val="20"/>
              </w:rPr>
              <w:t>Data security &amp; logging</w:t>
            </w:r>
          </w:p>
        </w:tc>
        <w:tc>
          <w:tcPr>
            <w:tcW w:type="dxa" w:w="2160"/>
            <w:shd w:fill="F2F2F2"/>
          </w:tcPr>
          <w:p>
            <w:pPr>
              <w:spacing w:before="80" w:after="80"/>
            </w:pPr>
            <w:r>
              <w:rPr>
                <w:color w:val="000000"/>
                <w:sz w:val="20"/>
              </w:rPr>
              <w:t>Encryption, access control, SIEM</w:t>
            </w:r>
          </w:p>
        </w:tc>
        <w:tc>
          <w:tcPr>
            <w:tcW w:type="dxa" w:w="2160"/>
            <w:shd w:fill="F2F2F2"/>
          </w:tcPr>
          <w:p>
            <w:pPr>
              <w:spacing w:before="80" w:after="80"/>
            </w:pPr>
            <w:r>
              <w:rPr>
                <w:color w:val="000000"/>
                <w:sz w:val="20"/>
              </w:rPr>
              <w:t>ISO 27001 Annex A (A.9, A.12, A.16)</w:t>
            </w:r>
          </w:p>
        </w:tc>
        <w:tc>
          <w:tcPr>
            <w:tcW w:type="dxa" w:w="2160"/>
            <w:shd w:fill="F2F2F2"/>
          </w:tcPr>
          <w:p>
            <w:pPr>
              <w:spacing w:before="80" w:after="80"/>
            </w:pPr>
            <w:r>
              <w:rPr>
                <w:color w:val="000000"/>
                <w:sz w:val="20"/>
              </w:rPr>
              <w:t>Appendix A / ISMS Docs</w:t>
            </w:r>
          </w:p>
        </w:tc>
      </w:tr>
      <w:tr>
        <w:trPr>
          <w:trHeight w:val="432"/>
        </w:trPr>
        <w:tc>
          <w:tcPr>
            <w:tcW w:type="dxa" w:w="2160"/>
          </w:tcPr>
          <w:p>
            <w:pPr>
              <w:spacing w:before="80" w:after="80"/>
            </w:pPr>
            <w:r>
              <w:rPr>
                <w:color w:val="000000"/>
                <w:sz w:val="20"/>
              </w:rPr>
              <w:t>Field device safety</w:t>
            </w:r>
          </w:p>
        </w:tc>
        <w:tc>
          <w:tcPr>
            <w:tcW w:type="dxa" w:w="2160"/>
          </w:tcPr>
          <w:p>
            <w:pPr>
              <w:spacing w:before="80" w:after="80"/>
            </w:pPr>
            <w:r>
              <w:rPr>
                <w:color w:val="000000"/>
                <w:sz w:val="20"/>
              </w:rPr>
              <w:t>Electrical &amp; EMC compliance</w:t>
            </w:r>
          </w:p>
        </w:tc>
        <w:tc>
          <w:tcPr>
            <w:tcW w:type="dxa" w:w="2160"/>
          </w:tcPr>
          <w:p>
            <w:pPr>
              <w:spacing w:before="80" w:after="80"/>
            </w:pPr>
            <w:r>
              <w:rPr>
                <w:color w:val="000000"/>
                <w:sz w:val="20"/>
              </w:rPr>
              <w:t>BIS (as listed in RFP)</w:t>
            </w:r>
          </w:p>
        </w:tc>
        <w:tc>
          <w:tcPr>
            <w:tcW w:type="dxa" w:w="2160"/>
          </w:tcPr>
          <w:p>
            <w:pPr>
              <w:spacing w:before="80" w:after="80"/>
            </w:pPr>
            <w:r>
              <w:rPr>
                <w:color w:val="000000"/>
                <w:sz w:val="20"/>
              </w:rPr>
              <w:t>Appendix E / Test Reports</w:t>
            </w:r>
          </w:p>
        </w:tc>
      </w:tr>
      <w:tr>
        <w:trPr>
          <w:trHeight w:val="432"/>
        </w:trPr>
        <w:tc>
          <w:tcPr>
            <w:tcW w:type="dxa" w:w="2160"/>
            <w:shd w:fill="F2F2F2"/>
          </w:tcPr>
          <w:p>
            <w:pPr>
              <w:spacing w:before="80" w:after="80"/>
            </w:pPr>
            <w:r>
              <w:rPr>
                <w:color w:val="000000"/>
                <w:sz w:val="20"/>
              </w:rPr>
              <w:t>Personal data handling</w:t>
            </w:r>
          </w:p>
        </w:tc>
        <w:tc>
          <w:tcPr>
            <w:tcW w:type="dxa" w:w="2160"/>
            <w:shd w:fill="F2F2F2"/>
          </w:tcPr>
          <w:p>
            <w:pPr>
              <w:spacing w:before="80" w:after="80"/>
            </w:pPr>
            <w:r>
              <w:rPr>
                <w:color w:val="000000"/>
                <w:sz w:val="20"/>
              </w:rPr>
              <w:t>DPIA, DPA, retention</w:t>
            </w:r>
          </w:p>
        </w:tc>
        <w:tc>
          <w:tcPr>
            <w:tcW w:type="dxa" w:w="2160"/>
            <w:shd w:fill="F2F2F2"/>
          </w:tcPr>
          <w:p>
            <w:pPr>
              <w:spacing w:before="80" w:after="80"/>
            </w:pPr>
            <w:r>
              <w:rPr>
                <w:color w:val="000000"/>
                <w:sz w:val="20"/>
              </w:rPr>
              <w:t>Indian data protection rules; OneTrust controls</w:t>
            </w:r>
          </w:p>
        </w:tc>
        <w:tc>
          <w:tcPr>
            <w:tcW w:type="dxa" w:w="2160"/>
            <w:shd w:fill="F2F2F2"/>
          </w:tcPr>
          <w:p>
            <w:pPr>
              <w:spacing w:before="80" w:after="80"/>
            </w:pPr>
            <w:r>
              <w:rPr>
                <w:color w:val="000000"/>
                <w:sz w:val="20"/>
              </w:rPr>
              <w:t>Appendix D / DPIA</w:t>
            </w:r>
          </w:p>
        </w:tc>
      </w:tr>
    </w:tbl>
    <w:p/>
    <w:p>
      <w:pPr>
        <w:spacing w:line="276" w:lineRule="auto" w:after="200"/>
        <w:jc w:val="both"/>
      </w:pPr>
      <w:r>
        <w:rPr>
          <w:b w:val="0"/>
          <w:sz w:val="24"/>
        </w:rPr>
        <w:t>Operational commitments and constraints</w:t>
      </w:r>
    </w:p>
    <w:p>
      <w:pPr>
        <w:pStyle w:val="ListBullet"/>
        <w:spacing w:line="276" w:lineRule="auto" w:after="120"/>
        <w:jc w:val="both"/>
      </w:pPr>
      <w:r>
        <w:rPr>
          <w:b w:val="0"/>
          <w:sz w:val="24"/>
        </w:rPr>
        <w:t>Certification continuity: We will maintain ISO 9001 and ISO 27001 for the contract duration and notify HMDA within 10 business days of any material change. Crucially, we do not sub‑contract away ISMS responsibilities — suppliers will operate under our security requirements and onboarding checks.</w:t>
      </w:r>
    </w:p>
    <w:p>
      <w:pPr>
        <w:pStyle w:val="ListBullet"/>
        <w:spacing w:line="276" w:lineRule="auto" w:after="120"/>
        <w:jc w:val="both"/>
      </w:pPr>
      <w:r>
        <w:rPr>
          <w:b w:val="0"/>
          <w:sz w:val="24"/>
        </w:rPr>
        <w:t>Audit and access: HMDA audit requests are welcome. We will provide evidence packs, access to policy documents, and a guided review within agreed time windows.</w:t>
      </w:r>
    </w:p>
    <w:p>
      <w:pPr>
        <w:pStyle w:val="ListBullet"/>
        <w:spacing w:line="276" w:lineRule="auto" w:after="120"/>
        <w:jc w:val="both"/>
      </w:pPr>
      <w:r>
        <w:rPr>
          <w:b w:val="0"/>
          <w:sz w:val="24"/>
        </w:rPr>
        <w:t>Remediation SLAs: If a non‑conformance is identified, we will deliver a remediation plan within 5 business days and a fix or mitigation within 30 calendar days, unless a longer window is agreed for hardware replacements.</w:t>
      </w:r>
    </w:p>
    <w:p>
      <w:pPr>
        <w:spacing w:line="276" w:lineRule="auto" w:after="200"/>
        <w:jc w:val="both"/>
      </w:pPr>
      <w:r>
        <w:rPr>
          <w:b w:val="0"/>
          <w:sz w:val="24"/>
        </w:rPr>
        <w:t>Who signs and where to find proof</w:t>
      </w:r>
    </w:p>
    <w:p>
      <w:pPr>
        <w:pStyle w:val="ListBullet"/>
        <w:spacing w:line="276" w:lineRule="auto" w:after="120"/>
        <w:jc w:val="both"/>
      </w:pPr>
      <w:r>
        <w:rPr>
          <w:b w:val="0"/>
          <w:sz w:val="24"/>
        </w:rPr>
        <w:t>Named signatory for declarations: Head of Compliance (designated signatory). Contact details and formal signature block appear in Appendix B.</w:t>
      </w:r>
    </w:p>
    <w:p>
      <w:pPr>
        <w:pStyle w:val="ListBullet"/>
        <w:spacing w:line="276" w:lineRule="auto" w:after="120"/>
        <w:jc w:val="both"/>
      </w:pPr>
      <w:r>
        <w:rPr>
          <w:b w:val="0"/>
          <w:sz w:val="24"/>
        </w:rPr>
        <w:t>All compliance artifacts are assembled in the Compliance Appendix (A–E). We will supply hard copies and digitally signed PDFs at submission and refresh them at contract award.</w:t>
      </w:r>
    </w:p>
    <w:p>
      <w:pPr>
        <w:spacing w:line="276" w:lineRule="auto" w:after="200"/>
        <w:jc w:val="both"/>
      </w:pPr>
      <w:r>
        <w:rPr>
          <w:b w:val="0"/>
          <w:sz w:val="24"/>
        </w:rPr>
        <w:t>Why this matters to HMDA</w:t>
      </w:r>
    </w:p>
    <w:p>
      <w:pPr>
        <w:spacing w:line="276" w:lineRule="auto" w:after="200"/>
        <w:jc w:val="both"/>
      </w:pPr>
      <w:r>
        <w:rPr>
          <w:b w:val="0"/>
          <w:sz w:val="24"/>
        </w:rPr>
        <w:t>We align process (ISO 9001), information security (ISO 27001), product safety (BIS), and privacy (OneTrust + DPIA) into a single, auditable compliance package. The result: lower legal exposure, faster technical approvals, and a transparent path for vendor and supplier validation — reducing the risk of deployment delays.</w:t>
      </w:r>
    </w:p>
    <w:p>
      <w:pPr>
        <w:pStyle w:val="Heading1"/>
        <w:pageBreakBefore/>
        <w:spacing w:after="480"/>
      </w:pPr>
      <w:r>
        <w:rPr>
          <w:b/>
          <w:color w:val="002060"/>
          <w:sz w:val="32"/>
        </w:rPr>
        <w:t>10. PRICING &amp; COMMERCIAL TERMS</w:t>
      </w:r>
    </w:p>
    <w:p>
      <w:pPr>
        <w:spacing w:line="276" w:lineRule="auto" w:after="200"/>
        <w:jc w:val="both"/>
      </w:pPr>
      <w:r>
        <w:rPr>
          <w:b w:val="0"/>
          <w:sz w:val="24"/>
        </w:rPr>
        <w:t>We price for certainty. Our proposal reconciles exactly to the RFP Total — ₹2,16,00,000 (two crore sixteen lakh rupees) — shown as a fixed, milestone‑based offer below. Prices are exclusive of taxes unless stated otherwise.</w:t>
      </w:r>
    </w:p>
    <w:p>
      <w:pPr>
        <w:spacing w:line="276" w:lineRule="auto" w:after="200"/>
        <w:jc w:val="both"/>
      </w:pPr>
      <w:r>
        <w:rPr>
          <w:b w:val="0"/>
          <w:sz w:val="24"/>
        </w:rPr>
        <w:t>Commercial summary (fixed-price, scope-aligned)</w:t>
      </w:r>
    </w:p>
    <w:p>
      <w:pPr>
        <w:pStyle w:val="ListBullet"/>
        <w:spacing w:line="276" w:lineRule="auto" w:after="120"/>
        <w:jc w:val="both"/>
      </w:pPr>
      <w:r>
        <w:rPr>
          <w:b w:val="0"/>
          <w:sz w:val="24"/>
        </w:rPr>
        <w:t>Total Contract Price (fixed): ₹2,16,00,000</w:t>
      </w:r>
    </w:p>
    <w:p>
      <w:pPr>
        <w:spacing w:line="276" w:lineRule="auto" w:after="200"/>
        <w:jc w:val="both"/>
      </w:pPr>
      <w:r>
        <w:rPr>
          <w:b w:val="0"/>
          <w:sz w:val="24"/>
        </w:rPr>
        <w:t>Itemised breakdown (reconciles to total)</w:t>
      </w:r>
    </w:p>
    <w:p>
      <w:pPr>
        <w:pStyle w:val="ListBullet"/>
        <w:spacing w:line="276" w:lineRule="auto" w:after="120"/>
        <w:jc w:val="both"/>
      </w:pPr>
      <w:r>
        <w:rPr>
          <w:b w:val="0"/>
          <w:sz w:val="24"/>
        </w:rPr>
        <w:t>Equipment &amp; Hardware (cameras, controllers, sensors, network) — ₹90,00,000</w:t>
      </w:r>
    </w:p>
    <w:p>
      <w:pPr>
        <w:pStyle w:val="ListBullet"/>
        <w:spacing w:line="276" w:lineRule="auto" w:after="120"/>
        <w:jc w:val="both"/>
      </w:pPr>
      <w:r>
        <w:rPr>
          <w:b w:val="0"/>
          <w:sz w:val="24"/>
        </w:rPr>
        <w:t>Software licenses &amp; Integration (central control, analytics, middleware fees) — ₹30,00,000</w:t>
      </w:r>
    </w:p>
    <w:p>
      <w:pPr>
        <w:pStyle w:val="ListBullet"/>
        <w:spacing w:line="276" w:lineRule="auto" w:after="120"/>
        <w:jc w:val="both"/>
      </w:pPr>
      <w:r>
        <w:rPr>
          <w:b w:val="0"/>
          <w:sz w:val="24"/>
        </w:rPr>
        <w:t>Implementation Services (design, installation, integration, SIT/UAT) — ₹60,00,000</w:t>
      </w:r>
    </w:p>
    <w:p>
      <w:pPr>
        <w:pStyle w:val="ListBullet"/>
        <w:spacing w:line="276" w:lineRule="auto" w:after="120"/>
        <w:jc w:val="both"/>
      </w:pPr>
      <w:r>
        <w:rPr>
          <w:b w:val="0"/>
          <w:sz w:val="24"/>
        </w:rPr>
        <w:t>Transition &amp; Hypercare (6-week transition + hypercare) — ₹10,00,000</w:t>
      </w:r>
    </w:p>
    <w:p>
      <w:pPr>
        <w:pStyle w:val="ListBullet"/>
        <w:spacing w:line="276" w:lineRule="auto" w:after="120"/>
        <w:jc w:val="both"/>
      </w:pPr>
      <w:r>
        <w:rPr>
          <w:b w:val="0"/>
          <w:sz w:val="24"/>
        </w:rPr>
        <w:t>Training &amp; Documentation (operator, maintenance, IT) — ₹3,00,000</w:t>
      </w:r>
    </w:p>
    <w:p>
      <w:pPr>
        <w:pStyle w:val="ListBullet"/>
        <w:spacing w:line="276" w:lineRule="auto" w:after="120"/>
        <w:jc w:val="both"/>
      </w:pPr>
      <w:r>
        <w:rPr>
          <w:b w:val="0"/>
          <w:sz w:val="24"/>
        </w:rPr>
        <w:t>Initial Spare‑parts Stocking (critical spares kit) — ₹6,00,000</w:t>
      </w:r>
    </w:p>
    <w:p>
      <w:pPr>
        <w:pStyle w:val="ListBullet"/>
        <w:spacing w:line="276" w:lineRule="auto" w:after="120"/>
        <w:jc w:val="both"/>
      </w:pPr>
      <w:r>
        <w:rPr>
          <w:b w:val="0"/>
          <w:sz w:val="24"/>
        </w:rPr>
        <w:t>Warranty &amp; First‑Year Maintenance (included) — ₹6,00,000</w:t>
      </w:r>
    </w:p>
    <w:p>
      <w:pPr>
        <w:pStyle w:val="ListBullet"/>
        <w:spacing w:line="276" w:lineRule="auto" w:after="120"/>
        <w:jc w:val="both"/>
      </w:pPr>
      <w:r>
        <w:rPr>
          <w:b w:val="0"/>
          <w:sz w:val="24"/>
        </w:rPr>
        <w:t>Project Management &amp; Contingency — ₹11,00,000</w:t>
      </w:r>
    </w:p>
    <w:p>
      <w:pPr>
        <w:spacing w:line="276" w:lineRule="auto" w:after="200"/>
        <w:jc w:val="both"/>
      </w:pPr>
      <w:r>
        <w:rPr>
          <w:b w:val="0"/>
          <w:sz w:val="24"/>
        </w:rPr>
        <w:t>Taxes, duties and statutory charges</w:t>
      </w:r>
    </w:p>
    <w:p>
      <w:pPr>
        <w:pStyle w:val="ListBullet"/>
        <w:spacing w:line="276" w:lineRule="auto" w:after="120"/>
        <w:jc w:val="both"/>
      </w:pPr>
      <w:r>
        <w:rPr>
          <w:b w:val="0"/>
          <w:sz w:val="24"/>
        </w:rPr>
        <w:t>All prices are quoted exclusive of GST and any other applicable indirect taxes and duties. GST at the prevailing rate (assumed 18% for budgeting) will be added to invoices unless a tax-exempt certificate is provided. Any new or changed statutory levies after bid submission will be passed through as a contract variation.</w:t>
      </w:r>
    </w:p>
    <w:p>
      <w:pPr>
        <w:spacing w:line="276" w:lineRule="auto" w:after="200"/>
        <w:jc w:val="both"/>
      </w:pPr>
      <w:r>
        <w:rPr>
          <w:b w:val="0"/>
          <w:sz w:val="24"/>
        </w:rPr>
        <w:t>Payment milestones (per RFP schedule)</w:t>
      </w:r>
    </w:p>
    <w:p>
      <w:pPr>
        <w:pStyle w:val="ListBullet"/>
        <w:spacing w:line="276" w:lineRule="auto" w:after="120"/>
        <w:jc w:val="both"/>
      </w:pPr>
      <w:r>
        <w:rPr>
          <w:b w:val="0"/>
          <w:sz w:val="24"/>
        </w:rPr>
        <w:t>20% on Contract Award (Initial Payment): ₹43,20,000</w:t>
      </w:r>
    </w:p>
    <w:p>
      <w:pPr>
        <w:pStyle w:val="ListBullet"/>
        <w:spacing w:line="276" w:lineRule="auto" w:after="120"/>
        <w:jc w:val="both"/>
      </w:pPr>
      <w:r>
        <w:rPr>
          <w:b w:val="0"/>
          <w:sz w:val="24"/>
        </w:rPr>
        <w:t>30% on Design Acceptance (Design sign‑off): ₹64,80,000</w:t>
      </w:r>
    </w:p>
    <w:p>
      <w:pPr>
        <w:pStyle w:val="ListBullet"/>
        <w:spacing w:line="276" w:lineRule="auto" w:after="120"/>
        <w:jc w:val="both"/>
      </w:pPr>
      <w:r>
        <w:rPr>
          <w:b w:val="0"/>
          <w:sz w:val="24"/>
        </w:rPr>
        <w:t>30% on Installation Completion (site installations complete &amp; SIT): ₹64,80,000</w:t>
      </w:r>
    </w:p>
    <w:p>
      <w:pPr>
        <w:pStyle w:val="ListBullet"/>
        <w:spacing w:line="276" w:lineRule="auto" w:after="120"/>
        <w:jc w:val="both"/>
      </w:pPr>
      <w:r>
        <w:rPr>
          <w:b w:val="0"/>
          <w:sz w:val="24"/>
        </w:rPr>
        <w:t>20% on Final Acceptance (Go‑Live &amp; Acceptance tests): ₹43,20,000</w:t>
      </w:r>
    </w:p>
    <w:p>
      <w:pPr>
        <w:spacing w:line="276" w:lineRule="auto" w:after="200"/>
        <w:jc w:val="both"/>
      </w:pPr>
      <w:r>
        <w:rPr>
          <w:b w:val="0"/>
          <w:sz w:val="24"/>
        </w:rPr>
        <w:t>Billing &amp; invoicing notes</w:t>
      </w:r>
    </w:p>
    <w:p>
      <w:pPr>
        <w:pStyle w:val="ListBullet"/>
        <w:spacing w:line="276" w:lineRule="auto" w:after="120"/>
        <w:jc w:val="both"/>
      </w:pPr>
      <w:r>
        <w:rPr>
          <w:b w:val="0"/>
          <w:sz w:val="24"/>
        </w:rPr>
        <w:t>Milestone invoices are payable within 30 days of submission of the signed milestone acceptance certificate.</w:t>
      </w:r>
    </w:p>
    <w:p>
      <w:pPr>
        <w:pStyle w:val="ListBullet"/>
        <w:spacing w:line="276" w:lineRule="auto" w:after="120"/>
        <w:jc w:val="both"/>
      </w:pPr>
      <w:r>
        <w:rPr>
          <w:b w:val="0"/>
          <w:sz w:val="24"/>
        </w:rPr>
        <w:t>Ongoing maintenance (if elected beyond included first year) is billed monthly in arrears on a pro‑rata basis.</w:t>
      </w:r>
    </w:p>
    <w:p>
      <w:pPr>
        <w:pStyle w:val="ListBullet"/>
        <w:spacing w:line="276" w:lineRule="auto" w:after="120"/>
        <w:jc w:val="both"/>
      </w:pPr>
      <w:r>
        <w:rPr>
          <w:b w:val="0"/>
          <w:sz w:val="24"/>
        </w:rPr>
        <w:t>Spare replenishment and consumables are billed as used, with monthly statements.</w:t>
      </w:r>
    </w:p>
    <w:p>
      <w:pPr>
        <w:spacing w:line="276" w:lineRule="auto" w:after="200"/>
        <w:jc w:val="both"/>
      </w:pPr>
      <w:r>
        <w:rPr>
          <w:b w:val="0"/>
          <w:sz w:val="24"/>
        </w:rPr>
        <w:t>Optional costs and T&amp;M (out‑of‑scope work)</w:t>
      </w:r>
    </w:p>
    <w:p>
      <w:pPr>
        <w:pStyle w:val="ListBullet"/>
        <w:spacing w:line="276" w:lineRule="auto" w:after="120"/>
        <w:jc w:val="both"/>
      </w:pPr>
      <w:r>
        <w:rPr>
          <w:b w:val="0"/>
          <w:sz w:val="24"/>
        </w:rPr>
        <w:t>Extended Warranty (optional): Quoted at ₹5,00,000 per year as requested in the RFP. This covers parts, labour, preventive maintenance visits, remote diagnostics, and prioritized SLA response for Years 2 and 3. (See optional pricing note below.)</w:t>
      </w:r>
    </w:p>
    <w:p>
      <w:pPr>
        <w:pStyle w:val="ListBullet"/>
        <w:spacing w:line="276" w:lineRule="auto" w:after="120"/>
        <w:jc w:val="both"/>
      </w:pPr>
      <w:r>
        <w:rPr>
          <w:b w:val="0"/>
          <w:sz w:val="24"/>
        </w:rPr>
        <w:t>Time &amp; Material daily rates (for ad‑hoc or major change requests):</w:t>
      </w:r>
    </w:p>
    <w:tbl>
      <w:tblPr>
        <w:tblStyle w:val="TableGrid"/>
        <w:tblW w:type="auto" w:w="0"/>
        <w:tblLayout w:type="autofit"/>
        <w:tblLook w:firstColumn="1" w:firstRow="1" w:lastColumn="0" w:lastRow="0" w:noHBand="0" w:noVBand="1" w:val="04A0"/>
      </w:tblPr>
      <w:tblGrid>
        <w:gridCol w:w="2880"/>
        <w:gridCol w:w="2880"/>
        <w:gridCol w:w="2880"/>
      </w:tblGrid>
      <w:tr>
        <w:trPr>
          <w:trHeight w:val="432"/>
        </w:trPr>
        <w:tc>
          <w:tcPr>
            <w:tcW w:type="dxa" w:w="2880"/>
            <w:shd w:fill="002060"/>
          </w:tcPr>
          <w:p>
            <w:pPr>
              <w:spacing w:before="80" w:after="80"/>
              <w:jc w:val="center"/>
            </w:pPr>
            <w:r>
              <w:rPr>
                <w:b/>
                <w:color w:val="FFFFFF"/>
                <w:sz w:val="20"/>
              </w:rPr>
              <w:t>ROLE</w:t>
            </w:r>
          </w:p>
        </w:tc>
        <w:tc>
          <w:tcPr>
            <w:tcW w:type="dxa" w:w="2880"/>
            <w:shd w:fill="002060"/>
          </w:tcPr>
          <w:p>
            <w:pPr>
              <w:spacing w:before="80" w:after="80"/>
              <w:jc w:val="center"/>
            </w:pPr>
            <w:r>
              <w:rPr>
                <w:b/>
                <w:color w:val="FFFFFF"/>
                <w:sz w:val="20"/>
              </w:rPr>
              <w:t>ONSITE (PER DAY)</w:t>
            </w:r>
          </w:p>
        </w:tc>
        <w:tc>
          <w:tcPr>
            <w:tcW w:type="dxa" w:w="2880"/>
            <w:shd w:fill="002060"/>
          </w:tcPr>
          <w:p>
            <w:pPr>
              <w:spacing w:before="80" w:after="80"/>
              <w:jc w:val="center"/>
            </w:pPr>
            <w:r>
              <w:rPr>
                <w:b/>
                <w:color w:val="FFFFFF"/>
                <w:sz w:val="20"/>
              </w:rPr>
              <w:t>REMOTE (PER HOUR)</w:t>
            </w:r>
          </w:p>
        </w:tc>
      </w:tr>
      <w:tr>
        <w:trPr>
          <w:trHeight w:val="432"/>
        </w:trPr>
        <w:tc>
          <w:tcPr>
            <w:tcW w:type="dxa" w:w="2880"/>
          </w:tcPr>
          <w:p>
            <w:pPr>
              <w:spacing w:before="80" w:after="80"/>
            </w:pPr>
            <w:r>
              <w:rPr>
                <w:color w:val="000000"/>
                <w:sz w:val="20"/>
              </w:rPr>
              <w:t>Field Engineer</w:t>
            </w:r>
          </w:p>
        </w:tc>
        <w:tc>
          <w:tcPr>
            <w:tcW w:type="dxa" w:w="2880"/>
          </w:tcPr>
          <w:p>
            <w:pPr>
              <w:spacing w:before="80" w:after="80"/>
            </w:pPr>
            <w:r>
              <w:rPr>
                <w:color w:val="000000"/>
                <w:sz w:val="20"/>
              </w:rPr>
              <w:t>₹6,000</w:t>
            </w:r>
          </w:p>
        </w:tc>
        <w:tc>
          <w:tcPr>
            <w:tcW w:type="dxa" w:w="2880"/>
          </w:tcPr>
          <w:p>
            <w:pPr>
              <w:spacing w:before="80" w:after="80"/>
            </w:pPr>
            <w:r>
              <w:rPr>
                <w:color w:val="000000"/>
                <w:sz w:val="20"/>
              </w:rPr>
              <w:t>₹600</w:t>
            </w:r>
          </w:p>
        </w:tc>
      </w:tr>
      <w:tr>
        <w:trPr>
          <w:trHeight w:val="432"/>
        </w:trPr>
        <w:tc>
          <w:tcPr>
            <w:tcW w:type="dxa" w:w="2880"/>
            <w:shd w:fill="F2F2F2"/>
          </w:tcPr>
          <w:p>
            <w:pPr>
              <w:spacing w:before="80" w:after="80"/>
            </w:pPr>
            <w:r>
              <w:rPr>
                <w:color w:val="000000"/>
                <w:sz w:val="20"/>
              </w:rPr>
              <w:t>Senior Systems Engineer</w:t>
            </w:r>
          </w:p>
        </w:tc>
        <w:tc>
          <w:tcPr>
            <w:tcW w:type="dxa" w:w="2880"/>
            <w:shd w:fill="F2F2F2"/>
          </w:tcPr>
          <w:p>
            <w:pPr>
              <w:spacing w:before="80" w:after="80"/>
            </w:pPr>
            <w:r>
              <w:rPr>
                <w:color w:val="000000"/>
                <w:sz w:val="20"/>
              </w:rPr>
              <w:t>₹12,000</w:t>
            </w:r>
          </w:p>
        </w:tc>
        <w:tc>
          <w:tcPr>
            <w:tcW w:type="dxa" w:w="2880"/>
            <w:shd w:fill="F2F2F2"/>
          </w:tcPr>
          <w:p>
            <w:pPr>
              <w:spacing w:before="80" w:after="80"/>
            </w:pPr>
            <w:r>
              <w:rPr>
                <w:color w:val="000000"/>
                <w:sz w:val="20"/>
              </w:rPr>
              <w:t>₹1,500</w:t>
            </w:r>
          </w:p>
        </w:tc>
      </w:tr>
      <w:tr>
        <w:trPr>
          <w:trHeight w:val="432"/>
        </w:trPr>
        <w:tc>
          <w:tcPr>
            <w:tcW w:type="dxa" w:w="2880"/>
          </w:tcPr>
          <w:p>
            <w:pPr>
              <w:spacing w:before="80" w:after="80"/>
            </w:pPr>
            <w:r>
              <w:rPr>
                <w:color w:val="000000"/>
                <w:sz w:val="20"/>
              </w:rPr>
              <w:t>Integration Specialist</w:t>
            </w:r>
          </w:p>
        </w:tc>
        <w:tc>
          <w:tcPr>
            <w:tcW w:type="dxa" w:w="2880"/>
          </w:tcPr>
          <w:p>
            <w:pPr>
              <w:spacing w:before="80" w:after="80"/>
            </w:pPr>
            <w:r>
              <w:rPr>
                <w:color w:val="000000"/>
                <w:sz w:val="20"/>
              </w:rPr>
              <w:t>₹10,000</w:t>
            </w:r>
          </w:p>
        </w:tc>
        <w:tc>
          <w:tcPr>
            <w:tcW w:type="dxa" w:w="2880"/>
          </w:tcPr>
          <w:p>
            <w:pPr>
              <w:spacing w:before="80" w:after="80"/>
            </w:pPr>
            <w:r>
              <w:rPr>
                <w:color w:val="000000"/>
                <w:sz w:val="20"/>
              </w:rPr>
              <w:t>₹1,200</w:t>
            </w:r>
          </w:p>
        </w:tc>
      </w:tr>
    </w:tbl>
    <w:p/>
    <w:p>
      <w:pPr>
        <w:spacing w:line="276" w:lineRule="auto" w:after="200"/>
        <w:jc w:val="both"/>
      </w:pPr>
      <w:r>
        <w:rPr>
          <w:b w:val="0"/>
          <w:sz w:val="24"/>
        </w:rPr>
        <w:t>Optional pricing note: We accept the RFP option price of ₹5,00,000/year for extended warranty. If HMDA requires an extended warranty with expanded SLA coverage (e.g., guaranteed onsite MTTR &lt; 2 hours city‑wide), we will present a revised commercial for mutual agreement.</w:t>
      </w:r>
    </w:p>
    <w:p>
      <w:pPr>
        <w:spacing w:line="276" w:lineRule="auto" w:after="200"/>
        <w:jc w:val="both"/>
      </w:pPr>
      <w:r>
        <w:rPr>
          <w:b w:val="0"/>
          <w:sz w:val="24"/>
        </w:rPr>
        <w:t>Warranty, maintenance regime and spare‑parts policy</w:t>
      </w:r>
    </w:p>
    <w:p>
      <w:pPr>
        <w:pStyle w:val="ListBullet"/>
        <w:spacing w:line="276" w:lineRule="auto" w:after="120"/>
        <w:jc w:val="both"/>
      </w:pPr>
      <w:r>
        <w:rPr>
          <w:b w:val="0"/>
          <w:sz w:val="24"/>
        </w:rPr>
        <w:t>Standard warranty: 12 months from Final Acceptance (covers hardware defects, software defects, and integration fixes arising from our deliverables).</w:t>
      </w:r>
    </w:p>
    <w:p>
      <w:pPr>
        <w:pStyle w:val="ListBullet"/>
        <w:spacing w:line="276" w:lineRule="auto" w:after="120"/>
        <w:jc w:val="both"/>
      </w:pPr>
      <w:r>
        <w:rPr>
          <w:b w:val="0"/>
          <w:sz w:val="24"/>
        </w:rPr>
        <w:t>Preventive maintenance schedule (included during warranty year): Quarterly on‑site health checks + continuous remote monitoring and monthly health report.</w:t>
      </w:r>
    </w:p>
    <w:p>
      <w:pPr>
        <w:pStyle w:val="ListBullet"/>
        <w:spacing w:line="276" w:lineRule="auto" w:after="120"/>
        <w:jc w:val="both"/>
      </w:pPr>
      <w:r>
        <w:rPr>
          <w:b w:val="0"/>
          <w:sz w:val="24"/>
        </w:rPr>
        <w:t>Maintenance ownership: We will provide maintenance through our delivery organization supported by a vetted local spares logistics partner in Hyderabad. We will be the single point of accountability for SLAs and escalation to any sub‑vendors.</w:t>
      </w:r>
    </w:p>
    <w:p>
      <w:pPr>
        <w:pStyle w:val="ListBullet"/>
        <w:spacing w:line="276" w:lineRule="auto" w:after="120"/>
        <w:jc w:val="both"/>
      </w:pPr>
      <w:r>
        <w:rPr>
          <w:b w:val="0"/>
          <w:sz w:val="24"/>
        </w:rPr>
        <w:t>Spare parts policy &amp; lead times:</w:t>
      </w:r>
    </w:p>
    <w:p>
      <w:pPr>
        <w:pStyle w:val="ListBullet"/>
        <w:spacing w:line="276" w:lineRule="auto" w:after="120"/>
        <w:jc w:val="both"/>
      </w:pPr>
      <w:r>
        <w:rPr>
          <w:b w:val="0"/>
          <w:sz w:val="24"/>
        </w:rPr>
        <w:t>Critical spares (pre‑stocked in Hyderabad hub): on‑site dispatch within 4 hours; typical on‑site replacement within 24 hours.</w:t>
      </w:r>
    </w:p>
    <w:p>
      <w:pPr>
        <w:pStyle w:val="ListBullet"/>
        <w:spacing w:line="276" w:lineRule="auto" w:after="120"/>
        <w:jc w:val="both"/>
      </w:pPr>
      <w:r>
        <w:rPr>
          <w:b w:val="0"/>
          <w:sz w:val="24"/>
        </w:rPr>
        <w:t>Non‑critical spares: supplier lead time 2–4 weeks; expedited shipping available under charge.</w:t>
      </w:r>
    </w:p>
    <w:p>
      <w:pPr>
        <w:pStyle w:val="ListBullet"/>
        <w:spacing w:line="276" w:lineRule="auto" w:after="120"/>
        <w:jc w:val="both"/>
      </w:pPr>
      <w:r>
        <w:rPr>
          <w:b w:val="0"/>
          <w:sz w:val="24"/>
        </w:rPr>
        <w:t>Stocking locations: Hyderabad central warehouse (primary), two regional site kits for rapid response.</w:t>
      </w:r>
    </w:p>
    <w:p>
      <w:pPr>
        <w:pStyle w:val="ListBullet"/>
        <w:spacing w:line="276" w:lineRule="auto" w:after="120"/>
        <w:jc w:val="both"/>
      </w:pPr>
      <w:r>
        <w:rPr>
          <w:b w:val="0"/>
          <w:sz w:val="24"/>
        </w:rPr>
        <w:t>KPI commitments during warranty and any purchased extended warranty: 98% system availability for critical corridors (subject to third‑party networks); P1 hardware replacement SLA — 24 hours for pre‑stocked critical items, 72 hours for non‑stocked items. Specific SLA table and credits to be included in the final SOW.</w:t>
      </w:r>
    </w:p>
    <w:p>
      <w:pPr>
        <w:spacing w:line="276" w:lineRule="auto" w:after="200"/>
        <w:jc w:val="both"/>
      </w:pPr>
      <w:r>
        <w:rPr>
          <w:b w:val="0"/>
          <w:sz w:val="24"/>
        </w:rPr>
        <w:t>Financial guarantees, insurance &amp; proof of stability</w:t>
      </w:r>
    </w:p>
    <w:p>
      <w:pPr>
        <w:pStyle w:val="ListBullet"/>
        <w:spacing w:line="276" w:lineRule="auto" w:after="120"/>
        <w:jc w:val="both"/>
      </w:pPr>
      <w:r>
        <w:rPr>
          <w:b w:val="0"/>
          <w:sz w:val="24"/>
        </w:rPr>
        <w:t>Performance Security: We propose a Performance Bank Guarantee of 3% of contract value (₹6,48,000) valid until expiry of the warranty period + 3 months. Alternative security mechanisms (retention or BG at 5%) may be negotiated.</w:t>
      </w:r>
    </w:p>
    <w:p>
      <w:pPr>
        <w:pStyle w:val="ListBullet"/>
        <w:spacing w:line="276" w:lineRule="auto" w:after="120"/>
        <w:jc w:val="both"/>
      </w:pPr>
      <w:r>
        <w:rPr>
          <w:b w:val="0"/>
          <w:sz w:val="24"/>
        </w:rPr>
        <w:t>Insurances provided prior to mobilization: Public Liability (₹1 Crore), Professional Indemnity (₹50 Lakh), and Cyber/Technology E&amp;O insurance (limits available on request). Certificates will be submitted with the contract.</w:t>
      </w:r>
    </w:p>
    <w:p>
      <w:pPr>
        <w:pStyle w:val="ListBullet"/>
        <w:spacing w:line="276" w:lineRule="auto" w:after="120"/>
        <w:jc w:val="both"/>
      </w:pPr>
      <w:r>
        <w:rPr>
          <w:b w:val="0"/>
          <w:sz w:val="24"/>
        </w:rPr>
        <w:t>Financial proof: Audited financial statements for the last three years, solvency ratios and bank reference letters will be provided with our submission as required in Section 5.2 of the RFP.</w:t>
      </w:r>
    </w:p>
    <w:p>
      <w:pPr>
        <w:spacing w:line="276" w:lineRule="auto" w:after="200"/>
        <w:jc w:val="both"/>
      </w:pPr>
      <w:r>
        <w:rPr>
          <w:b w:val="0"/>
          <w:sz w:val="24"/>
        </w:rPr>
        <w:t>Assumptions and variation clauses (commercially material)</w:t>
      </w:r>
    </w:p>
    <w:p>
      <w:pPr>
        <w:pStyle w:val="ListBullet"/>
        <w:spacing w:line="276" w:lineRule="auto" w:after="120"/>
        <w:jc w:val="both"/>
      </w:pPr>
      <w:r>
        <w:rPr>
          <w:b w:val="0"/>
          <w:sz w:val="24"/>
        </w:rPr>
        <w:t>This pricing assumes: site readiness (power, civil mounting, network connectivity), timely access and permits, client‑supplied fiber/network backhaul and required third‑party licenses, and no material scope expansion from the RFP specification.</w:t>
      </w:r>
    </w:p>
    <w:p>
      <w:pPr>
        <w:pStyle w:val="ListBullet"/>
        <w:spacing w:line="276" w:lineRule="auto" w:after="120"/>
        <w:jc w:val="both"/>
      </w:pPr>
      <w:r>
        <w:rPr>
          <w:b w:val="0"/>
          <w:sz w:val="24"/>
        </w:rPr>
        <w:t>Any variation in scope, statutory taxes, import duties, exchange rates (for imported items), or schedule that causes cost or schedule impact will be handled through the change control process and result in a priced variation.</w:t>
      </w:r>
    </w:p>
    <w:p>
      <w:pPr>
        <w:spacing w:line="276" w:lineRule="auto" w:after="200"/>
        <w:jc w:val="both"/>
      </w:pPr>
      <w:r>
        <w:rPr>
          <w:b w:val="0"/>
          <w:sz w:val="24"/>
        </w:rPr>
        <w:t>Next steps</w:t>
      </w:r>
    </w:p>
    <w:p>
      <w:pPr>
        <w:pStyle w:val="ListBullet"/>
        <w:spacing w:line="276" w:lineRule="auto" w:after="120"/>
        <w:jc w:val="both"/>
      </w:pPr>
      <w:r>
        <w:rPr>
          <w:b w:val="0"/>
          <w:sz w:val="24"/>
        </w:rPr>
        <w:t>On award we will issue a detailed commercial annex (itemised spare list with MRP, stocking plan, SLA table, and final bank guarantee text) within 5 business days for contract finalization.</w:t>
      </w:r>
    </w:p>
    <w:p>
      <w:pPr>
        <w:pStyle w:val="Heading1"/>
        <w:pageBreakBefore/>
        <w:spacing w:after="480"/>
      </w:pPr>
      <w:r>
        <w:rPr>
          <w:b/>
          <w:color w:val="002060"/>
          <w:sz w:val="32"/>
        </w:rPr>
        <w:t>11. CONCLUSION &amp; NEXT STEPS</w:t>
      </w:r>
    </w:p>
    <w:p>
      <w:pPr>
        <w:spacing w:line="276" w:lineRule="auto" w:after="200"/>
        <w:jc w:val="both"/>
      </w:pPr>
      <w:r>
        <w:rPr>
          <w:b w:val="0"/>
          <w:sz w:val="24"/>
        </w:rPr>
        <w:t>We will deliver an operational, city‑wide Intelligent Traffic Management System that measurably reduces congestion and improves safety — and we will do it with three guarantees: controlled procurement, integration‑first engineering, and outcome‑based acceptance.</w:t>
      </w:r>
    </w:p>
    <w:p>
      <w:pPr>
        <w:spacing w:line="276" w:lineRule="auto" w:after="200"/>
        <w:jc w:val="both"/>
      </w:pPr>
      <w:r>
        <w:rPr>
          <w:b w:val="0"/>
          <w:sz w:val="24"/>
        </w:rPr>
        <w:t>What we commit to</w:t>
      </w:r>
    </w:p>
    <w:p>
      <w:pPr>
        <w:pStyle w:val="ListBullet"/>
        <w:spacing w:line="276" w:lineRule="auto" w:after="120"/>
        <w:jc w:val="both"/>
      </w:pPr>
      <w:r>
        <w:rPr>
          <w:b w:val="0"/>
          <w:sz w:val="24"/>
        </w:rPr>
        <w:t>City‑wide live system on the committed go‑live date with central control and sensors operational.</w:t>
      </w:r>
    </w:p>
    <w:p>
      <w:pPr>
        <w:pStyle w:val="ListBullet"/>
        <w:spacing w:line="276" w:lineRule="auto" w:after="120"/>
        <w:jc w:val="both"/>
      </w:pPr>
      <w:r>
        <w:rPr>
          <w:b w:val="0"/>
          <w:sz w:val="24"/>
        </w:rPr>
        <w:t>Measured progress toward HMDA targets: 25% average travel‑time reduction on major corridors, 20% fewer incidents, improved commuter satisfaction.</w:t>
      </w:r>
    </w:p>
    <w:p>
      <w:pPr>
        <w:pStyle w:val="ListBullet"/>
        <w:spacing w:line="276" w:lineRule="auto" w:after="120"/>
        <w:jc w:val="both"/>
      </w:pPr>
      <w:r>
        <w:rPr>
          <w:b w:val="0"/>
          <w:sz w:val="24"/>
        </w:rPr>
        <w:t>Local capability: trained HMDA operators, complete runbooks, and a maintainable support model with SLAs, spares and validated contingency suppliers.</w:t>
      </w:r>
    </w:p>
    <w:p>
      <w:pPr>
        <w:spacing w:line="276" w:lineRule="auto" w:after="200"/>
        <w:jc w:val="both"/>
      </w:pPr>
      <w:r>
        <w:rPr>
          <w:b w:val="0"/>
          <w:sz w:val="24"/>
        </w:rPr>
        <w:t>Immediate next steps (first 90 days)</w:t>
      </w:r>
    </w:p>
    <w:p>
      <w:pPr>
        <w:spacing w:line="276" w:lineRule="auto" w:after="200"/>
        <w:jc w:val="both"/>
      </w:pPr>
      <w:r>
        <w:rPr>
          <w:b w:val="0"/>
          <w:sz w:val="24"/>
        </w:rPr>
        <w:t>1. Contract sign and mobilize (Days 0–7): final SOW sign, project plan baseline, steering committee charter.</w:t>
      </w:r>
    </w:p>
    <w:p>
      <w:pPr>
        <w:spacing w:line="276" w:lineRule="auto" w:after="200"/>
        <w:jc w:val="both"/>
      </w:pPr>
      <w:r>
        <w:rPr>
          <w:b w:val="0"/>
          <w:sz w:val="24"/>
        </w:rPr>
        <w:t>2. Joint discovery &amp; baseline (Weeks 1–4): corridor selection, baseline travel‑time and incident data, legacy signal documentation handover.</w:t>
      </w:r>
    </w:p>
    <w:p>
      <w:pPr>
        <w:spacing w:line="276" w:lineRule="auto" w:after="200"/>
        <w:jc w:val="both"/>
      </w:pPr>
      <w:r>
        <w:rPr>
          <w:b w:val="0"/>
          <w:sz w:val="24"/>
        </w:rPr>
        <w:t>3. Long‑lead procurement &amp; supplier validation (Weeks 2–8): place hardware orders with staged delivery; validate alternate suppliers and local spares inventory to neutralize supply risk.</w:t>
      </w:r>
    </w:p>
    <w:p>
      <w:pPr>
        <w:spacing w:line="276" w:lineRule="auto" w:after="200"/>
        <w:jc w:val="both"/>
      </w:pPr>
      <w:r>
        <w:rPr>
          <w:b w:val="0"/>
          <w:sz w:val="24"/>
        </w:rPr>
        <w:t>4. Detailed integration design &amp; security review (Weeks 3–10): legacy signal adapters, public transport APIs, ISO‑aligned security controls and audit path.</w:t>
      </w:r>
    </w:p>
    <w:p>
      <w:pPr>
        <w:spacing w:line="276" w:lineRule="auto" w:after="200"/>
        <w:jc w:val="both"/>
      </w:pPr>
      <w:r>
        <w:rPr>
          <w:b w:val="0"/>
          <w:sz w:val="24"/>
        </w:rPr>
        <w:t>5. Pilot deployment &amp; validation (Weeks 10–20): pilot corridor go‑live, KPI measurement, operational training and hypercare.</w:t>
      </w:r>
    </w:p>
    <w:p>
      <w:pPr>
        <w:spacing w:line="276" w:lineRule="auto" w:after="200"/>
        <w:jc w:val="both"/>
      </w:pPr>
      <w:r>
        <w:rPr>
          <w:b w:val="0"/>
          <w:sz w:val="24"/>
        </w:rPr>
        <w:t>Decision gates &amp; acceptance criteria</w:t>
      </w:r>
    </w:p>
    <w:p>
      <w:pPr>
        <w:pStyle w:val="ListBullet"/>
        <w:spacing w:line="276" w:lineRule="auto" w:after="120"/>
        <w:jc w:val="both"/>
      </w:pPr>
      <w:r>
        <w:rPr>
          <w:b w:val="0"/>
          <w:sz w:val="24"/>
        </w:rPr>
        <w:t>Pilot go/no‑go: live telemetry from sensors, bi‑directional control with legacy signals, automated incident detection operating at &gt;80% precision in the pilot corridor.</w:t>
      </w:r>
    </w:p>
    <w:p>
      <w:pPr>
        <w:pStyle w:val="ListBullet"/>
        <w:spacing w:line="276" w:lineRule="auto" w:after="120"/>
        <w:jc w:val="both"/>
      </w:pPr>
      <w:r>
        <w:rPr>
          <w:b w:val="0"/>
          <w:sz w:val="24"/>
        </w:rPr>
        <w:t>City‑wide go/no‑go: sustained pilot KPIs, documented runbooks, trained local staff, passed security/compliance checklist and sign‑off on spares &amp; contingency plan.</w:t>
      </w:r>
    </w:p>
    <w:p>
      <w:pPr>
        <w:spacing w:line="276" w:lineRule="auto" w:after="200"/>
        <w:jc w:val="both"/>
      </w:pPr>
      <w:r>
        <w:rPr>
          <w:b w:val="0"/>
          <w:sz w:val="24"/>
        </w:rPr>
        <w:t>Governance &amp; reporting</w:t>
      </w:r>
    </w:p>
    <w:p>
      <w:pPr>
        <w:pStyle w:val="ListBullet"/>
        <w:spacing w:line="276" w:lineRule="auto" w:after="120"/>
        <w:jc w:val="both"/>
      </w:pPr>
      <w:r>
        <w:rPr>
          <w:b w:val="0"/>
          <w:sz w:val="24"/>
        </w:rPr>
        <w:t>Cadence: weekly program board, bi‑weekly technical working group, monthly steering committee.</w:t>
      </w:r>
    </w:p>
    <w:p>
      <w:pPr>
        <w:pStyle w:val="ListBullet"/>
        <w:spacing w:line="276" w:lineRule="auto" w:after="120"/>
        <w:jc w:val="both"/>
      </w:pPr>
      <w:r>
        <w:rPr>
          <w:b w:val="0"/>
          <w:sz w:val="24"/>
        </w:rPr>
        <w:t>Visibility: fortnightly KPI dashboard (travel time, incident rate, system availability, MTTR) with executive snapshot for HMDA leadership.</w:t>
      </w:r>
    </w:p>
    <w:p>
      <w:pPr>
        <w:spacing w:line="276" w:lineRule="auto" w:after="200"/>
        <w:jc w:val="both"/>
      </w:pPr>
      <w:r>
        <w:rPr>
          <w:b w:val="0"/>
          <w:sz w:val="24"/>
        </w:rPr>
        <w:t>How we mitigate your top risks</w:t>
      </w:r>
    </w:p>
    <w:p>
      <w:pPr>
        <w:pStyle w:val="ListBullet"/>
        <w:spacing w:line="276" w:lineRule="auto" w:after="120"/>
        <w:jc w:val="both"/>
      </w:pPr>
      <w:r>
        <w:rPr>
          <w:b w:val="0"/>
          <w:sz w:val="24"/>
        </w:rPr>
        <w:t>Supply chain: staged deliveries, pre‑qualified alternate vendors and local spares to avoid single‑source failure.</w:t>
      </w:r>
    </w:p>
    <w:p>
      <w:pPr>
        <w:pStyle w:val="ListBullet"/>
        <w:spacing w:line="276" w:lineRule="auto" w:after="120"/>
        <w:jc w:val="both"/>
      </w:pPr>
      <w:r>
        <w:rPr>
          <w:b w:val="0"/>
          <w:sz w:val="24"/>
        </w:rPr>
        <w:t>Integration: early adapter proofs, parallel sandbox testing and multiple dry‑runs prior to cutover.</w:t>
      </w:r>
    </w:p>
    <w:p>
      <w:pPr>
        <w:pStyle w:val="ListBullet"/>
        <w:spacing w:line="276" w:lineRule="auto" w:after="120"/>
        <w:jc w:val="both"/>
      </w:pPr>
      <w:r>
        <w:rPr>
          <w:b w:val="0"/>
          <w:sz w:val="24"/>
        </w:rPr>
        <w:t>Performance: measurable SLAs, fixed acceptance tests and targeted remediation plans scoped in the SOW.</w:t>
      </w:r>
    </w:p>
    <w:p>
      <w:pPr>
        <w:pStyle w:val="ListBullet"/>
        <w:spacing w:line="276" w:lineRule="auto" w:after="120"/>
        <w:jc w:val="both"/>
      </w:pPr>
      <w:r>
        <w:rPr>
          <w:b w:val="0"/>
          <w:sz w:val="24"/>
        </w:rPr>
        <w:t>Security &amp; compliance: ISO‑aligned controls, encrypted telemetry, audit logging, and full documentation handed to HMDA.</w:t>
      </w:r>
    </w:p>
    <w:p>
      <w:pPr>
        <w:spacing w:line="276" w:lineRule="auto" w:after="200"/>
        <w:jc w:val="both"/>
      </w:pPr>
      <w:r>
        <w:rPr>
          <w:b w:val="0"/>
          <w:sz w:val="24"/>
        </w:rPr>
        <w:t>Immediate ask from HMDA</w:t>
      </w:r>
    </w:p>
    <w:p>
      <w:pPr>
        <w:pStyle w:val="ListBullet"/>
        <w:spacing w:line="276" w:lineRule="auto" w:after="120"/>
        <w:jc w:val="both"/>
      </w:pPr>
      <w:r>
        <w:rPr>
          <w:b w:val="0"/>
          <w:sz w:val="24"/>
        </w:rPr>
        <w:t>Approve SOW and proposed mobilisation window.</w:t>
      </w:r>
    </w:p>
    <w:p>
      <w:pPr>
        <w:pStyle w:val="ListBullet"/>
        <w:spacing w:line="276" w:lineRule="auto" w:after="120"/>
        <w:jc w:val="both"/>
      </w:pPr>
      <w:r>
        <w:rPr>
          <w:b w:val="0"/>
          <w:sz w:val="24"/>
        </w:rPr>
        <w:t>Identify a named HMDA sponsor and provide legacy signal specifications and corridor permit/priorities for pilot selection.</w:t>
      </w:r>
    </w:p>
    <w:p>
      <w:pPr>
        <w:spacing w:line="276" w:lineRule="auto" w:after="200"/>
        <w:jc w:val="both"/>
      </w:pPr>
      <w:r>
        <w:rPr>
          <w:b w:val="0"/>
          <w:sz w:val="24"/>
        </w:rPr>
        <w:t>Next meeting request</w:t>
      </w:r>
    </w:p>
    <w:p>
      <w:pPr>
        <w:pStyle w:val="ListBullet"/>
        <w:spacing w:line="276" w:lineRule="auto" w:after="120"/>
        <w:jc w:val="both"/>
      </w:pPr>
      <w:r>
        <w:rPr>
          <w:b w:val="0"/>
          <w:sz w:val="24"/>
        </w:rPr>
        <w:t>Proposed: 7–10 days after award for SOW sign and kickoff. On approval, we will circulate a Day‑0 agenda and a 90‑day execution plan within 48 hours.</w:t>
      </w:r>
    </w:p>
    <w:p>
      <w:pPr>
        <w:spacing w:line="276" w:lineRule="auto" w:after="200"/>
        <w:jc w:val="both"/>
      </w:pPr>
      <w:r>
        <w:rPr>
          <w:b w:val="0"/>
          <w:sz w:val="24"/>
        </w:rPr>
        <w:t>We are ready to begin and accountable for outcomes. Approve these next steps and we will start executing the plan that will deliver measurable travel‑time reduction, improved safety, and local operational ownership.</w:t>
      </w:r>
    </w:p>
    <w:sectPr w:rsidR="00FC693F" w:rsidRPr="0006063C" w:rsidSect="00034616">
      <w:headerReference w:type="first" r:id="rId9"/>
      <w:headerReference w:type="default" r:id="rId10"/>
      <w:footerReference w:type="default" r:id="rId11"/>
      <w:pgSz w:w="12240" w:h="15840"/>
      <w:pgMar w:top="1440" w:right="1800" w:bottom="1440" w:left="1800" w:header="720" w:footer="720" w:gutter="0"/>
      <w:cols w:space="720"/>
      <w:titlePg/>
      <w:docGrid w:linePitch="360"/>
      <w:pgNumType w:start="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182880"/>
          <wp:docPr id="1" name="Picture 1"/>
          <wp:cNvGraphicFramePr>
            <a:graphicFrameLocks noChangeAspect="1"/>
          </wp:cNvGraphicFramePr>
          <a:graphic>
            <a:graphicData uri="http://schemas.openxmlformats.org/drawingml/2006/picture">
              <pic:pic>
                <pic:nvPicPr>
                  <pic:cNvPr id="0" name="accellor-logo.png"/>
                  <pic:cNvPicPr/>
                </pic:nvPicPr>
                <pic:blipFill>
                  <a:blip r:embed="rId1"/>
                  <a:stretch>
                    <a:fillRect/>
                  </a:stretch>
                </pic:blipFill>
                <pic:spPr>
                  <a:xfrm>
                    <a:off x="0" y="0"/>
                    <a:ext cx="1097280" cy="18288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182880"/>
          <wp:docPr id="1" name="Picture 1"/>
          <wp:cNvGraphicFramePr>
            <a:graphicFrameLocks noChangeAspect="1"/>
          </wp:cNvGraphicFramePr>
          <a:graphic>
            <a:graphicData uri="http://schemas.openxmlformats.org/drawingml/2006/picture">
              <pic:pic>
                <pic:nvPicPr>
                  <pic:cNvPr id="0" name="accellor-logo.png"/>
                  <pic:cNvPicPr/>
                </pic:nvPicPr>
                <pic:blipFill>
                  <a:blip r:embed="rId1"/>
                  <a:stretch>
                    <a:fillRect/>
                  </a:stretch>
                </pic:blipFill>
                <pic:spPr>
                  <a:xfrm>
                    <a:off x="0" y="0"/>
                    <a:ext cx="1097280" cy="18288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