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  <w:r>
        <w:rPr>
          <w:sz w:val="40"/>
          <w:szCs w:val="40"/>
        </w:rPr>
        <w:t xml:space="preserve"/>
      </w:r>
    </w:p>
    <w:p>
      <w:pPr>
        <w:spacing w:after="200"/>
        <w:jc w:val="center"/>
      </w:pPr>
      <w:r>
        <w:rPr>
          <w:sz w:val="72"/>
          <w:szCs w:val="72"/>
        </w:rPr>
        <w:t xml:space="preserve">🏥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BUSINESS REQUIREMENTS DOCUMENT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Hospital Revenue Leakage Detection System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shd w:fill="1F4E7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Document Version</w:t>
            </w:r>
          </w:p>
        </w:tc>
        <w:tc>
          <w:tcPr>
            <w:tcW w:type="dxa" w:w="40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v1.0 — Initial Release</w:t>
            </w:r>
          </w:p>
        </w:tc>
      </w:tr>
      <w:tr>
        <w:tc>
          <w:tcPr>
            <w:tcW w:type="dxa" w:w="2500"/>
            <w:shd w:fill="2E75B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Prepared By</w:t>
            </w:r>
          </w:p>
        </w:tc>
        <w:tc>
          <w:tcPr>
            <w:tcW w:type="dxa" w:w="40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[Your Full Name]</w:t>
            </w:r>
          </w:p>
        </w:tc>
      </w:tr>
      <w:tr>
        <w:tc>
          <w:tcPr>
            <w:tcW w:type="dxa" w:w="2500"/>
            <w:shd w:fill="1F4E7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Date</w:t>
            </w:r>
          </w:p>
        </w:tc>
        <w:tc>
          <w:tcPr>
            <w:tcW w:type="dxa" w:w="40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 March 2026</w:t>
            </w:r>
          </w:p>
        </w:tc>
      </w:tr>
      <w:tr>
        <w:tc>
          <w:tcPr>
            <w:tcW w:type="dxa" w:w="2500"/>
            <w:shd w:fill="2E75B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Project Status</w:t>
            </w:r>
          </w:p>
        </w:tc>
        <w:tc>
          <w:tcPr>
            <w:tcW w:type="dxa" w:w="40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Completed — Available for Review</w:t>
            </w:r>
          </w:p>
        </w:tc>
      </w:tr>
      <w:tr>
        <w:tc>
          <w:tcPr>
            <w:tcW w:type="dxa" w:w="2500"/>
            <w:shd w:fill="1F4E7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Tools Used</w:t>
            </w:r>
          </w:p>
        </w:tc>
        <w:tc>
          <w:tcPr>
            <w:tcW w:type="dxa" w:w="40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Excel | SQL (SQLite) | Power BI | draw.io</w:t>
            </w:r>
          </w:p>
        </w:tc>
      </w:tr>
    </w:tbl>
    <w:p>
      <w:r>
        <w:br w:type="page"/>
      </w:r>
    </w:p>
    <w:p>
      <w:pPr>
        <w:pStyle w:val="Heading1"/>
        <w:spacing w:before="300" w:after="120"/>
        <w:rPr>
          <w:b/>
          <w:bCs/>
          <w:color w:val="1F4E79"/>
        </w:rPr>
      </w:pPr>
      <w:r>
        <w:t xml:space="preserve">1. Executive Summary</w:t>
      </w:r>
    </w:p>
    <w:p>
      <w:pPr>
        <w:pBdr>
          <w:bottom w:val="single" w:color="2E75B6" w:sz="4"/>
        </w:pBdr>
        <w:spacing w:after="200"/>
      </w:pP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ABC Multi-Specialty Hospital, a 300-bed facility in Hyderabad, is experiencing a critical revenue leakage problem. Despite serving 500+ patients per month across six departments, the hospital's billing and collections team has identified a growing gap between billed amounts and actual collections.</w:t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This Business Requirements Document (BRD) defines the scope, objectives, stakeholders, data requirements, and success criteria for an end-to-end Revenue Leakage Detection System built using Excel, SQL, and Power BI.</w:t>
      </w:r>
    </w:p>
    <w:p>
      <w:pPr>
        <w:spacing w:after="120"/>
      </w:pP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shd w:fill="1F4E7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KPI</w:t>
            </w:r>
          </w:p>
        </w:tc>
        <w:tc>
          <w:tcPr>
            <w:tcW w:type="dxa" w:w="2500"/>
            <w:shd w:fill="1F4E7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Current State</w:t>
            </w:r>
          </w:p>
        </w:tc>
        <w:tc>
          <w:tcPr>
            <w:tcW w:type="dxa" w:w="2500"/>
            <w:shd w:fill="1F4E7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 State</w:t>
            </w:r>
          </w:p>
        </w:tc>
      </w:tr>
      <w:tr>
        <w:tc>
          <w:tcPr>
            <w:tcW w:type="dxa" w:w="25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Overall Leakage %</w:t>
            </w:r>
          </w:p>
        </w:tc>
        <w:tc>
          <w:tcPr>
            <w:tcW w:type="dxa" w:w="2500"/>
            <w:shd w:fill="FDEDEC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~32% of total billed</w:t>
            </w:r>
          </w:p>
        </w:tc>
        <w:tc>
          <w:tcPr>
            <w:tcW w:type="dxa" w:w="2500"/>
            <w:shd w:fill="EAFAF1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Below 20%</w:t>
            </w:r>
          </w:p>
        </w:tc>
      </w:tr>
      <w:tr>
        <w:tc>
          <w:tcPr>
            <w:tcW w:type="dxa" w:w="25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Rejection Rate</w:t>
            </w:r>
          </w:p>
        </w:tc>
        <w:tc>
          <w:tcPr>
            <w:tcW w:type="dxa" w:w="2500"/>
            <w:shd w:fill="FDEDEC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~28% of claims</w:t>
            </w:r>
          </w:p>
        </w:tc>
        <w:tc>
          <w:tcPr>
            <w:tcW w:type="dxa" w:w="2500"/>
            <w:shd w:fill="EAFAF1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Below 10%</w:t>
            </w:r>
          </w:p>
        </w:tc>
      </w:tr>
      <w:tr>
        <w:tc>
          <w:tcPr>
            <w:tcW w:type="dxa" w:w="25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 Claim Resolution</w:t>
            </w:r>
          </w:p>
        </w:tc>
        <w:tc>
          <w:tcPr>
            <w:tcW w:type="dxa" w:w="2500"/>
            <w:shd w:fill="FDEDEC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defined SOP</w:t>
            </w:r>
          </w:p>
        </w:tc>
        <w:tc>
          <w:tcPr>
            <w:tcW w:type="dxa" w:w="2500"/>
            <w:shd w:fill="EAFAF1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Resolved within 30 days</w:t>
            </w:r>
          </w:p>
        </w:tc>
      </w:tr>
      <w:tr>
        <w:tc>
          <w:tcPr>
            <w:tcW w:type="dxa" w:w="25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Reporting Frequency</w:t>
            </w:r>
          </w:p>
        </w:tc>
        <w:tc>
          <w:tcPr>
            <w:tcW w:type="dxa" w:w="2500"/>
            <w:shd w:fill="FDEDEC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Manual monthly Excel</w:t>
            </w:r>
          </w:p>
        </w:tc>
        <w:tc>
          <w:tcPr>
            <w:tcW w:type="dxa" w:w="2500"/>
            <w:shd w:fill="EAFAF1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Live Power BI dashboard</w:t>
            </w:r>
          </w:p>
        </w:tc>
      </w:tr>
    </w:tbl>
    <w:p>
      <w:r>
        <w:br w:type="page"/>
      </w:r>
    </w:p>
    <w:p>
      <w:pPr>
        <w:pStyle w:val="Heading1"/>
        <w:spacing w:before="300" w:after="120"/>
        <w:rPr>
          <w:b/>
          <w:bCs/>
          <w:color w:val="1F4E79"/>
        </w:rPr>
      </w:pPr>
      <w:r>
        <w:t xml:space="preserve">2. Business Objectives</w:t>
      </w:r>
    </w:p>
    <w:p>
      <w:pPr>
        <w:pBdr>
          <w:bottom w:val="single" w:color="2E75B6" w:sz="4"/>
        </w:pBdr>
        <w:spacing w:after="200"/>
      </w:pP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following objectives have been defined in consultation with key hospital stakeholders: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• Identify and quantify revenue leakage across all six departments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• Determine which insurance types contribute most to claim rejections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• Perform root cause analysis of claim rejection reasons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• Build an interactive Power BI dashboard for real-time monitoring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• Deliver actionable recommendations to reduce leakage by a minimum of 15% within 2 billing cycles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• Establish a standard SOP for pending claim follow-up within 30 days</w:t>
      </w:r>
    </w:p>
    <w:p>
      <w:pPr>
        <w:spacing w:after="200"/>
      </w:pPr>
    </w:p>
    <w:p>
      <w:pPr>
        <w:pStyle w:val="Heading1"/>
        <w:spacing w:before="300" w:after="120"/>
        <w:rPr>
          <w:b/>
          <w:bCs/>
          <w:color w:val="1F4E79"/>
        </w:rPr>
      </w:pPr>
      <w:r>
        <w:t xml:space="preserve">3. Project Scope</w:t>
      </w:r>
    </w:p>
    <w:p>
      <w:pPr>
        <w:pBdr>
          <w:bottom w:val="single" w:color="2E75B6" w:sz="4"/>
        </w:pBdr>
        <w:spacing w:after="200"/>
      </w:pPr>
    </w:p>
    <w:p>
      <w:pPr>
        <w:pStyle w:val="Heading2"/>
        <w:spacing w:before="300" w:after="120"/>
        <w:rPr>
          <w:b/>
          <w:bCs/>
          <w:color w:val="2E75B6"/>
        </w:rPr>
      </w:pPr>
      <w:r>
        <w:t xml:space="preserve">3.1 In Scope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• Analysis of 500 patient billing records across 6 departments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• Insurance type performance analysis (5 payer types)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• Department-wise and doctor-wise leakage analysis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• Monthly trend analysis over 12 months (Jan 2023 – Jan 2024)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• Rejection reason root cause analysis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• Pending claims recovery opportunity quantification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• Power BI dashboard with 5 interactive pages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• BRD, FRD, Recommendations Report, and Process Flow deliverables</w:t>
      </w:r>
    </w:p>
    <w:p>
      <w:pPr>
        <w:pStyle w:val="Heading2"/>
        <w:spacing w:before="300" w:after="120"/>
        <w:rPr>
          <w:b/>
          <w:bCs/>
          <w:color w:val="2E75B6"/>
        </w:rPr>
      </w:pPr>
      <w:r>
        <w:t xml:space="preserve">3.2 Out of Scope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• Patient clinical data or medical records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• Payroll or HR systems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• Real-time EHR (Electronic Health Record) integration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• Legal or compliance filing processes</w:t>
      </w:r>
    </w:p>
    <w:p>
      <w:r>
        <w:br w:type="page"/>
      </w:r>
    </w:p>
    <w:p>
      <w:pPr>
        <w:pStyle w:val="Heading1"/>
        <w:spacing w:before="300" w:after="120"/>
        <w:rPr>
          <w:b/>
          <w:bCs/>
          <w:color w:val="1F4E79"/>
        </w:rPr>
      </w:pPr>
      <w:r>
        <w:t xml:space="preserve">4. Stakeholders</w:t>
      </w:r>
    </w:p>
    <w:p>
      <w:pPr>
        <w:pBdr>
          <w:bottom w:val="single" w:color="2E75B6" w:sz="4"/>
        </w:pBdr>
        <w:spacing w:after="200"/>
      </w:pP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following stakeholders have been identified for this project:</w:t>
      </w:r>
    </w:p>
    <w:p>
      <w:pPr>
        <w:spacing w:after="120"/>
      </w:pP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00"/>
            <w:shd w:fill="1F4E7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Stakeholder</w:t>
            </w:r>
          </w:p>
        </w:tc>
        <w:tc>
          <w:tcPr>
            <w:tcW w:type="dxa" w:w="2000"/>
            <w:shd w:fill="1F4E7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2300"/>
            <w:shd w:fill="1F4E7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Interest in Project</w:t>
            </w:r>
          </w:p>
        </w:tc>
        <w:tc>
          <w:tcPr>
            <w:tcW w:type="dxa" w:w="1800"/>
            <w:shd w:fill="1F4E7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Engagement Level</w:t>
            </w:r>
          </w:p>
        </w:tc>
      </w:tr>
      <w:tr>
        <w:tc>
          <w:tcPr>
            <w:tcW w:type="dxa" w:w="22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Chief Financial Officer (CFO)</w:t>
            </w:r>
          </w:p>
        </w:tc>
        <w:tc>
          <w:tcPr>
            <w:tcW w:type="dxa" w:w="20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 Sponsor</w:t>
            </w:r>
          </w:p>
        </w:tc>
        <w:tc>
          <w:tcPr>
            <w:tcW w:type="dxa" w:w="23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Reduce revenue leakage &amp; improve collections</w:t>
            </w:r>
          </w:p>
        </w:tc>
        <w:tc>
          <w:tcPr>
            <w:tcW w:type="dxa" w:w="1800"/>
            <w:shd w:fill="FDEDEC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 — Decision Maker</w:t>
            </w:r>
          </w:p>
        </w:tc>
      </w:tr>
      <w:tr>
        <w:tc>
          <w:tcPr>
            <w:tcW w:type="dxa" w:w="22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Billing Manager</w:t>
            </w:r>
          </w:p>
        </w:tc>
        <w:tc>
          <w:tcPr>
            <w:tcW w:type="dxa" w:w="20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Business User</w:t>
            </w:r>
          </w:p>
        </w:tc>
        <w:tc>
          <w:tcPr>
            <w:tcW w:type="dxa" w:w="23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Improve claim approval rate &amp; reduce rework</w:t>
            </w:r>
          </w:p>
        </w:tc>
        <w:tc>
          <w:tcPr>
            <w:tcW w:type="dxa" w:w="1800"/>
            <w:shd w:fill="FDEDEC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 — Daily User</w:t>
            </w:r>
          </w:p>
        </w:tc>
      </w:tr>
      <w:tr>
        <w:tc>
          <w:tcPr>
            <w:tcW w:type="dxa" w:w="22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Insurance Coordinator</w:t>
            </w:r>
          </w:p>
        </w:tc>
        <w:tc>
          <w:tcPr>
            <w:tcW w:type="dxa" w:w="20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Secondary User</w:t>
            </w:r>
          </w:p>
        </w:tc>
        <w:tc>
          <w:tcPr>
            <w:tcW w:type="dxa" w:w="23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Track rejection trends by insurer</w:t>
            </w:r>
          </w:p>
        </w:tc>
        <w:tc>
          <w:tcPr>
            <w:tcW w:type="dxa" w:w="1800"/>
            <w:shd w:fill="FEF9E7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 — Weekly User</w:t>
            </w:r>
          </w:p>
        </w:tc>
      </w:tr>
      <w:tr>
        <w:tc>
          <w:tcPr>
            <w:tcW w:type="dxa" w:w="22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Department Heads</w:t>
            </w:r>
          </w:p>
        </w:tc>
        <w:tc>
          <w:tcPr>
            <w:tcW w:type="dxa" w:w="20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Informed Stakeholder</w:t>
            </w:r>
          </w:p>
        </w:tc>
        <w:tc>
          <w:tcPr>
            <w:tcW w:type="dxa" w:w="23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Monitor their department's billing performance</w:t>
            </w:r>
          </w:p>
        </w:tc>
        <w:tc>
          <w:tcPr>
            <w:tcW w:type="dxa" w:w="1800"/>
            <w:shd w:fill="FEF9E7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 — Monthly Review</w:t>
            </w:r>
          </w:p>
        </w:tc>
      </w:tr>
      <w:tr>
        <w:tc>
          <w:tcPr>
            <w:tcW w:type="dxa" w:w="22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 Department</w:t>
            </w:r>
          </w:p>
        </w:tc>
        <w:tc>
          <w:tcPr>
            <w:tcW w:type="dxa" w:w="20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Technical Support</w:t>
            </w:r>
          </w:p>
        </w:tc>
        <w:tc>
          <w:tcPr>
            <w:tcW w:type="dxa" w:w="23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 hosting &amp; data pipeline management</w:t>
            </w:r>
          </w:p>
        </w:tc>
        <w:tc>
          <w:tcPr>
            <w:tcW w:type="dxa" w:w="1800"/>
            <w:shd w:fill="F2F3F4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 — On Request</w:t>
            </w:r>
          </w:p>
        </w:tc>
      </w:tr>
      <w:tr>
        <w:tc>
          <w:tcPr>
            <w:tcW w:type="dxa" w:w="22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Business Analyst (You)</w:t>
            </w:r>
          </w:p>
        </w:tc>
        <w:tc>
          <w:tcPr>
            <w:tcW w:type="dxa" w:w="20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 Lead</w:t>
            </w:r>
          </w:p>
        </w:tc>
        <w:tc>
          <w:tcPr>
            <w:tcW w:type="dxa" w:w="23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End-to-end analysis, dashboard, and reporting</w:t>
            </w:r>
          </w:p>
        </w:tc>
        <w:tc>
          <w:tcPr>
            <w:tcW w:type="dxa" w:w="1800"/>
            <w:shd w:fill="EAFAF1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 — Daily Owner</w:t>
            </w:r>
          </w:p>
        </w:tc>
      </w:tr>
    </w:tbl>
    <w:p>
      <w:r>
        <w:br w:type="page"/>
      </w:r>
    </w:p>
    <w:p>
      <w:pPr>
        <w:pStyle w:val="Heading1"/>
        <w:spacing w:before="300" w:after="120"/>
        <w:rPr>
          <w:b/>
          <w:bCs/>
          <w:color w:val="1F4E79"/>
        </w:rPr>
      </w:pPr>
      <w:r>
        <w:t xml:space="preserve">5. Current State vs Proposed State</w:t>
      </w:r>
    </w:p>
    <w:p>
      <w:pPr>
        <w:pBdr>
          <w:bottom w:val="single" w:color="2E75B6" w:sz="4"/>
        </w:pBdr>
        <w:spacing w:after="200"/>
      </w:pPr>
    </w:p>
    <w:p>
      <w:pPr>
        <w:pStyle w:val="Heading2"/>
        <w:spacing w:before="300" w:after="120"/>
        <w:rPr>
          <w:b/>
          <w:bCs/>
          <w:color w:val="2E75B6"/>
        </w:rPr>
      </w:pPr>
      <w:r>
        <w:t xml:space="preserve">5.1 Current State (AS-IS Process)</w:t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Currently, the hospital's billing process is largely manual and reactive: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• Bills are generated manually after patient discharge with no automated validation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• Claims are submitted to insurers without a pre-submission checklist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• Rejected claims are logged in a spreadsheet but not systematically analyzed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• Pending claims have no defined follow-up SOP — many are forgotten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• No real-time visibility into leakage by department or insurance type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• Monthly reports are produced manually in Excel and distributed via email</w:t>
      </w:r>
    </w:p>
    <w:p>
      <w:pPr>
        <w:pStyle w:val="Heading2"/>
        <w:spacing w:before="300" w:after="120"/>
        <w:rPr>
          <w:b/>
          <w:bCs/>
          <w:color w:val="2E75B6"/>
        </w:rPr>
      </w:pPr>
      <w:r>
        <w:t xml:space="preserve">5.2 Proposed State (TO-BE Process)</w:t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After implementing the recommendations from this analysis: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• A pre-submission documentation checklist is used before all Government insurance claims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• A 30-day automatic follow-up SOP triggers for all pending claims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• Power BI dashboard provides live visibility to CFO and Billing Manager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• High-risk department+insurer combinations are flagged automatically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• Monthly performance reviews are data-driven, not manual</w:t>
      </w:r>
    </w:p>
    <w:p>
      <w:r>
        <w:br w:type="page"/>
      </w:r>
    </w:p>
    <w:p>
      <w:pPr>
        <w:pStyle w:val="Heading1"/>
        <w:spacing w:before="300" w:after="120"/>
        <w:rPr>
          <w:b/>
          <w:bCs/>
          <w:color w:val="1F4E79"/>
        </w:rPr>
      </w:pPr>
      <w:r>
        <w:t xml:space="preserve">6. Data Requirements</w:t>
      </w:r>
    </w:p>
    <w:p>
      <w:pPr>
        <w:pBdr>
          <w:bottom w:val="single" w:color="2E75B6" w:sz="4"/>
        </w:pBd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200"/>
            <w:shd w:fill="1F4E7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 Field</w:t>
            </w:r>
          </w:p>
        </w:tc>
        <w:tc>
          <w:tcPr>
            <w:tcW w:type="dxa" w:w="1800"/>
            <w:shd w:fill="1F4E7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Source</w:t>
            </w:r>
          </w:p>
        </w:tc>
        <w:tc>
          <w:tcPr>
            <w:tcW w:type="dxa" w:w="1600"/>
            <w:shd w:fill="1F4E7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Format</w:t>
            </w:r>
          </w:p>
        </w:tc>
        <w:tc>
          <w:tcPr>
            <w:tcW w:type="dxa" w:w="1400"/>
            <w:shd w:fill="1F4E7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Required?</w:t>
            </w:r>
          </w:p>
        </w:tc>
        <w:tc>
          <w:tcPr>
            <w:tcW w:type="dxa" w:w="2000"/>
            <w:shd w:fill="1F4E7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2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patient_id</w:t>
            </w:r>
          </w:p>
        </w:tc>
        <w:tc>
          <w:tcPr>
            <w:tcW w:type="dxa" w:w="18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HIS System</w:t>
            </w:r>
          </w:p>
        </w:tc>
        <w:tc>
          <w:tcPr>
            <w:tcW w:type="dxa" w:w="16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1400"/>
            <w:shd w:fill="FDEDEC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Mandatory</w:t>
            </w:r>
          </w:p>
        </w:tc>
        <w:tc>
          <w:tcPr>
            <w:tcW w:type="dxa" w:w="20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admission_date</w:t>
            </w:r>
          </w:p>
        </w:tc>
        <w:tc>
          <w:tcPr>
            <w:tcW w:type="dxa" w:w="18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HIS System</w:t>
            </w:r>
          </w:p>
        </w:tc>
        <w:tc>
          <w:tcPr>
            <w:tcW w:type="dxa" w:w="16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YYYY-MM-DD</w:t>
            </w:r>
          </w:p>
        </w:tc>
        <w:tc>
          <w:tcPr>
            <w:tcW w:type="dxa" w:w="1400"/>
            <w:shd w:fill="FDEDEC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Mandatory</w:t>
            </w:r>
          </w:p>
        </w:tc>
        <w:tc>
          <w:tcPr>
            <w:tcW w:type="dxa" w:w="20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Used for trend analysis</w:t>
            </w:r>
          </w:p>
        </w:tc>
      </w:tr>
      <w:tr>
        <w:tc>
          <w:tcPr>
            <w:tcW w:type="dxa" w:w="22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discharge_date</w:t>
            </w:r>
          </w:p>
        </w:tc>
        <w:tc>
          <w:tcPr>
            <w:tcW w:type="dxa" w:w="18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HIS System</w:t>
            </w:r>
          </w:p>
        </w:tc>
        <w:tc>
          <w:tcPr>
            <w:tcW w:type="dxa" w:w="16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YYYY-MM-DD</w:t>
            </w:r>
          </w:p>
        </w:tc>
        <w:tc>
          <w:tcPr>
            <w:tcW w:type="dxa" w:w="1400"/>
            <w:shd w:fill="FDEDEC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Mandatory</w:t>
            </w:r>
          </w:p>
        </w:tc>
        <w:tc>
          <w:tcPr>
            <w:tcW w:type="dxa" w:w="20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 calculate length of stay</w:t>
            </w:r>
          </w:p>
        </w:tc>
      </w:tr>
      <w:tr>
        <w:tc>
          <w:tcPr>
            <w:tcW w:type="dxa" w:w="22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department</w:t>
            </w:r>
          </w:p>
        </w:tc>
        <w:tc>
          <w:tcPr>
            <w:tcW w:type="dxa" w:w="18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HIS System</w:t>
            </w:r>
          </w:p>
        </w:tc>
        <w:tc>
          <w:tcPr>
            <w:tcW w:type="dxa" w:w="16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1400"/>
            <w:shd w:fill="FDEDEC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Mandatory</w:t>
            </w:r>
          </w:p>
        </w:tc>
        <w:tc>
          <w:tcPr>
            <w:tcW w:type="dxa" w:w="20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 categories</w:t>
            </w:r>
          </w:p>
        </w:tc>
      </w:tr>
      <w:tr>
        <w:tc>
          <w:tcPr>
            <w:tcW w:type="dxa" w:w="22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billing_amount</w:t>
            </w:r>
          </w:p>
        </w:tc>
        <w:tc>
          <w:tcPr>
            <w:tcW w:type="dxa" w:w="18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Billing System</w:t>
            </w:r>
          </w:p>
        </w:tc>
        <w:tc>
          <w:tcPr>
            <w:tcW w:type="dxa" w:w="16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Currency (₹)</w:t>
            </w:r>
          </w:p>
        </w:tc>
        <w:tc>
          <w:tcPr>
            <w:tcW w:type="dxa" w:w="1400"/>
            <w:shd w:fill="FDEDEC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Mandatory</w:t>
            </w:r>
          </w:p>
        </w:tc>
        <w:tc>
          <w:tcPr>
            <w:tcW w:type="dxa" w:w="20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Core KPI field</w:t>
            </w:r>
          </w:p>
        </w:tc>
      </w:tr>
      <w:tr>
        <w:tc>
          <w:tcPr>
            <w:tcW w:type="dxa" w:w="22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payment_received</w:t>
            </w:r>
          </w:p>
        </w:tc>
        <w:tc>
          <w:tcPr>
            <w:tcW w:type="dxa" w:w="18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Finance System</w:t>
            </w:r>
          </w:p>
        </w:tc>
        <w:tc>
          <w:tcPr>
            <w:tcW w:type="dxa" w:w="16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Currency (₹)</w:t>
            </w:r>
          </w:p>
        </w:tc>
        <w:tc>
          <w:tcPr>
            <w:tcW w:type="dxa" w:w="1400"/>
            <w:shd w:fill="FDEDEC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Mandatory</w:t>
            </w:r>
          </w:p>
        </w:tc>
        <w:tc>
          <w:tcPr>
            <w:tcW w:type="dxa" w:w="20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 leakage calc</w:t>
            </w:r>
          </w:p>
        </w:tc>
      </w:tr>
      <w:tr>
        <w:tc>
          <w:tcPr>
            <w:tcW w:type="dxa" w:w="22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claim_status</w:t>
            </w:r>
          </w:p>
        </w:tc>
        <w:tc>
          <w:tcPr>
            <w:tcW w:type="dxa" w:w="18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Insurance Portal</w:t>
            </w:r>
          </w:p>
        </w:tc>
        <w:tc>
          <w:tcPr>
            <w:tcW w:type="dxa" w:w="16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1400"/>
            <w:shd w:fill="FDEDEC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Mandatory</w:t>
            </w:r>
          </w:p>
        </w:tc>
        <w:tc>
          <w:tcPr>
            <w:tcW w:type="dxa" w:w="20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Approved/Rejected/Pending</w:t>
            </w:r>
          </w:p>
        </w:tc>
      </w:tr>
      <w:tr>
        <w:tc>
          <w:tcPr>
            <w:tcW w:type="dxa" w:w="22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rejection_reason</w:t>
            </w:r>
          </w:p>
        </w:tc>
        <w:tc>
          <w:tcPr>
            <w:tcW w:type="dxa" w:w="18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Insurance Portal</w:t>
            </w:r>
          </w:p>
        </w:tc>
        <w:tc>
          <w:tcPr>
            <w:tcW w:type="dxa" w:w="16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1400"/>
            <w:shd w:fill="EAFAF1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Conditional</w:t>
            </w:r>
          </w:p>
        </w:tc>
        <w:tc>
          <w:tcPr>
            <w:tcW w:type="dxa" w:w="20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Required if Rejected</w:t>
            </w:r>
          </w:p>
        </w:tc>
      </w:tr>
      <w:tr>
        <w:tc>
          <w:tcPr>
            <w:tcW w:type="dxa" w:w="22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insurance_type</w:t>
            </w:r>
          </w:p>
        </w:tc>
        <w:tc>
          <w:tcPr>
            <w:tcW w:type="dxa" w:w="18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Patient Records</w:t>
            </w:r>
          </w:p>
        </w:tc>
        <w:tc>
          <w:tcPr>
            <w:tcW w:type="dxa" w:w="16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1400"/>
            <w:shd w:fill="FDEDEC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Mandatory</w:t>
            </w:r>
          </w:p>
        </w:tc>
        <w:tc>
          <w:tcPr>
            <w:tcW w:type="dxa" w:w="20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payer categories</w:t>
            </w:r>
          </w:p>
        </w:tc>
      </w:tr>
      <w:tr>
        <w:tc>
          <w:tcPr>
            <w:tcW w:type="dxa" w:w="22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doctor_id</w:t>
            </w:r>
          </w:p>
        </w:tc>
        <w:tc>
          <w:tcPr>
            <w:tcW w:type="dxa" w:w="18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HIS System</w:t>
            </w:r>
          </w:p>
        </w:tc>
        <w:tc>
          <w:tcPr>
            <w:tcW w:type="dxa" w:w="16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1400"/>
            <w:shd w:fill="EAFAF1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Optional</w:t>
            </w:r>
          </w:p>
        </w:tc>
        <w:tc>
          <w:tcPr>
            <w:tcW w:type="dxa" w:w="20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 doctor scorecard</w:t>
            </w:r>
          </w:p>
        </w:tc>
      </w:tr>
    </w:tbl>
    <w:p>
      <w:r>
        <w:br w:type="page"/>
      </w:r>
    </w:p>
    <w:p>
      <w:pPr>
        <w:pStyle w:val="Heading1"/>
        <w:spacing w:before="300" w:after="120"/>
        <w:rPr>
          <w:b/>
          <w:bCs/>
          <w:color w:val="1F4E79"/>
        </w:rPr>
      </w:pPr>
      <w:r>
        <w:t xml:space="preserve">7. Success Metrics (KPIs)</w:t>
      </w:r>
    </w:p>
    <w:p>
      <w:pPr>
        <w:pBdr>
          <w:bottom w:val="single" w:color="2E75B6" w:sz="4"/>
        </w:pBdr>
        <w:spacing w:after="200"/>
      </w:pP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following KPIs will be used to measure the success of this project:</w:t>
      </w:r>
    </w:p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500"/>
            <w:shd w:fill="1F4E7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KPI</w:t>
            </w:r>
          </w:p>
        </w:tc>
        <w:tc>
          <w:tcPr>
            <w:tcW w:type="dxa" w:w="2000"/>
            <w:shd w:fill="1F4E7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Baseline (Current)</w:t>
            </w:r>
          </w:p>
        </w:tc>
        <w:tc>
          <w:tcPr>
            <w:tcW w:type="dxa" w:w="2000"/>
            <w:shd w:fill="1F4E7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  <w:tc>
          <w:tcPr>
            <w:tcW w:type="dxa" w:w="2500"/>
            <w:shd w:fill="1F4E7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Measurement Method</w:t>
            </w:r>
          </w:p>
        </w:tc>
      </w:tr>
      <w:tr>
        <w:tc>
          <w:tcPr>
            <w:tcW w:type="dxa" w:w="25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Overall Revenue Leakage %</w:t>
            </w:r>
          </w:p>
        </w:tc>
        <w:tc>
          <w:tcPr>
            <w:tcW w:type="dxa" w:w="2000"/>
            <w:shd w:fill="FDEDEC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~32%</w:t>
            </w:r>
          </w:p>
        </w:tc>
        <w:tc>
          <w:tcPr>
            <w:tcW w:type="dxa" w:w="2000"/>
            <w:shd w:fill="EAFAF1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20%</w:t>
            </w:r>
          </w:p>
        </w:tc>
        <w:tc>
          <w:tcPr>
            <w:tcW w:type="dxa" w:w="25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Power BI Dashboard KPI Card</w:t>
            </w:r>
          </w:p>
        </w:tc>
      </w:tr>
      <w:tr>
        <w:tc>
          <w:tcPr>
            <w:tcW w:type="dxa" w:w="25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Claim Rejection Rate</w:t>
            </w:r>
          </w:p>
        </w:tc>
        <w:tc>
          <w:tcPr>
            <w:tcW w:type="dxa" w:w="2000"/>
            <w:shd w:fill="FDEDEC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~28%</w:t>
            </w:r>
          </w:p>
        </w:tc>
        <w:tc>
          <w:tcPr>
            <w:tcW w:type="dxa" w:w="2000"/>
            <w:shd w:fill="EAFAF1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10%</w:t>
            </w:r>
          </w:p>
        </w:tc>
        <w:tc>
          <w:tcPr>
            <w:tcW w:type="dxa" w:w="25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 Query 3 + Dashboard</w:t>
            </w:r>
          </w:p>
        </w:tc>
      </w:tr>
      <w:tr>
        <w:tc>
          <w:tcPr>
            <w:tcW w:type="dxa" w:w="25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 Claim Resolution Time</w:t>
            </w:r>
          </w:p>
        </w:tc>
        <w:tc>
          <w:tcPr>
            <w:tcW w:type="dxa" w:w="2000"/>
            <w:shd w:fill="FDEDEC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SOP / Undefined</w:t>
            </w:r>
          </w:p>
        </w:tc>
        <w:tc>
          <w:tcPr>
            <w:tcW w:type="dxa" w:w="2000"/>
            <w:shd w:fill="EAFAF1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≤ 30 Days</w:t>
            </w:r>
          </w:p>
        </w:tc>
        <w:tc>
          <w:tcPr>
            <w:tcW w:type="dxa" w:w="25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Monthly follow-up tracker</w:t>
            </w:r>
          </w:p>
        </w:tc>
      </w:tr>
      <w:tr>
        <w:tc>
          <w:tcPr>
            <w:tcW w:type="dxa" w:w="25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Incomplete Docs Rejection Rate</w:t>
            </w:r>
          </w:p>
        </w:tc>
        <w:tc>
          <w:tcPr>
            <w:tcW w:type="dxa" w:w="2000"/>
            <w:shd w:fill="FDEDEC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 rejection reason (~32%)</w:t>
            </w:r>
          </w:p>
        </w:tc>
        <w:tc>
          <w:tcPr>
            <w:tcW w:type="dxa" w:w="2000"/>
            <w:shd w:fill="EAFAF1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5% of all claims</w:t>
            </w:r>
          </w:p>
        </w:tc>
        <w:tc>
          <w:tcPr>
            <w:tcW w:type="dxa" w:w="25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Checklist compliance audit</w:t>
            </w:r>
          </w:p>
        </w:tc>
      </w:tr>
      <w:tr>
        <w:tc>
          <w:tcPr>
            <w:tcW w:type="dxa" w:w="25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Revenue Recovery</w:t>
            </w:r>
          </w:p>
        </w:tc>
        <w:tc>
          <w:tcPr>
            <w:tcW w:type="dxa" w:w="2000"/>
            <w:shd w:fill="FDEDEC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Baseline quarter total</w:t>
            </w:r>
          </w:p>
        </w:tc>
        <w:tc>
          <w:tcPr>
            <w:tcW w:type="dxa" w:w="2000"/>
            <w:shd w:fill="EAFAF1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+15% within 2 billing cycles</w:t>
            </w:r>
          </w:p>
        </w:tc>
        <w:tc>
          <w:tcPr>
            <w:tcW w:type="dxa" w:w="25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Finance system report</w:t>
            </w:r>
          </w:p>
        </w:tc>
      </w:tr>
    </w:tbl>
    <w:p>
      <w:pPr>
        <w:spacing w:after="400"/>
      </w:pPr>
    </w:p>
    <w:p>
      <w:pPr>
        <w:pStyle w:val="Heading1"/>
        <w:spacing w:before="300" w:after="120"/>
        <w:rPr>
          <w:b/>
          <w:bCs/>
          <w:color w:val="1F4E79"/>
        </w:rPr>
      </w:pPr>
      <w:r>
        <w:t xml:space="preserve">8. Assumptions &amp; Constraints</w:t>
      </w:r>
    </w:p>
    <w:p>
      <w:pPr>
        <w:pBdr>
          <w:bottom w:val="single" w:color="2E75B6" w:sz="4"/>
        </w:pBdr>
        <w:spacing w:after="200"/>
      </w:pPr>
    </w:p>
    <w:p>
      <w:pPr>
        <w:pStyle w:val="Heading2"/>
        <w:spacing w:before="300" w:after="120"/>
        <w:rPr>
          <w:b/>
          <w:bCs/>
          <w:color w:val="2E75B6"/>
        </w:rPr>
      </w:pPr>
      <w:r>
        <w:t xml:space="preserve">8.1 Assumptions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• Data provided is complete and representative of actual billing operations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• Insurance payer categories are stable and will not change during analysis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• Power BI Desktop (free) is available to all intended dashboard users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• Stakeholders are available for review and sign-off within 1 week</w:t>
      </w:r>
    </w:p>
    <w:p>
      <w:pPr>
        <w:pStyle w:val="Heading2"/>
        <w:spacing w:before="300" w:after="120"/>
        <w:rPr>
          <w:b/>
          <w:bCs/>
          <w:color w:val="2E75B6"/>
        </w:rPr>
      </w:pPr>
      <w:r>
        <w:t xml:space="preserve">8.2 Constraints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• Analysis is based on 500 patient records — larger dataset may alter findings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• Real-time EHR integration is outside project scope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• Project timeline: 2 weeks (solo analyst)</w:t>
      </w:r>
    </w:p>
    <w:p>
      <w:pPr>
        <w:spacing w:after="400"/>
      </w:pPr>
    </w:p>
    <w:p>
      <w:pPr>
        <w:pStyle w:val="Heading1"/>
        <w:spacing w:before="300" w:after="120"/>
        <w:rPr>
          <w:b/>
          <w:bCs/>
          <w:color w:val="1F4E79"/>
        </w:rPr>
      </w:pPr>
      <w:r>
        <w:t xml:space="preserve">9. Sign-Off</w:t>
      </w:r>
    </w:p>
    <w:p>
      <w:pPr>
        <w:pBdr>
          <w:bottom w:val="single" w:color="2E75B6" w:sz="4"/>
        </w:pBdr>
        <w:spacing w:after="200"/>
      </w:pP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This BRD has been prepared as part of an end-to-end Business Analyst portfolio project demonstrating requirements gathering, data analysis, and stakeholder communication skills.</w:t>
      </w:r>
    </w:p>
    <w:p>
      <w:pPr>
        <w:spacing w:after="200"/>
      </w:pP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shd w:fill="1F4E7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Prepared By</w:t>
            </w:r>
          </w:p>
        </w:tc>
        <w:tc>
          <w:tcPr>
            <w:tcW w:type="dxa" w:w="2500"/>
            <w:shd w:fill="1F4E7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Reviewed By</w:t>
            </w:r>
          </w:p>
        </w:tc>
        <w:tc>
          <w:tcPr>
            <w:tcW w:type="dxa" w:w="2500"/>
            <w:shd w:fill="1F4E7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Date</w:t>
            </w:r>
          </w:p>
        </w:tc>
      </w:tr>
      <w:tr>
        <w:tc>
          <w:tcPr>
            <w:tcW w:type="dxa" w:w="25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[Your Name]</w:t>
            </w:r>
          </w:p>
        </w:tc>
        <w:tc>
          <w:tcPr>
            <w:tcW w:type="dxa" w:w="25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[Mentor / Professor Name]</w:t>
            </w:r>
          </w:p>
        </w:tc>
        <w:tc>
          <w:tcPr>
            <w:tcW w:type="dxa" w:w="25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11/3/2026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Business Requirements Document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 |  Prepared by: [Your Name]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CONFIDENTIAL | Hospital Revenue Leakage Detection System — BRD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Requirements Document — Hospital Revenue Leakage Detection</dc:title>
  <dc:creator>Hospital Revenue Leakage Project</dc:creator>
  <cp:lastModifiedBy>Un-named</cp:lastModifiedBy>
  <cp:revision>1</cp:revision>
  <dcterms:created xsi:type="dcterms:W3CDTF">2026-03-11T09:30:45.852Z</dcterms:created>
  <dcterms:modified xsi:type="dcterms:W3CDTF">2026-03-11T09:30:45.852Z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