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8DA35" w14:textId="500FFB9E" w:rsidR="00A34554" w:rsidRDefault="004374A7">
      <w:pPr>
        <w:rPr>
          <w:b/>
          <w:bCs/>
          <w:sz w:val="32"/>
          <w:szCs w:val="32"/>
          <w:u w:val="single"/>
          <w:lang w:val="en-US"/>
        </w:rPr>
      </w:pPr>
      <w:r>
        <w:rPr>
          <w:lang w:val="en-US"/>
        </w:rPr>
        <w:t xml:space="preserve">      </w:t>
      </w:r>
      <w:r w:rsidRPr="004374A7">
        <w:rPr>
          <w:b/>
          <w:bCs/>
          <w:sz w:val="32"/>
          <w:szCs w:val="32"/>
          <w:u w:val="single"/>
          <w:lang w:val="en-US"/>
        </w:rPr>
        <w:t>Data Visualization &amp; Storytelling: Graph Explanations Report</w:t>
      </w:r>
    </w:p>
    <w:p w14:paraId="51349459" w14:textId="77777777" w:rsidR="004374A7" w:rsidRDefault="004374A7">
      <w:pPr>
        <w:rPr>
          <w:b/>
          <w:bCs/>
          <w:sz w:val="32"/>
          <w:szCs w:val="32"/>
          <w:u w:val="single"/>
          <w:lang w:val="en-US"/>
        </w:rPr>
      </w:pPr>
    </w:p>
    <w:p w14:paraId="58AA31FB" w14:textId="43A119B2" w:rsidR="004374A7" w:rsidRDefault="004374A7">
      <w:pPr>
        <w:rPr>
          <w:b/>
          <w:bCs/>
          <w:sz w:val="32"/>
          <w:szCs w:val="32"/>
          <w:u w:val="single"/>
          <w:lang w:val="en-US"/>
        </w:rPr>
      </w:pPr>
      <w:r>
        <w:rPr>
          <w:noProof/>
        </w:rPr>
        <w:drawing>
          <wp:inline distT="0" distB="0" distL="0" distR="0" wp14:anchorId="2CF9D244" wp14:editId="7E3DFE1E">
            <wp:extent cx="5731510" cy="3610170"/>
            <wp:effectExtent l="0" t="0" r="2540" b="9525"/>
            <wp:docPr id="300634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7060" cy="3619965"/>
                    </a:xfrm>
                    <a:prstGeom prst="rect">
                      <a:avLst/>
                    </a:prstGeom>
                    <a:noFill/>
                    <a:ln>
                      <a:noFill/>
                    </a:ln>
                  </pic:spPr>
                </pic:pic>
              </a:graphicData>
            </a:graphic>
          </wp:inline>
        </w:drawing>
      </w:r>
    </w:p>
    <w:p w14:paraId="7477F5F0" w14:textId="45B1826D" w:rsidR="004374A7" w:rsidRPr="004374A7" w:rsidRDefault="004374A7" w:rsidP="004374A7">
      <w:pPr>
        <w:rPr>
          <w:sz w:val="28"/>
          <w:szCs w:val="28"/>
          <w:lang w:val="en-US"/>
        </w:rPr>
      </w:pPr>
      <w:r w:rsidRPr="004374A7">
        <w:rPr>
          <w:sz w:val="28"/>
          <w:szCs w:val="28"/>
        </w:rPr>
        <w:t>“</w:t>
      </w:r>
      <w:r w:rsidRPr="004374A7">
        <w:rPr>
          <w:sz w:val="28"/>
          <w:szCs w:val="28"/>
        </w:rPr>
        <w:t xml:space="preserve">Sales have shown consistent year-over-year growth, with clear spikes in Q4, indicating strong seasonal trends. A minor dip in 2018 suggests a need to </w:t>
      </w:r>
      <w:proofErr w:type="spellStart"/>
      <w:r w:rsidRPr="004374A7">
        <w:rPr>
          <w:sz w:val="28"/>
          <w:szCs w:val="28"/>
        </w:rPr>
        <w:t>analyze</w:t>
      </w:r>
      <w:proofErr w:type="spellEnd"/>
      <w:r w:rsidRPr="004374A7">
        <w:rPr>
          <w:sz w:val="28"/>
          <w:szCs w:val="28"/>
        </w:rPr>
        <w:t xml:space="preserve"> sales strategies during that period.</w:t>
      </w:r>
      <w:r w:rsidRPr="004374A7">
        <w:rPr>
          <w:sz w:val="28"/>
          <w:szCs w:val="28"/>
        </w:rPr>
        <w:t>”</w:t>
      </w:r>
      <w:r>
        <w:rPr>
          <w:noProof/>
        </w:rPr>
        <w:drawing>
          <wp:inline distT="0" distB="0" distL="0" distR="0" wp14:anchorId="31E26825" wp14:editId="3E953C7B">
            <wp:extent cx="5731510" cy="3256671"/>
            <wp:effectExtent l="0" t="0" r="2540" b="1270"/>
            <wp:docPr id="1719641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9443" cy="3261179"/>
                    </a:xfrm>
                    <a:prstGeom prst="rect">
                      <a:avLst/>
                    </a:prstGeom>
                    <a:noFill/>
                    <a:ln>
                      <a:noFill/>
                    </a:ln>
                  </pic:spPr>
                </pic:pic>
              </a:graphicData>
            </a:graphic>
          </wp:inline>
        </w:drawing>
      </w:r>
    </w:p>
    <w:p w14:paraId="48606C94" w14:textId="62EFBE41" w:rsidR="004374A7" w:rsidRDefault="004374A7" w:rsidP="004374A7">
      <w:pPr>
        <w:rPr>
          <w:sz w:val="28"/>
          <w:szCs w:val="28"/>
        </w:rPr>
      </w:pPr>
      <w:r>
        <w:rPr>
          <w:sz w:val="28"/>
          <w:szCs w:val="28"/>
        </w:rPr>
        <w:lastRenderedPageBreak/>
        <w:t>“</w:t>
      </w:r>
      <w:r w:rsidRPr="004374A7">
        <w:rPr>
          <w:sz w:val="28"/>
          <w:szCs w:val="28"/>
        </w:rPr>
        <w:t>Tables and Bookcases generate high sales but incur frequent losses. This suggests a need to review cost structure or pricing strategy in these categories.</w:t>
      </w:r>
      <w:r>
        <w:rPr>
          <w:sz w:val="28"/>
          <w:szCs w:val="28"/>
        </w:rPr>
        <w:t>”</w:t>
      </w:r>
    </w:p>
    <w:p w14:paraId="3FC01477" w14:textId="2D00307B" w:rsidR="004374A7" w:rsidRDefault="004374A7" w:rsidP="004374A7">
      <w:pPr>
        <w:rPr>
          <w:sz w:val="28"/>
          <w:szCs w:val="28"/>
          <w:lang w:val="en-US"/>
        </w:rPr>
      </w:pPr>
      <w:r>
        <w:rPr>
          <w:noProof/>
        </w:rPr>
        <w:drawing>
          <wp:inline distT="0" distB="0" distL="0" distR="0" wp14:anchorId="53C27434" wp14:editId="03B12997">
            <wp:extent cx="5731510" cy="3582035"/>
            <wp:effectExtent l="0" t="0" r="2540" b="0"/>
            <wp:docPr id="1114376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FB469BB" w14:textId="2AACD983" w:rsidR="007A09B5" w:rsidRPr="007A09B5" w:rsidRDefault="004374A7" w:rsidP="004374A7">
      <w:r>
        <w:rPr>
          <w:sz w:val="28"/>
          <w:szCs w:val="28"/>
        </w:rPr>
        <w:t>“</w:t>
      </w:r>
      <w:r w:rsidRPr="007A09B5">
        <w:t>This filled map highlights state-wise performance in terms of sales and profit. California and New York lead both in revenue and profitability. In contrast, Texas shows high sales but low profit, suggesting issues with discounting or operational cost.</w:t>
      </w:r>
      <w:r w:rsidR="007A09B5" w:rsidRPr="007A09B5">
        <w:t>”</w:t>
      </w:r>
      <w:r w:rsidR="007A09B5">
        <w:rPr>
          <w:noProof/>
        </w:rPr>
        <w:drawing>
          <wp:inline distT="0" distB="0" distL="0" distR="0" wp14:anchorId="24902A54" wp14:editId="085B8E7B">
            <wp:extent cx="5731510" cy="3582035"/>
            <wp:effectExtent l="0" t="0" r="2540" b="0"/>
            <wp:docPr id="109950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03909" w14:textId="46E1F878" w:rsidR="007A09B5" w:rsidRDefault="007A09B5" w:rsidP="004374A7">
      <w:pPr>
        <w:rPr>
          <w:sz w:val="28"/>
          <w:szCs w:val="28"/>
        </w:rPr>
      </w:pPr>
      <w:r>
        <w:rPr>
          <w:sz w:val="28"/>
          <w:szCs w:val="28"/>
        </w:rPr>
        <w:lastRenderedPageBreak/>
        <w:t xml:space="preserve">“It </w:t>
      </w:r>
      <w:r w:rsidRPr="007A09B5">
        <w:rPr>
          <w:sz w:val="28"/>
          <w:szCs w:val="28"/>
        </w:rPr>
        <w:t>displays profit across different product sub-categories. Accessories and Copiers generate the highest profit, while Tables and Bookcases consistently report losses despite strong sales. The visual makes it easy to compare profitability across all product lines and quickly identify underperforming categories that need business attention.</w:t>
      </w:r>
      <w:r>
        <w:rPr>
          <w:sz w:val="28"/>
          <w:szCs w:val="28"/>
        </w:rPr>
        <w:t>”</w:t>
      </w:r>
    </w:p>
    <w:p w14:paraId="0C169123" w14:textId="00AF0766" w:rsidR="007A09B5" w:rsidRDefault="007A09B5" w:rsidP="004374A7">
      <w:pPr>
        <w:rPr>
          <w:sz w:val="28"/>
          <w:szCs w:val="28"/>
          <w:lang w:val="en-US"/>
        </w:rPr>
      </w:pPr>
      <w:r w:rsidRPr="007A09B5">
        <w:rPr>
          <w:noProof/>
          <w:sz w:val="28"/>
          <w:szCs w:val="28"/>
          <w:lang w:val="en-US"/>
        </w:rPr>
        <w:drawing>
          <wp:inline distT="0" distB="0" distL="0" distR="0" wp14:anchorId="2EDFEBD6" wp14:editId="6403FF07">
            <wp:extent cx="5731510" cy="3582035"/>
            <wp:effectExtent l="0" t="0" r="2540" b="0"/>
            <wp:docPr id="2092882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E19B39C" w14:textId="50454EAC" w:rsidR="007A09B5" w:rsidRPr="004374A7" w:rsidRDefault="007A09B5" w:rsidP="004374A7">
      <w:pPr>
        <w:rPr>
          <w:sz w:val="28"/>
          <w:szCs w:val="28"/>
          <w:lang w:val="en-US"/>
        </w:rPr>
      </w:pPr>
      <w:r>
        <w:rPr>
          <w:sz w:val="28"/>
          <w:szCs w:val="28"/>
        </w:rPr>
        <w:t>“</w:t>
      </w:r>
      <w:r w:rsidRPr="007A09B5">
        <w:rPr>
          <w:sz w:val="28"/>
          <w:szCs w:val="28"/>
        </w:rPr>
        <w:t>This scatter plot reveals a negative relationship between discount rate and profitability. Transactions with discounts above 20% tend to result in a loss, especially in Technology and Furniture categories.</w:t>
      </w:r>
      <w:r>
        <w:rPr>
          <w:sz w:val="28"/>
          <w:szCs w:val="28"/>
        </w:rPr>
        <w:t>”</w:t>
      </w:r>
    </w:p>
    <w:sectPr w:rsidR="007A09B5" w:rsidRPr="00437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B5A92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6920"/>
          </v:shape>
        </w:pict>
      </mc:Choice>
      <mc:Fallback>
        <w:drawing>
          <wp:inline distT="0" distB="0" distL="0" distR="0" wp14:anchorId="226D84B1" wp14:editId="5E883C3D">
            <wp:extent cx="142875" cy="142875"/>
            <wp:effectExtent l="0" t="0" r="9525" b="9525"/>
            <wp:docPr id="1115013506" name="Picture 2" descr="C:\Users\marth\AppData\Local\Temp\mso69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9538" name="Picture 824839538" descr="C:\Users\marth\AppData\Local\Temp\mso692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2D530DB4"/>
    <w:multiLevelType w:val="hybridMultilevel"/>
    <w:tmpl w:val="1068DF1E"/>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F86040D"/>
    <w:multiLevelType w:val="hybridMultilevel"/>
    <w:tmpl w:val="DC58BCA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40120BE"/>
    <w:multiLevelType w:val="hybridMultilevel"/>
    <w:tmpl w:val="87AAE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6D2369"/>
    <w:multiLevelType w:val="hybridMultilevel"/>
    <w:tmpl w:val="45DEDF0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52072946">
    <w:abstractNumId w:val="2"/>
  </w:num>
  <w:num w:numId="2" w16cid:durableId="661473500">
    <w:abstractNumId w:val="1"/>
  </w:num>
  <w:num w:numId="3" w16cid:durableId="1667589550">
    <w:abstractNumId w:val="0"/>
  </w:num>
  <w:num w:numId="4" w16cid:durableId="12022781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4A7"/>
    <w:rsid w:val="004374A7"/>
    <w:rsid w:val="004F3DDC"/>
    <w:rsid w:val="00687E88"/>
    <w:rsid w:val="007A09B5"/>
    <w:rsid w:val="00A34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0FA61"/>
  <w15:chartTrackingRefBased/>
  <w15:docId w15:val="{F95CD088-B022-4B5F-8215-078C96F5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4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74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74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4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4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4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4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4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4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4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74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74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4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4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4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4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4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4A7"/>
    <w:rPr>
      <w:rFonts w:eastAsiaTheme="majorEastAsia" w:cstheme="majorBidi"/>
      <w:color w:val="272727" w:themeColor="text1" w:themeTint="D8"/>
    </w:rPr>
  </w:style>
  <w:style w:type="paragraph" w:styleId="Title">
    <w:name w:val="Title"/>
    <w:basedOn w:val="Normal"/>
    <w:next w:val="Normal"/>
    <w:link w:val="TitleChar"/>
    <w:uiPriority w:val="10"/>
    <w:qFormat/>
    <w:rsid w:val="004374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4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4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4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4A7"/>
    <w:pPr>
      <w:spacing w:before="160"/>
      <w:jc w:val="center"/>
    </w:pPr>
    <w:rPr>
      <w:i/>
      <w:iCs/>
      <w:color w:val="404040" w:themeColor="text1" w:themeTint="BF"/>
    </w:rPr>
  </w:style>
  <w:style w:type="character" w:customStyle="1" w:styleId="QuoteChar">
    <w:name w:val="Quote Char"/>
    <w:basedOn w:val="DefaultParagraphFont"/>
    <w:link w:val="Quote"/>
    <w:uiPriority w:val="29"/>
    <w:rsid w:val="004374A7"/>
    <w:rPr>
      <w:i/>
      <w:iCs/>
      <w:color w:val="404040" w:themeColor="text1" w:themeTint="BF"/>
    </w:rPr>
  </w:style>
  <w:style w:type="paragraph" w:styleId="ListParagraph">
    <w:name w:val="List Paragraph"/>
    <w:basedOn w:val="Normal"/>
    <w:uiPriority w:val="34"/>
    <w:qFormat/>
    <w:rsid w:val="004374A7"/>
    <w:pPr>
      <w:ind w:left="720"/>
      <w:contextualSpacing/>
    </w:pPr>
  </w:style>
  <w:style w:type="character" w:styleId="IntenseEmphasis">
    <w:name w:val="Intense Emphasis"/>
    <w:basedOn w:val="DefaultParagraphFont"/>
    <w:uiPriority w:val="21"/>
    <w:qFormat/>
    <w:rsid w:val="004374A7"/>
    <w:rPr>
      <w:i/>
      <w:iCs/>
      <w:color w:val="0F4761" w:themeColor="accent1" w:themeShade="BF"/>
    </w:rPr>
  </w:style>
  <w:style w:type="paragraph" w:styleId="IntenseQuote">
    <w:name w:val="Intense Quote"/>
    <w:basedOn w:val="Normal"/>
    <w:next w:val="Normal"/>
    <w:link w:val="IntenseQuoteChar"/>
    <w:uiPriority w:val="30"/>
    <w:qFormat/>
    <w:rsid w:val="004374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4A7"/>
    <w:rPr>
      <w:i/>
      <w:iCs/>
      <w:color w:val="0F4761" w:themeColor="accent1" w:themeShade="BF"/>
    </w:rPr>
  </w:style>
  <w:style w:type="character" w:styleId="IntenseReference">
    <w:name w:val="Intense Reference"/>
    <w:basedOn w:val="DefaultParagraphFont"/>
    <w:uiPriority w:val="32"/>
    <w:qFormat/>
    <w:rsid w:val="004374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theme" Target="theme/theme1.xml"/><Relationship Id="rId5" Type="http://schemas.openxmlformats.org/officeDocument/2006/relationships/image" Target="media/image3.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184</Words>
  <Characters>1052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marthule</dc:creator>
  <cp:keywords/>
  <dc:description/>
  <cp:lastModifiedBy>vaishnavi marthule</cp:lastModifiedBy>
  <cp:revision>1</cp:revision>
  <dcterms:created xsi:type="dcterms:W3CDTF">2025-05-14T02:06:00Z</dcterms:created>
  <dcterms:modified xsi:type="dcterms:W3CDTF">2025-05-14T02:24:00Z</dcterms:modified>
</cp:coreProperties>
</file>