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Data Flow Diagram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Date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13 July 2026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Team ID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Project Name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 Comprehensive Measure of Well Being (Human Development Index)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Maximum Marks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 Marks</w:t>
            </w:r>
          </w:p>
        </w:tc>
      </w:tr>
    </w:tbl>
    <w:p>
      <w:pPr>
        <w:spacing w:after="150" w:before="300"/>
      </w:pPr>
      <w:r>
        <w:rPr>
          <w:b/>
          <w:bCs/>
          <w:sz w:val="24"/>
          <w:szCs w:val="24"/>
        </w:rPr>
        <w:t xml:space="preserve">Data Flow Diagram</w:t>
      </w:r>
    </w:p>
    <w:p>
      <w:pPr>
        <w:spacing w:after="200"/>
      </w:pPr>
      <w:r>
        <w:t xml:space="preserve">The diagram below shows how data moves through the HDI Prediction System — between the User, the reference data source, the validation and computation processes, and the datastores.</w:t>
      </w:r>
    </w:p>
    <w:p>
      <w:pPr>
        <w:spacing w:after="150" w:before="200"/>
      </w:pPr>
      <w:r>
        <w:rPr>
          <w:b/>
          <w:bCs/>
          <w:sz w:val="22"/>
          <w:szCs w:val="22"/>
        </w:rPr>
        <w:t xml:space="preserve">DFD Symbol Legend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Name</w:t>
            </w:r>
          </w:p>
        </w:tc>
        <w:tc>
          <w:tcPr>
            <w:tcW w:type="dxa" w:w="5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Oval / Rounded shape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External Entity</w:t>
            </w:r>
          </w:p>
        </w:tc>
        <w:tc>
          <w:tcPr>
            <w:tcW w:type="dxa" w:w="5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 person, organization, or system outside the project that sends or receives data (e.g., User, UNDP / World Bank Data Source).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Rectangle with numbered header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Process</w:t>
            </w:r>
          </w:p>
        </w:tc>
        <w:tc>
          <w:tcPr>
            <w:tcW w:type="dxa" w:w="5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An activity that transforms incoming data into outgoing data (e.g., Validate Indicators, Calculate &amp; Classify HDI).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Rectangle (solid fill, no number)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Data Store</w:t>
            </w:r>
          </w:p>
        </w:tc>
        <w:tc>
          <w:tcPr>
            <w:tcW w:type="dxa" w:w="5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 place where data is held for later use (e.g., Indicator Datastore, Results Datastore).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Labeled arrow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Data Flow</w:t>
            </w:r>
          </w:p>
        </w:tc>
        <w:tc>
          <w:tcPr>
            <w:tcW w:type="dxa" w:w="5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movement of data between entities, processes, and data stores, labeled with what data is being passed.</w:t>
            </w:r>
          </w:p>
        </w:tc>
      </w:tr>
    </w:tbl>
    <w:p>
      <w:pPr>
        <w:spacing w:before="300"/>
      </w:pPr>
    </w:p>
    <w:p>
      <w:pPr>
        <w:spacing w:after="150" w:before="200"/>
      </w:pPr>
      <w:r>
        <w:rPr>
          <w:b/>
          <w:bCs/>
          <w:sz w:val="22"/>
          <w:szCs w:val="22"/>
        </w:rPr>
        <w:t xml:space="preserve">HDI Prediction System — Data Flow</w:t>
      </w:r>
    </w:p>
    <w:p>
      <w:pPr>
        <w:jc w:val="center"/>
      </w:pPr>
      <w:r>
        <w:drawing>
          <wp:inline distT="0" distB="0" distL="0" distR="0">
            <wp:extent cx="59436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a2f534e5fc71f3ca8d24e30aa95da7c335085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2026-07-13T10:01:36.204Z</dcterms:created>
  <dcterms:modified xsi:type="dcterms:W3CDTF">2026-07-13T10:01:36.204Z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